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4346D" w:rsidRPr="0074346D" w:rsidRDefault="0074346D" w:rsidP="0074346D">
      <w:pPr>
        <w:spacing w:after="0" w:line="480" w:lineRule="auto"/>
        <w:jc w:val="center"/>
        <w:rPr>
          <w:rFonts w:ascii="Times New Roman" w:hAnsi="Times New Roman" w:cs="Times New Roman"/>
          <w:b/>
          <w:i/>
          <w:iCs/>
          <w:sz w:val="40"/>
          <w:szCs w:val="40"/>
        </w:rPr>
      </w:pPr>
      <w:r w:rsidRPr="0074346D">
        <w:rPr>
          <w:rFonts w:ascii="Times New Roman" w:hAnsi="Times New Roman" w:cs="Times New Roman"/>
          <w:b/>
          <w:sz w:val="40"/>
          <w:szCs w:val="40"/>
        </w:rPr>
        <w:t>Peptidoglycan architecture and dynamics in Gram-positive bacteria</w:t>
      </w:r>
    </w:p>
    <w:p w:rsidR="0074346D" w:rsidRPr="0074346D" w:rsidRDefault="0074346D" w:rsidP="0074346D">
      <w:pPr>
        <w:spacing w:line="480" w:lineRule="auto"/>
        <w:jc w:val="center"/>
        <w:rPr>
          <w:rFonts w:ascii="Times New Roman" w:hAnsi="Times New Roman" w:cs="Times New Roman"/>
          <w:b/>
        </w:rPr>
      </w:pPr>
    </w:p>
    <w:p w:rsidR="0074346D" w:rsidRPr="0074346D" w:rsidRDefault="0074346D" w:rsidP="0074346D">
      <w:pPr>
        <w:spacing w:line="480" w:lineRule="auto"/>
        <w:jc w:val="center"/>
        <w:rPr>
          <w:rFonts w:ascii="Times New Roman" w:hAnsi="Times New Roman" w:cs="Times New Roman"/>
          <w:b/>
        </w:rPr>
      </w:pPr>
    </w:p>
    <w:p w:rsidR="0074346D" w:rsidRPr="0074346D" w:rsidRDefault="0074346D" w:rsidP="0074346D">
      <w:pPr>
        <w:spacing w:after="0" w:line="480" w:lineRule="auto"/>
        <w:jc w:val="center"/>
        <w:rPr>
          <w:rFonts w:ascii="Times New Roman" w:hAnsi="Times New Roman" w:cs="Times New Roman"/>
        </w:rPr>
      </w:pPr>
      <w:r w:rsidRPr="0074346D">
        <w:rPr>
          <w:rFonts w:ascii="Times New Roman" w:hAnsi="Times New Roman" w:cs="Times New Roman"/>
        </w:rPr>
        <w:t>By</w:t>
      </w:r>
    </w:p>
    <w:p w:rsidR="0074346D" w:rsidRPr="0074346D" w:rsidRDefault="0074346D" w:rsidP="0074346D">
      <w:pPr>
        <w:spacing w:after="0" w:line="480" w:lineRule="auto"/>
        <w:jc w:val="center"/>
        <w:rPr>
          <w:rFonts w:ascii="Times New Roman" w:hAnsi="Times New Roman" w:cs="Times New Roman"/>
        </w:rPr>
      </w:pPr>
    </w:p>
    <w:p w:rsidR="0074346D" w:rsidRPr="0074346D" w:rsidRDefault="0074346D" w:rsidP="0074346D">
      <w:pPr>
        <w:spacing w:after="0" w:line="480" w:lineRule="auto"/>
        <w:jc w:val="center"/>
        <w:rPr>
          <w:rFonts w:ascii="Times New Roman" w:hAnsi="Times New Roman" w:cs="Times New Roman"/>
        </w:rPr>
      </w:pPr>
      <w:r w:rsidRPr="0074346D">
        <w:rPr>
          <w:rFonts w:ascii="Times New Roman" w:hAnsi="Times New Roman" w:cs="Times New Roman"/>
        </w:rPr>
        <w:t>Richard Wheeler MSci MA</w:t>
      </w:r>
    </w:p>
    <w:p w:rsidR="0074346D" w:rsidRPr="0074346D" w:rsidRDefault="0074346D" w:rsidP="0074346D">
      <w:pPr>
        <w:spacing w:after="0" w:line="480" w:lineRule="auto"/>
        <w:jc w:val="center"/>
        <w:rPr>
          <w:rFonts w:ascii="Times New Roman" w:hAnsi="Times New Roman" w:cs="Times New Roman"/>
        </w:rPr>
      </w:pPr>
      <w:r w:rsidRPr="0074346D">
        <w:rPr>
          <w:rFonts w:ascii="Times New Roman" w:hAnsi="Times New Roman" w:cs="Times New Roman"/>
        </w:rPr>
        <w:t>(University of Glasgow)</w:t>
      </w:r>
    </w:p>
    <w:p w:rsidR="0074346D" w:rsidRPr="0074346D" w:rsidRDefault="0074346D" w:rsidP="0074346D">
      <w:pPr>
        <w:spacing w:line="480" w:lineRule="auto"/>
        <w:jc w:val="center"/>
        <w:rPr>
          <w:rFonts w:ascii="Times New Roman" w:hAnsi="Times New Roman" w:cs="Times New Roman"/>
        </w:rPr>
      </w:pPr>
    </w:p>
    <w:p w:rsidR="0074346D" w:rsidRPr="0074346D" w:rsidRDefault="0074346D" w:rsidP="0074346D">
      <w:pPr>
        <w:spacing w:line="480" w:lineRule="auto"/>
        <w:jc w:val="center"/>
        <w:rPr>
          <w:rFonts w:ascii="Times New Roman" w:hAnsi="Times New Roman" w:cs="Times New Roman"/>
        </w:rPr>
      </w:pPr>
    </w:p>
    <w:p w:rsidR="0074346D" w:rsidRPr="0074346D" w:rsidRDefault="0074346D" w:rsidP="0074346D">
      <w:pPr>
        <w:spacing w:line="480" w:lineRule="auto"/>
        <w:jc w:val="center"/>
        <w:rPr>
          <w:rFonts w:ascii="Times New Roman" w:hAnsi="Times New Roman" w:cs="Times New Roman"/>
        </w:rPr>
      </w:pPr>
    </w:p>
    <w:p w:rsidR="0074346D" w:rsidRPr="0074346D" w:rsidRDefault="0074346D" w:rsidP="0074346D">
      <w:pPr>
        <w:spacing w:after="0" w:line="480" w:lineRule="auto"/>
        <w:jc w:val="center"/>
        <w:rPr>
          <w:rFonts w:ascii="Times New Roman" w:hAnsi="Times New Roman" w:cs="Times New Roman"/>
        </w:rPr>
      </w:pPr>
      <w:r w:rsidRPr="0074346D">
        <w:rPr>
          <w:rFonts w:ascii="Times New Roman" w:hAnsi="Times New Roman" w:cs="Times New Roman"/>
        </w:rPr>
        <w:t>A thesis submitted for the degree of Doctor of Philosophy</w:t>
      </w:r>
    </w:p>
    <w:p w:rsidR="0074346D" w:rsidRPr="0074346D" w:rsidRDefault="0074346D" w:rsidP="0074346D">
      <w:pPr>
        <w:spacing w:after="0" w:line="480" w:lineRule="auto"/>
        <w:jc w:val="center"/>
        <w:rPr>
          <w:rFonts w:ascii="Times New Roman" w:hAnsi="Times New Roman" w:cs="Times New Roman"/>
        </w:rPr>
      </w:pPr>
      <w:r w:rsidRPr="0074346D">
        <w:rPr>
          <w:rFonts w:ascii="Times New Roman" w:hAnsi="Times New Roman" w:cs="Times New Roman"/>
        </w:rPr>
        <w:t>July 2012</w:t>
      </w:r>
    </w:p>
    <w:p w:rsidR="0074346D" w:rsidRDefault="0074346D" w:rsidP="0074346D">
      <w:pPr>
        <w:spacing w:line="480" w:lineRule="auto"/>
        <w:jc w:val="center"/>
        <w:rPr>
          <w:rFonts w:ascii="Times New Roman" w:hAnsi="Times New Roman" w:cs="Times New Roman"/>
        </w:rPr>
      </w:pPr>
    </w:p>
    <w:p w:rsidR="0074346D" w:rsidRDefault="0074346D" w:rsidP="0074346D">
      <w:pPr>
        <w:spacing w:line="480" w:lineRule="auto"/>
        <w:jc w:val="center"/>
        <w:rPr>
          <w:rFonts w:ascii="Times New Roman" w:hAnsi="Times New Roman" w:cs="Times New Roman"/>
        </w:rPr>
      </w:pPr>
    </w:p>
    <w:p w:rsidR="0074346D" w:rsidRPr="0074346D" w:rsidRDefault="0074346D" w:rsidP="0074346D">
      <w:pPr>
        <w:spacing w:line="480" w:lineRule="auto"/>
        <w:jc w:val="center"/>
        <w:rPr>
          <w:rFonts w:ascii="Times New Roman" w:hAnsi="Times New Roman" w:cs="Times New Roman"/>
        </w:rPr>
      </w:pPr>
    </w:p>
    <w:p w:rsidR="0074346D" w:rsidRDefault="0074346D" w:rsidP="0074346D">
      <w:pPr>
        <w:spacing w:line="480" w:lineRule="auto"/>
        <w:jc w:val="center"/>
        <w:rPr>
          <w:rFonts w:ascii="Times New Roman" w:hAnsi="Times New Roman" w:cs="Times New Roman"/>
        </w:rPr>
      </w:pPr>
    </w:p>
    <w:p w:rsidR="0074346D" w:rsidRPr="0074346D" w:rsidRDefault="0074346D" w:rsidP="0074346D">
      <w:pPr>
        <w:spacing w:line="480" w:lineRule="auto"/>
        <w:jc w:val="center"/>
        <w:rPr>
          <w:rFonts w:ascii="Times New Roman" w:hAnsi="Times New Roman" w:cs="Times New Roman"/>
        </w:rPr>
      </w:pPr>
    </w:p>
    <w:p w:rsidR="0074346D" w:rsidRPr="0074346D" w:rsidRDefault="0074346D" w:rsidP="0074346D">
      <w:pPr>
        <w:spacing w:line="480" w:lineRule="auto"/>
        <w:jc w:val="center"/>
        <w:rPr>
          <w:rFonts w:ascii="Times New Roman" w:hAnsi="Times New Roman" w:cs="Times New Roman"/>
        </w:rPr>
      </w:pPr>
    </w:p>
    <w:p w:rsidR="0074346D" w:rsidRPr="0074346D" w:rsidRDefault="0074346D" w:rsidP="0074346D">
      <w:pPr>
        <w:spacing w:after="0" w:line="480" w:lineRule="auto"/>
        <w:jc w:val="center"/>
        <w:rPr>
          <w:rFonts w:ascii="Times New Roman" w:hAnsi="Times New Roman" w:cs="Times New Roman"/>
        </w:rPr>
      </w:pPr>
      <w:r w:rsidRPr="0074346D">
        <w:rPr>
          <w:rFonts w:ascii="Times New Roman" w:hAnsi="Times New Roman" w:cs="Times New Roman"/>
        </w:rPr>
        <w:t>Department of Molecular Biology and Biotechnology, University of Sheffield,</w:t>
      </w:r>
    </w:p>
    <w:p w:rsidR="0074346D" w:rsidRDefault="0074346D" w:rsidP="0074346D">
      <w:pPr>
        <w:spacing w:after="0" w:line="480" w:lineRule="auto"/>
        <w:jc w:val="center"/>
        <w:rPr>
          <w:rFonts w:ascii="Times New Roman" w:hAnsi="Times New Roman" w:cs="Times New Roman"/>
        </w:rPr>
      </w:pPr>
      <w:proofErr w:type="gramStart"/>
      <w:r w:rsidRPr="0074346D">
        <w:rPr>
          <w:rFonts w:ascii="Times New Roman" w:hAnsi="Times New Roman" w:cs="Times New Roman"/>
        </w:rPr>
        <w:t>Firth Court, Western Bank, Sheffield.</w:t>
      </w:r>
      <w:proofErr w:type="gramEnd"/>
      <w:r w:rsidRPr="0074346D">
        <w:rPr>
          <w:rFonts w:ascii="Times New Roman" w:hAnsi="Times New Roman" w:cs="Times New Roman"/>
        </w:rPr>
        <w:t xml:space="preserve"> S10 2TN</w:t>
      </w:r>
      <w:r>
        <w:rPr>
          <w:rFonts w:ascii="Times New Roman" w:hAnsi="Times New Roman" w:cs="Times New Roman"/>
        </w:rPr>
        <w:br w:type="page"/>
      </w:r>
    </w:p>
    <w:p w:rsidR="00D467DD" w:rsidRDefault="006E2685" w:rsidP="00196E2A">
      <w:pPr>
        <w:spacing w:line="480" w:lineRule="auto"/>
        <w:jc w:val="center"/>
        <w:rPr>
          <w:rFonts w:ascii="Times New Roman" w:hAnsi="Times New Roman" w:cs="Times New Roman"/>
          <w:sz w:val="28"/>
          <w:szCs w:val="28"/>
        </w:rPr>
      </w:pPr>
      <w:r w:rsidRPr="006E2685">
        <w:rPr>
          <w:rFonts w:ascii="Times New Roman" w:hAnsi="Times New Roman" w:cs="Times New Roman"/>
          <w:sz w:val="28"/>
          <w:szCs w:val="28"/>
        </w:rPr>
        <w:lastRenderedPageBreak/>
        <w:t>Summary</w:t>
      </w:r>
    </w:p>
    <w:p w:rsidR="006E2685" w:rsidRPr="00B544FF" w:rsidRDefault="006809B5" w:rsidP="00196E2A">
      <w:pPr>
        <w:spacing w:line="480" w:lineRule="auto"/>
        <w:jc w:val="both"/>
        <w:rPr>
          <w:rFonts w:ascii="Times New Roman" w:hAnsi="Times New Roman" w:cs="Times New Roman"/>
          <w:sz w:val="24"/>
          <w:szCs w:val="24"/>
        </w:rPr>
      </w:pPr>
      <w:r>
        <w:rPr>
          <w:rFonts w:ascii="Times New Roman" w:hAnsi="Times New Roman" w:cs="Times New Roman"/>
          <w:sz w:val="24"/>
          <w:szCs w:val="24"/>
        </w:rPr>
        <w:t>T</w:t>
      </w:r>
      <w:r w:rsidR="006E2685" w:rsidRPr="00B544FF">
        <w:rPr>
          <w:rFonts w:ascii="Times New Roman" w:hAnsi="Times New Roman" w:cs="Times New Roman"/>
          <w:sz w:val="24"/>
          <w:szCs w:val="24"/>
        </w:rPr>
        <w:t>he major</w:t>
      </w:r>
      <w:r w:rsidR="00B24A01" w:rsidRPr="00B544FF">
        <w:rPr>
          <w:rFonts w:ascii="Times New Roman" w:hAnsi="Times New Roman" w:cs="Times New Roman"/>
          <w:sz w:val="24"/>
          <w:szCs w:val="24"/>
        </w:rPr>
        <w:t xml:space="preserve"> structural determinant of </w:t>
      </w:r>
      <w:r w:rsidR="002C6759">
        <w:rPr>
          <w:rFonts w:ascii="Times New Roman" w:hAnsi="Times New Roman" w:cs="Times New Roman"/>
          <w:sz w:val="24"/>
          <w:szCs w:val="24"/>
        </w:rPr>
        <w:t xml:space="preserve">most </w:t>
      </w:r>
      <w:r w:rsidR="00B24A01" w:rsidRPr="00B544FF">
        <w:rPr>
          <w:rFonts w:ascii="Times New Roman" w:hAnsi="Times New Roman" w:cs="Times New Roman"/>
          <w:sz w:val="24"/>
          <w:szCs w:val="24"/>
        </w:rPr>
        <w:t>bacterial cell</w:t>
      </w:r>
      <w:r w:rsidR="008232B4">
        <w:rPr>
          <w:rFonts w:ascii="Times New Roman" w:hAnsi="Times New Roman" w:cs="Times New Roman"/>
          <w:sz w:val="24"/>
          <w:szCs w:val="24"/>
        </w:rPr>
        <w:t>s</w:t>
      </w:r>
      <w:r w:rsidR="00B24A01" w:rsidRPr="00B544FF">
        <w:rPr>
          <w:rFonts w:ascii="Times New Roman" w:hAnsi="Times New Roman" w:cs="Times New Roman"/>
          <w:sz w:val="24"/>
          <w:szCs w:val="24"/>
        </w:rPr>
        <w:t xml:space="preserve"> is the peptidoglycan layer, </w:t>
      </w:r>
      <w:r w:rsidR="006E2685" w:rsidRPr="00B544FF">
        <w:rPr>
          <w:rFonts w:ascii="Times New Roman" w:hAnsi="Times New Roman" w:cs="Times New Roman"/>
          <w:sz w:val="24"/>
          <w:szCs w:val="24"/>
        </w:rPr>
        <w:t xml:space="preserve">a network (the sacculus) </w:t>
      </w:r>
      <w:r w:rsidR="00196E2A" w:rsidRPr="00B544FF">
        <w:rPr>
          <w:rFonts w:ascii="Times New Roman" w:hAnsi="Times New Roman" w:cs="Times New Roman"/>
          <w:sz w:val="24"/>
          <w:szCs w:val="24"/>
        </w:rPr>
        <w:t>of glycan strand</w:t>
      </w:r>
      <w:r w:rsidR="00F900A8">
        <w:rPr>
          <w:rFonts w:ascii="Times New Roman" w:hAnsi="Times New Roman" w:cs="Times New Roman"/>
          <w:sz w:val="24"/>
          <w:szCs w:val="24"/>
        </w:rPr>
        <w:t>s cross-linked by short peptide</w:t>
      </w:r>
      <w:r w:rsidR="00196E2A" w:rsidRPr="00B544FF">
        <w:rPr>
          <w:rFonts w:ascii="Times New Roman" w:hAnsi="Times New Roman" w:cs="Times New Roman"/>
          <w:sz w:val="24"/>
          <w:szCs w:val="24"/>
        </w:rPr>
        <w:t xml:space="preserve"> stems </w:t>
      </w:r>
      <w:r w:rsidR="006E2685" w:rsidRPr="00B544FF">
        <w:rPr>
          <w:rFonts w:ascii="Times New Roman" w:hAnsi="Times New Roman" w:cs="Times New Roman"/>
          <w:sz w:val="24"/>
          <w:szCs w:val="24"/>
        </w:rPr>
        <w:t>which encompasses the entire bacteri</w:t>
      </w:r>
      <w:r w:rsidR="00C6309A" w:rsidRPr="00B544FF">
        <w:rPr>
          <w:rFonts w:ascii="Times New Roman" w:hAnsi="Times New Roman" w:cs="Times New Roman"/>
          <w:sz w:val="24"/>
          <w:szCs w:val="24"/>
        </w:rPr>
        <w:t>um</w:t>
      </w:r>
      <w:r w:rsidR="006E2685" w:rsidRPr="00B544FF">
        <w:rPr>
          <w:rFonts w:ascii="Times New Roman" w:hAnsi="Times New Roman" w:cs="Times New Roman"/>
          <w:sz w:val="24"/>
          <w:szCs w:val="24"/>
        </w:rPr>
        <w:t>.</w:t>
      </w:r>
      <w:r w:rsidR="00B544FF" w:rsidRPr="00B544FF">
        <w:rPr>
          <w:rFonts w:ascii="Times New Roman" w:hAnsi="Times New Roman" w:cs="Times New Roman"/>
          <w:sz w:val="24"/>
          <w:szCs w:val="24"/>
        </w:rPr>
        <w:t xml:space="preserve"> </w:t>
      </w:r>
      <w:r w:rsidR="008232B4">
        <w:rPr>
          <w:rFonts w:ascii="Times New Roman" w:hAnsi="Times New Roman" w:cs="Times New Roman"/>
          <w:sz w:val="24"/>
          <w:szCs w:val="24"/>
        </w:rPr>
        <w:t>However the architecture of</w:t>
      </w:r>
      <w:r w:rsidR="00C6309A" w:rsidRPr="00B544FF">
        <w:rPr>
          <w:rFonts w:ascii="Times New Roman" w:hAnsi="Times New Roman" w:cs="Times New Roman"/>
          <w:sz w:val="24"/>
          <w:szCs w:val="24"/>
        </w:rPr>
        <w:t xml:space="preserve"> </w:t>
      </w:r>
      <w:r>
        <w:rPr>
          <w:rFonts w:ascii="Times New Roman" w:hAnsi="Times New Roman" w:cs="Times New Roman"/>
          <w:sz w:val="24"/>
          <w:szCs w:val="24"/>
        </w:rPr>
        <w:t>peptidoglycan</w:t>
      </w:r>
      <w:r w:rsidR="008232B4">
        <w:rPr>
          <w:rFonts w:ascii="Times New Roman" w:hAnsi="Times New Roman" w:cs="Times New Roman"/>
          <w:sz w:val="24"/>
          <w:szCs w:val="24"/>
        </w:rPr>
        <w:t>, which must</w:t>
      </w:r>
      <w:r w:rsidR="00632440" w:rsidRPr="00B544FF">
        <w:rPr>
          <w:rFonts w:ascii="Times New Roman" w:hAnsi="Times New Roman" w:cs="Times New Roman"/>
          <w:sz w:val="24"/>
          <w:szCs w:val="24"/>
        </w:rPr>
        <w:t xml:space="preserve"> accommodate both the </w:t>
      </w:r>
      <w:r w:rsidR="00632440">
        <w:rPr>
          <w:rFonts w:ascii="Times New Roman" w:hAnsi="Times New Roman" w:cs="Times New Roman"/>
          <w:sz w:val="24"/>
          <w:szCs w:val="24"/>
        </w:rPr>
        <w:t>structural</w:t>
      </w:r>
      <w:r w:rsidR="00632440" w:rsidRPr="00B544FF">
        <w:rPr>
          <w:rFonts w:ascii="Times New Roman" w:hAnsi="Times New Roman" w:cs="Times New Roman"/>
          <w:sz w:val="24"/>
          <w:szCs w:val="24"/>
        </w:rPr>
        <w:t xml:space="preserve"> requirements of the cell and the dynamic processes</w:t>
      </w:r>
      <w:r w:rsidR="00632440">
        <w:rPr>
          <w:rFonts w:ascii="Times New Roman" w:hAnsi="Times New Roman" w:cs="Times New Roman"/>
          <w:sz w:val="24"/>
          <w:szCs w:val="24"/>
        </w:rPr>
        <w:t xml:space="preserve"> of</w:t>
      </w:r>
      <w:r w:rsidR="00632440" w:rsidRPr="00B544FF">
        <w:rPr>
          <w:rFonts w:ascii="Times New Roman" w:hAnsi="Times New Roman" w:cs="Times New Roman"/>
          <w:sz w:val="24"/>
          <w:szCs w:val="24"/>
        </w:rPr>
        <w:t xml:space="preserve"> growth and division</w:t>
      </w:r>
      <w:r w:rsidR="00632440">
        <w:rPr>
          <w:rFonts w:ascii="Times New Roman" w:hAnsi="Times New Roman" w:cs="Times New Roman"/>
          <w:sz w:val="24"/>
          <w:szCs w:val="24"/>
        </w:rPr>
        <w:t>,</w:t>
      </w:r>
      <w:r w:rsidR="00632440" w:rsidRPr="00B544FF">
        <w:rPr>
          <w:rFonts w:ascii="Times New Roman" w:hAnsi="Times New Roman" w:cs="Times New Roman"/>
          <w:sz w:val="24"/>
          <w:szCs w:val="24"/>
        </w:rPr>
        <w:t xml:space="preserve"> </w:t>
      </w:r>
      <w:r w:rsidR="00196E2A" w:rsidRPr="00B544FF">
        <w:rPr>
          <w:rFonts w:ascii="Times New Roman" w:hAnsi="Times New Roman" w:cs="Times New Roman"/>
          <w:sz w:val="24"/>
          <w:szCs w:val="24"/>
        </w:rPr>
        <w:t xml:space="preserve">is poorly understood. </w:t>
      </w:r>
      <w:r>
        <w:rPr>
          <w:rFonts w:ascii="Times New Roman" w:hAnsi="Times New Roman" w:cs="Times New Roman"/>
          <w:sz w:val="24"/>
          <w:szCs w:val="24"/>
        </w:rPr>
        <w:t>M</w:t>
      </w:r>
      <w:r w:rsidR="00632440">
        <w:rPr>
          <w:rFonts w:ascii="Times New Roman" w:hAnsi="Times New Roman" w:cs="Times New Roman"/>
          <w:sz w:val="24"/>
          <w:szCs w:val="24"/>
        </w:rPr>
        <w:t>ost</w:t>
      </w:r>
      <w:r w:rsidR="00B544FF">
        <w:rPr>
          <w:rFonts w:ascii="Times New Roman" w:hAnsi="Times New Roman" w:cs="Times New Roman"/>
          <w:sz w:val="24"/>
          <w:szCs w:val="24"/>
        </w:rPr>
        <w:t xml:space="preserve"> architectural studies have </w:t>
      </w:r>
      <w:r w:rsidR="00632440">
        <w:rPr>
          <w:rFonts w:ascii="Times New Roman" w:hAnsi="Times New Roman" w:cs="Times New Roman"/>
          <w:sz w:val="24"/>
          <w:szCs w:val="24"/>
        </w:rPr>
        <w:t>addressed</w:t>
      </w:r>
      <w:r w:rsidR="00B544FF">
        <w:rPr>
          <w:rFonts w:ascii="Times New Roman" w:hAnsi="Times New Roman" w:cs="Times New Roman"/>
          <w:sz w:val="24"/>
          <w:szCs w:val="24"/>
        </w:rPr>
        <w:t xml:space="preserve"> the peptidoglycan of</w:t>
      </w:r>
      <w:r w:rsidR="006E2685" w:rsidRPr="00B544FF">
        <w:rPr>
          <w:rFonts w:ascii="Times New Roman" w:hAnsi="Times New Roman" w:cs="Times New Roman"/>
          <w:sz w:val="24"/>
          <w:szCs w:val="24"/>
        </w:rPr>
        <w:t xml:space="preserve"> rod-shaped </w:t>
      </w:r>
      <w:r>
        <w:rPr>
          <w:rFonts w:ascii="Times New Roman" w:hAnsi="Times New Roman" w:cs="Times New Roman"/>
          <w:sz w:val="24"/>
          <w:szCs w:val="24"/>
        </w:rPr>
        <w:t>bacteria</w:t>
      </w:r>
      <w:r w:rsidR="006E2685" w:rsidRPr="00B544FF">
        <w:rPr>
          <w:rFonts w:ascii="Times New Roman" w:hAnsi="Times New Roman" w:cs="Times New Roman"/>
          <w:sz w:val="24"/>
          <w:szCs w:val="24"/>
        </w:rPr>
        <w:t xml:space="preserve">. The architecture </w:t>
      </w:r>
      <w:r w:rsidR="00196E2A" w:rsidRPr="00B544FF">
        <w:rPr>
          <w:rFonts w:ascii="Times New Roman" w:hAnsi="Times New Roman" w:cs="Times New Roman"/>
          <w:sz w:val="24"/>
          <w:szCs w:val="24"/>
        </w:rPr>
        <w:t>in</w:t>
      </w:r>
      <w:r w:rsidR="006E2685" w:rsidRPr="00B544FF">
        <w:rPr>
          <w:rFonts w:ascii="Times New Roman" w:hAnsi="Times New Roman" w:cs="Times New Roman"/>
          <w:sz w:val="24"/>
          <w:szCs w:val="24"/>
        </w:rPr>
        <w:t xml:space="preserve"> Gram-positive cocci</w:t>
      </w:r>
      <w:r>
        <w:rPr>
          <w:rFonts w:ascii="Times New Roman" w:hAnsi="Times New Roman" w:cs="Times New Roman"/>
          <w:sz w:val="24"/>
          <w:szCs w:val="24"/>
        </w:rPr>
        <w:t xml:space="preserve"> and ovococci</w:t>
      </w:r>
      <w:r w:rsidR="00632440">
        <w:rPr>
          <w:rFonts w:ascii="Times New Roman" w:hAnsi="Times New Roman" w:cs="Times New Roman"/>
          <w:sz w:val="24"/>
          <w:szCs w:val="24"/>
        </w:rPr>
        <w:t xml:space="preserve"> </w:t>
      </w:r>
      <w:r w:rsidR="006E2685" w:rsidRPr="00B544FF">
        <w:rPr>
          <w:rFonts w:ascii="Times New Roman" w:hAnsi="Times New Roman" w:cs="Times New Roman"/>
          <w:sz w:val="24"/>
          <w:szCs w:val="24"/>
        </w:rPr>
        <w:t>is l</w:t>
      </w:r>
      <w:r w:rsidR="00B544FF">
        <w:rPr>
          <w:rFonts w:ascii="Times New Roman" w:hAnsi="Times New Roman" w:cs="Times New Roman"/>
          <w:sz w:val="24"/>
          <w:szCs w:val="24"/>
        </w:rPr>
        <w:t>argely uncharacterised</w:t>
      </w:r>
      <w:r w:rsidR="00632440">
        <w:rPr>
          <w:rFonts w:ascii="Times New Roman" w:hAnsi="Times New Roman" w:cs="Times New Roman"/>
          <w:sz w:val="24"/>
          <w:szCs w:val="24"/>
        </w:rPr>
        <w:t>,</w:t>
      </w:r>
    </w:p>
    <w:p w:rsidR="00196E2A" w:rsidRDefault="00BC7357" w:rsidP="00843797">
      <w:pPr>
        <w:spacing w:line="480" w:lineRule="auto"/>
        <w:jc w:val="both"/>
        <w:rPr>
          <w:rFonts w:ascii="Times New Roman" w:hAnsi="Times New Roman" w:cs="Times New Roman"/>
          <w:sz w:val="24"/>
          <w:szCs w:val="24"/>
        </w:rPr>
      </w:pPr>
      <w:r>
        <w:rPr>
          <w:rFonts w:ascii="Times New Roman" w:hAnsi="Times New Roman" w:cs="Times New Roman"/>
          <w:sz w:val="24"/>
          <w:szCs w:val="24"/>
        </w:rPr>
        <w:t>In this study, a</w:t>
      </w:r>
      <w:r w:rsidR="009558F4">
        <w:rPr>
          <w:rFonts w:ascii="Times New Roman" w:hAnsi="Times New Roman" w:cs="Times New Roman"/>
          <w:sz w:val="24"/>
          <w:szCs w:val="24"/>
        </w:rPr>
        <w:t>tomic force micro</w:t>
      </w:r>
      <w:r>
        <w:rPr>
          <w:rFonts w:ascii="Times New Roman" w:hAnsi="Times New Roman" w:cs="Times New Roman"/>
          <w:sz w:val="24"/>
          <w:szCs w:val="24"/>
        </w:rPr>
        <w:t xml:space="preserve">scopy (AFM) of purified sacculi </w:t>
      </w:r>
      <w:r w:rsidR="00950801">
        <w:rPr>
          <w:rFonts w:ascii="Times New Roman" w:hAnsi="Times New Roman" w:cs="Times New Roman"/>
          <w:sz w:val="24"/>
          <w:szCs w:val="24"/>
        </w:rPr>
        <w:t xml:space="preserve">of three species of ovococcus </w:t>
      </w:r>
      <w:r w:rsidR="009558F4">
        <w:rPr>
          <w:rFonts w:ascii="Times New Roman" w:hAnsi="Times New Roman" w:cs="Times New Roman"/>
          <w:sz w:val="24"/>
          <w:szCs w:val="24"/>
        </w:rPr>
        <w:t>was combined with biochemical analysis and super resolution fluorescence microscopy</w:t>
      </w:r>
      <w:r w:rsidR="006809B5">
        <w:rPr>
          <w:rFonts w:ascii="Times New Roman" w:hAnsi="Times New Roman" w:cs="Times New Roman"/>
          <w:sz w:val="24"/>
          <w:szCs w:val="24"/>
        </w:rPr>
        <w:t>.</w:t>
      </w:r>
      <w:r w:rsidR="009558F4">
        <w:rPr>
          <w:rFonts w:ascii="Times New Roman" w:hAnsi="Times New Roman" w:cs="Times New Roman"/>
          <w:sz w:val="24"/>
          <w:szCs w:val="24"/>
        </w:rPr>
        <w:t xml:space="preserve"> </w:t>
      </w:r>
      <w:r w:rsidR="00F95734">
        <w:rPr>
          <w:rFonts w:ascii="Times New Roman" w:hAnsi="Times New Roman" w:cs="Times New Roman"/>
          <w:sz w:val="24"/>
          <w:szCs w:val="24"/>
        </w:rPr>
        <w:t>A model was developed in which incorporation of long glycan strands from a single mid-cell focus results in preferential orientation</w:t>
      </w:r>
      <w:r w:rsidR="00950801">
        <w:rPr>
          <w:rFonts w:ascii="Times New Roman" w:hAnsi="Times New Roman" w:cs="Times New Roman"/>
          <w:sz w:val="24"/>
          <w:szCs w:val="24"/>
        </w:rPr>
        <w:t xml:space="preserve">, </w:t>
      </w:r>
      <w:r w:rsidR="00F95734">
        <w:rPr>
          <w:rFonts w:ascii="Times New Roman" w:hAnsi="Times New Roman" w:cs="Times New Roman"/>
          <w:sz w:val="24"/>
          <w:szCs w:val="24"/>
        </w:rPr>
        <w:t xml:space="preserve">parallel to the short axis of the cell. </w:t>
      </w:r>
      <w:r w:rsidR="004F6F6A">
        <w:rPr>
          <w:rFonts w:ascii="Times New Roman" w:hAnsi="Times New Roman" w:cs="Times New Roman"/>
          <w:sz w:val="24"/>
          <w:szCs w:val="24"/>
        </w:rPr>
        <w:t xml:space="preserve">AFM </w:t>
      </w:r>
      <w:r w:rsidR="002C6759">
        <w:rPr>
          <w:rFonts w:ascii="Times New Roman" w:hAnsi="Times New Roman" w:cs="Times New Roman"/>
          <w:sz w:val="24"/>
          <w:szCs w:val="24"/>
        </w:rPr>
        <w:t xml:space="preserve">and fluorescence microscopy </w:t>
      </w:r>
      <w:r w:rsidR="004F6F6A">
        <w:rPr>
          <w:rFonts w:ascii="Times New Roman" w:hAnsi="Times New Roman" w:cs="Times New Roman"/>
          <w:sz w:val="24"/>
          <w:szCs w:val="24"/>
        </w:rPr>
        <w:t xml:space="preserve">of </w:t>
      </w:r>
      <w:r w:rsidR="00950801">
        <w:rPr>
          <w:rFonts w:ascii="Times New Roman" w:hAnsi="Times New Roman" w:cs="Times New Roman"/>
          <w:sz w:val="24"/>
          <w:szCs w:val="24"/>
        </w:rPr>
        <w:t>the coccoid bacterium</w:t>
      </w:r>
      <w:r w:rsidR="00F95734">
        <w:rPr>
          <w:rFonts w:ascii="Times New Roman" w:hAnsi="Times New Roman" w:cs="Times New Roman"/>
          <w:sz w:val="24"/>
          <w:szCs w:val="24"/>
        </w:rPr>
        <w:t xml:space="preserve"> </w:t>
      </w:r>
      <w:r w:rsidR="00843797" w:rsidRPr="00843797">
        <w:rPr>
          <w:rFonts w:ascii="Times New Roman" w:hAnsi="Times New Roman" w:cs="Times New Roman"/>
          <w:i/>
          <w:sz w:val="24"/>
          <w:szCs w:val="24"/>
        </w:rPr>
        <w:t>S</w:t>
      </w:r>
      <w:r w:rsidR="00F900A8">
        <w:rPr>
          <w:rFonts w:ascii="Times New Roman" w:hAnsi="Times New Roman" w:cs="Times New Roman"/>
          <w:i/>
          <w:sz w:val="24"/>
          <w:szCs w:val="24"/>
        </w:rPr>
        <w:t>taphylococcus </w:t>
      </w:r>
      <w:r w:rsidR="00950801">
        <w:rPr>
          <w:rFonts w:ascii="Times New Roman" w:hAnsi="Times New Roman" w:cs="Times New Roman"/>
          <w:i/>
          <w:sz w:val="24"/>
          <w:szCs w:val="24"/>
        </w:rPr>
        <w:t>a</w:t>
      </w:r>
      <w:r w:rsidR="004F6F6A">
        <w:rPr>
          <w:rFonts w:ascii="Times New Roman" w:hAnsi="Times New Roman" w:cs="Times New Roman"/>
          <w:i/>
          <w:sz w:val="24"/>
          <w:szCs w:val="24"/>
        </w:rPr>
        <w:t>ureus</w:t>
      </w:r>
      <w:r w:rsidR="004F6F6A">
        <w:rPr>
          <w:rFonts w:ascii="Times New Roman" w:hAnsi="Times New Roman" w:cs="Times New Roman"/>
          <w:sz w:val="24"/>
          <w:szCs w:val="24"/>
        </w:rPr>
        <w:t xml:space="preserve"> revealed </w:t>
      </w:r>
      <w:proofErr w:type="gramStart"/>
      <w:r w:rsidR="004F6F6A">
        <w:rPr>
          <w:rFonts w:ascii="Times New Roman" w:hAnsi="Times New Roman" w:cs="Times New Roman"/>
          <w:sz w:val="24"/>
          <w:szCs w:val="24"/>
        </w:rPr>
        <w:t>a dynamic</w:t>
      </w:r>
      <w:proofErr w:type="gramEnd"/>
      <w:r w:rsidR="004F6F6A">
        <w:rPr>
          <w:rFonts w:ascii="Times New Roman" w:hAnsi="Times New Roman" w:cs="Times New Roman"/>
          <w:sz w:val="24"/>
          <w:szCs w:val="24"/>
        </w:rPr>
        <w:t xml:space="preserve"> </w:t>
      </w:r>
      <w:r w:rsidR="00950801">
        <w:rPr>
          <w:rFonts w:ascii="Times New Roman" w:hAnsi="Times New Roman" w:cs="Times New Roman"/>
          <w:sz w:val="24"/>
          <w:szCs w:val="24"/>
        </w:rPr>
        <w:t xml:space="preserve">peptidoglycan </w:t>
      </w:r>
      <w:r w:rsidR="004F6F6A">
        <w:rPr>
          <w:rFonts w:ascii="Times New Roman" w:hAnsi="Times New Roman" w:cs="Times New Roman"/>
          <w:sz w:val="24"/>
          <w:szCs w:val="24"/>
        </w:rPr>
        <w:t xml:space="preserve">architecture </w:t>
      </w:r>
      <w:r w:rsidR="00632440">
        <w:rPr>
          <w:rFonts w:ascii="Times New Roman" w:hAnsi="Times New Roman" w:cs="Times New Roman"/>
          <w:sz w:val="24"/>
          <w:szCs w:val="24"/>
        </w:rPr>
        <w:t xml:space="preserve">of rings and </w:t>
      </w:r>
      <w:r w:rsidR="004F6F6A">
        <w:rPr>
          <w:rFonts w:ascii="Times New Roman" w:hAnsi="Times New Roman" w:cs="Times New Roman"/>
          <w:sz w:val="24"/>
          <w:szCs w:val="24"/>
        </w:rPr>
        <w:t xml:space="preserve">knobbles, </w:t>
      </w:r>
      <w:r w:rsidR="002C6759">
        <w:rPr>
          <w:rFonts w:ascii="Times New Roman" w:hAnsi="Times New Roman" w:cs="Times New Roman"/>
          <w:sz w:val="24"/>
          <w:szCs w:val="24"/>
        </w:rPr>
        <w:t>growth by peptidoglycan maturation</w:t>
      </w:r>
      <w:r w:rsidR="00F700A9">
        <w:rPr>
          <w:rFonts w:ascii="Times New Roman" w:hAnsi="Times New Roman" w:cs="Times New Roman"/>
          <w:sz w:val="24"/>
          <w:szCs w:val="24"/>
        </w:rPr>
        <w:t>,</w:t>
      </w:r>
      <w:r w:rsidR="002C6759">
        <w:rPr>
          <w:rFonts w:ascii="Times New Roman" w:hAnsi="Times New Roman" w:cs="Times New Roman"/>
          <w:sz w:val="24"/>
          <w:szCs w:val="24"/>
        </w:rPr>
        <w:t xml:space="preserve"> </w:t>
      </w:r>
      <w:r w:rsidR="004F6F6A">
        <w:rPr>
          <w:rFonts w:ascii="Times New Roman" w:hAnsi="Times New Roman" w:cs="Times New Roman"/>
          <w:sz w:val="24"/>
          <w:szCs w:val="24"/>
        </w:rPr>
        <w:t>and a system of heritable peptidoglycan ribs</w:t>
      </w:r>
      <w:r w:rsidR="00950801">
        <w:rPr>
          <w:rFonts w:ascii="Times New Roman" w:hAnsi="Times New Roman" w:cs="Times New Roman"/>
          <w:sz w:val="24"/>
          <w:szCs w:val="24"/>
        </w:rPr>
        <w:t xml:space="preserve">. </w:t>
      </w:r>
      <w:r w:rsidR="002C6759">
        <w:rPr>
          <w:rFonts w:ascii="Times New Roman" w:hAnsi="Times New Roman" w:cs="Times New Roman"/>
          <w:sz w:val="24"/>
          <w:szCs w:val="24"/>
        </w:rPr>
        <w:t>R</w:t>
      </w:r>
      <w:r w:rsidR="00950801">
        <w:rPr>
          <w:rFonts w:ascii="Times New Roman" w:hAnsi="Times New Roman" w:cs="Times New Roman"/>
          <w:sz w:val="24"/>
          <w:szCs w:val="24"/>
        </w:rPr>
        <w:t>ibs</w:t>
      </w:r>
      <w:r w:rsidR="004D7213">
        <w:rPr>
          <w:rFonts w:ascii="Times New Roman" w:hAnsi="Times New Roman" w:cs="Times New Roman"/>
          <w:sz w:val="24"/>
          <w:szCs w:val="24"/>
        </w:rPr>
        <w:t xml:space="preserve"> </w:t>
      </w:r>
      <w:r w:rsidR="004F6F6A">
        <w:rPr>
          <w:rFonts w:ascii="Times New Roman" w:hAnsi="Times New Roman" w:cs="Times New Roman"/>
          <w:sz w:val="24"/>
          <w:szCs w:val="24"/>
        </w:rPr>
        <w:t xml:space="preserve">may provide a </w:t>
      </w:r>
      <w:r w:rsidR="004D7213">
        <w:rPr>
          <w:rFonts w:ascii="Times New Roman" w:hAnsi="Times New Roman" w:cs="Times New Roman"/>
          <w:sz w:val="24"/>
          <w:szCs w:val="24"/>
        </w:rPr>
        <w:t xml:space="preserve">structural </w:t>
      </w:r>
      <w:r w:rsidR="004F6F6A">
        <w:rPr>
          <w:rFonts w:ascii="Times New Roman" w:hAnsi="Times New Roman" w:cs="Times New Roman"/>
          <w:sz w:val="24"/>
          <w:szCs w:val="24"/>
        </w:rPr>
        <w:t>mechanism for coordinating orthogonal division</w:t>
      </w:r>
      <w:r w:rsidR="00632440">
        <w:rPr>
          <w:rFonts w:ascii="Times New Roman" w:hAnsi="Times New Roman" w:cs="Times New Roman"/>
          <w:sz w:val="24"/>
          <w:szCs w:val="24"/>
        </w:rPr>
        <w:t xml:space="preserve"> on three planes</w:t>
      </w:r>
      <w:r w:rsidR="004F6F6A">
        <w:rPr>
          <w:rFonts w:ascii="Times New Roman" w:hAnsi="Times New Roman" w:cs="Times New Roman"/>
          <w:sz w:val="24"/>
          <w:szCs w:val="24"/>
        </w:rPr>
        <w:t>.</w:t>
      </w:r>
      <w:r w:rsidR="00632440">
        <w:rPr>
          <w:rFonts w:ascii="Times New Roman" w:hAnsi="Times New Roman" w:cs="Times New Roman"/>
          <w:sz w:val="24"/>
          <w:szCs w:val="24"/>
        </w:rPr>
        <w:t xml:space="preserve"> </w:t>
      </w:r>
      <w:r w:rsidR="00843797">
        <w:rPr>
          <w:rFonts w:ascii="Times New Roman" w:hAnsi="Times New Roman" w:cs="Times New Roman"/>
          <w:sz w:val="24"/>
          <w:szCs w:val="24"/>
        </w:rPr>
        <w:t xml:space="preserve">We hypothesised </w:t>
      </w:r>
      <w:r w:rsidR="002C6759">
        <w:rPr>
          <w:rFonts w:ascii="Times New Roman" w:hAnsi="Times New Roman" w:cs="Times New Roman"/>
          <w:sz w:val="24"/>
          <w:szCs w:val="24"/>
        </w:rPr>
        <w:t>cell wall growth occurs via the activity of</w:t>
      </w:r>
      <w:r w:rsidR="00843797">
        <w:rPr>
          <w:rFonts w:ascii="Times New Roman" w:hAnsi="Times New Roman" w:cs="Times New Roman"/>
          <w:sz w:val="24"/>
          <w:szCs w:val="24"/>
        </w:rPr>
        <w:t xml:space="preserve"> </w:t>
      </w:r>
      <w:r w:rsidR="00843797">
        <w:rPr>
          <w:rFonts w:ascii="Times New Roman" w:hAnsi="Times New Roman" w:cs="Times New Roman"/>
          <w:i/>
          <w:color w:val="000000"/>
          <w:sz w:val="24"/>
          <w:szCs w:val="24"/>
        </w:rPr>
        <w:t>N</w:t>
      </w:r>
      <w:r w:rsidR="00843797" w:rsidRPr="00EF124C">
        <w:rPr>
          <w:rFonts w:ascii="Times New Roman" w:hAnsi="Times New Roman" w:cs="Times New Roman"/>
          <w:color w:val="000000"/>
          <w:sz w:val="24"/>
          <w:szCs w:val="24"/>
        </w:rPr>
        <w:t>-</w:t>
      </w:r>
      <w:r w:rsidR="00843797">
        <w:rPr>
          <w:rFonts w:ascii="Times New Roman" w:hAnsi="Times New Roman" w:cs="Times New Roman"/>
          <w:color w:val="000000"/>
          <w:sz w:val="24"/>
          <w:szCs w:val="24"/>
        </w:rPr>
        <w:t>acetyl-β-</w:t>
      </w:r>
      <w:r w:rsidR="00843797" w:rsidRPr="00CC2609">
        <w:rPr>
          <w:rFonts w:ascii="Times New Roman" w:hAnsi="Times New Roman" w:cs="Times New Roman"/>
          <w:color w:val="000000"/>
          <w:sz w:val="16"/>
          <w:szCs w:val="16"/>
        </w:rPr>
        <w:t>D</w:t>
      </w:r>
      <w:r w:rsidR="00843797">
        <w:rPr>
          <w:rFonts w:ascii="Times New Roman" w:hAnsi="Times New Roman" w:cs="Times New Roman"/>
          <w:color w:val="000000"/>
          <w:sz w:val="24"/>
          <w:szCs w:val="24"/>
        </w:rPr>
        <w:t>-glucosaminidases</w:t>
      </w:r>
      <w:r w:rsidR="00843797">
        <w:rPr>
          <w:rFonts w:ascii="Times New Roman" w:hAnsi="Times New Roman" w:cs="Times New Roman"/>
          <w:sz w:val="24"/>
          <w:szCs w:val="24"/>
        </w:rPr>
        <w:t xml:space="preserve">. </w:t>
      </w:r>
      <w:r w:rsidR="002C6759">
        <w:rPr>
          <w:rFonts w:ascii="Times New Roman" w:hAnsi="Times New Roman" w:cs="Times New Roman"/>
          <w:sz w:val="24"/>
          <w:szCs w:val="24"/>
        </w:rPr>
        <w:t>F</w:t>
      </w:r>
      <w:r w:rsidR="00843797">
        <w:rPr>
          <w:rFonts w:ascii="Times New Roman" w:hAnsi="Times New Roman" w:cs="Times New Roman"/>
          <w:sz w:val="24"/>
          <w:szCs w:val="24"/>
        </w:rPr>
        <w:t xml:space="preserve">our putative </w:t>
      </w:r>
      <w:r w:rsidR="00843797">
        <w:rPr>
          <w:rFonts w:ascii="Times New Roman" w:hAnsi="Times New Roman" w:cs="Times New Roman"/>
          <w:color w:val="000000"/>
          <w:sz w:val="24"/>
          <w:szCs w:val="24"/>
        </w:rPr>
        <w:t>glucosaminidases</w:t>
      </w:r>
      <w:r w:rsidR="002C6759">
        <w:rPr>
          <w:rFonts w:ascii="Times New Roman" w:hAnsi="Times New Roman" w:cs="Times New Roman"/>
          <w:color w:val="000000"/>
          <w:sz w:val="24"/>
          <w:szCs w:val="24"/>
        </w:rPr>
        <w:t xml:space="preserve"> were identified, with</w:t>
      </w:r>
      <w:r w:rsidR="00843797">
        <w:rPr>
          <w:rFonts w:ascii="Times New Roman" w:hAnsi="Times New Roman" w:cs="Times New Roman"/>
          <w:sz w:val="24"/>
          <w:szCs w:val="24"/>
        </w:rPr>
        <w:t xml:space="preserve"> SagB</w:t>
      </w:r>
      <w:r w:rsidR="002C6759">
        <w:rPr>
          <w:rFonts w:ascii="Times New Roman" w:hAnsi="Times New Roman" w:cs="Times New Roman"/>
          <w:sz w:val="24"/>
          <w:szCs w:val="24"/>
        </w:rPr>
        <w:t xml:space="preserve"> found to have</w:t>
      </w:r>
      <w:r w:rsidR="00843797">
        <w:rPr>
          <w:rFonts w:ascii="Times New Roman" w:hAnsi="Times New Roman" w:cs="Times New Roman"/>
          <w:sz w:val="24"/>
          <w:szCs w:val="24"/>
        </w:rPr>
        <w:t xml:space="preserve"> a major role i</w:t>
      </w:r>
      <w:r w:rsidR="006809B5">
        <w:rPr>
          <w:rFonts w:ascii="Times New Roman" w:hAnsi="Times New Roman" w:cs="Times New Roman"/>
          <w:sz w:val="24"/>
          <w:szCs w:val="24"/>
        </w:rPr>
        <w:t xml:space="preserve">n </w:t>
      </w:r>
      <w:r w:rsidR="002C6759">
        <w:rPr>
          <w:rFonts w:ascii="Times New Roman" w:hAnsi="Times New Roman" w:cs="Times New Roman"/>
          <w:sz w:val="24"/>
          <w:szCs w:val="24"/>
        </w:rPr>
        <w:t>glycan strand length determination</w:t>
      </w:r>
      <w:r w:rsidR="00950801">
        <w:rPr>
          <w:rFonts w:ascii="Times New Roman" w:hAnsi="Times New Roman" w:cs="Times New Roman"/>
          <w:sz w:val="24"/>
          <w:szCs w:val="24"/>
        </w:rPr>
        <w:t xml:space="preserve">. </w:t>
      </w:r>
      <w:r w:rsidR="00571B87">
        <w:rPr>
          <w:rFonts w:ascii="Times New Roman" w:hAnsi="Times New Roman" w:cs="Times New Roman"/>
          <w:sz w:val="24"/>
          <w:szCs w:val="24"/>
        </w:rPr>
        <w:t>H</w:t>
      </w:r>
      <w:r w:rsidR="00950801">
        <w:rPr>
          <w:rFonts w:ascii="Times New Roman" w:hAnsi="Times New Roman" w:cs="Times New Roman"/>
          <w:sz w:val="24"/>
          <w:szCs w:val="24"/>
        </w:rPr>
        <w:t>ydrolysis of the septal cross</w:t>
      </w:r>
      <w:r w:rsidR="00AE6573">
        <w:rPr>
          <w:rFonts w:ascii="Times New Roman" w:hAnsi="Times New Roman" w:cs="Times New Roman"/>
          <w:sz w:val="24"/>
          <w:szCs w:val="24"/>
        </w:rPr>
        <w:t>-</w:t>
      </w:r>
      <w:r w:rsidR="00950801">
        <w:rPr>
          <w:rFonts w:ascii="Times New Roman" w:hAnsi="Times New Roman" w:cs="Times New Roman"/>
          <w:sz w:val="24"/>
          <w:szCs w:val="24"/>
        </w:rPr>
        <w:t>wall by glucosaminidase activity was required for s</w:t>
      </w:r>
      <w:r w:rsidR="00F95734" w:rsidRPr="00F95734">
        <w:rPr>
          <w:rFonts w:ascii="Times New Roman" w:hAnsi="Times New Roman" w:cs="Times New Roman"/>
          <w:sz w:val="24"/>
          <w:szCs w:val="24"/>
        </w:rPr>
        <w:t xml:space="preserve">pherical </w:t>
      </w:r>
      <w:r w:rsidR="00950801">
        <w:rPr>
          <w:rFonts w:ascii="Times New Roman" w:hAnsi="Times New Roman" w:cs="Times New Roman"/>
          <w:sz w:val="24"/>
          <w:szCs w:val="24"/>
        </w:rPr>
        <w:t>shape</w:t>
      </w:r>
      <w:r w:rsidR="00571B87">
        <w:rPr>
          <w:rFonts w:ascii="Times New Roman" w:hAnsi="Times New Roman" w:cs="Times New Roman"/>
          <w:sz w:val="24"/>
          <w:szCs w:val="24"/>
        </w:rPr>
        <w:t>, suggesting a novel mechanism of growth by hydrolysis</w:t>
      </w:r>
      <w:r w:rsidR="00F95734">
        <w:rPr>
          <w:rFonts w:ascii="Times New Roman" w:hAnsi="Times New Roman" w:cs="Times New Roman"/>
          <w:sz w:val="24"/>
          <w:szCs w:val="24"/>
        </w:rPr>
        <w:t>.</w:t>
      </w:r>
    </w:p>
    <w:p w:rsidR="0074346D" w:rsidRDefault="002C6759" w:rsidP="008232B4">
      <w:pPr>
        <w:spacing w:line="480" w:lineRule="auto"/>
        <w:jc w:val="both"/>
        <w:rPr>
          <w:rFonts w:ascii="Times New Roman" w:hAnsi="Times New Roman" w:cs="Times New Roman"/>
          <w:sz w:val="24"/>
          <w:szCs w:val="24"/>
        </w:rPr>
      </w:pPr>
      <w:r>
        <w:rPr>
          <w:rFonts w:ascii="Times New Roman" w:hAnsi="Times New Roman" w:cs="Times New Roman"/>
          <w:sz w:val="24"/>
          <w:szCs w:val="24"/>
        </w:rPr>
        <w:t>My work has highlighted</w:t>
      </w:r>
      <w:r w:rsidR="008232B4">
        <w:rPr>
          <w:rFonts w:ascii="Times New Roman" w:hAnsi="Times New Roman" w:cs="Times New Roman"/>
          <w:sz w:val="24"/>
          <w:szCs w:val="24"/>
        </w:rPr>
        <w:t xml:space="preserve"> diverse and elegant peptidoglycan architectures</w:t>
      </w:r>
      <w:r>
        <w:rPr>
          <w:rFonts w:ascii="Times New Roman" w:hAnsi="Times New Roman" w:cs="Times New Roman"/>
          <w:sz w:val="24"/>
          <w:szCs w:val="24"/>
        </w:rPr>
        <w:t>,</w:t>
      </w:r>
      <w:r w:rsidR="008232B4">
        <w:rPr>
          <w:rFonts w:ascii="Times New Roman" w:hAnsi="Times New Roman" w:cs="Times New Roman"/>
          <w:sz w:val="24"/>
          <w:szCs w:val="24"/>
        </w:rPr>
        <w:t xml:space="preserve"> adapted to meet the unique mechanical requirements of bacteria with different morphologies and strategies for growth and division.</w:t>
      </w:r>
    </w:p>
    <w:p w:rsidR="00B943BF" w:rsidRPr="00B943BF" w:rsidRDefault="0074346D" w:rsidP="00B943BF">
      <w:pPr>
        <w:spacing w:line="480" w:lineRule="auto"/>
        <w:jc w:val="center"/>
        <w:rPr>
          <w:rFonts w:ascii="Times New Roman" w:hAnsi="Times New Roman" w:cs="Times New Roman"/>
          <w:sz w:val="28"/>
          <w:szCs w:val="28"/>
        </w:rPr>
      </w:pPr>
      <w:r>
        <w:rPr>
          <w:rFonts w:ascii="Times New Roman" w:hAnsi="Times New Roman" w:cs="Times New Roman"/>
          <w:sz w:val="24"/>
          <w:szCs w:val="24"/>
        </w:rPr>
        <w:br w:type="page"/>
      </w:r>
      <w:r w:rsidR="00B943BF" w:rsidRPr="00B943BF">
        <w:rPr>
          <w:rFonts w:ascii="Times New Roman" w:hAnsi="Times New Roman" w:cs="Times New Roman"/>
          <w:sz w:val="28"/>
          <w:szCs w:val="28"/>
        </w:rPr>
        <w:lastRenderedPageBreak/>
        <w:t>Acknowledgements</w:t>
      </w:r>
    </w:p>
    <w:p w:rsidR="00B943BF" w:rsidRDefault="00B943BF" w:rsidP="00B943BF">
      <w:pPr>
        <w:spacing w:line="480" w:lineRule="auto"/>
        <w:jc w:val="both"/>
        <w:rPr>
          <w:rFonts w:ascii="Times New Roman" w:hAnsi="Times New Roman" w:cs="Times New Roman"/>
          <w:sz w:val="24"/>
          <w:szCs w:val="24"/>
        </w:rPr>
      </w:pPr>
      <w:r>
        <w:rPr>
          <w:rFonts w:ascii="Times New Roman" w:hAnsi="Times New Roman" w:cs="Times New Roman"/>
          <w:sz w:val="24"/>
          <w:szCs w:val="24"/>
        </w:rPr>
        <w:t>I am extremely grateful to Prof. Simon Foster for giving me to opportunity to carry out my PhD, and for his g</w:t>
      </w:r>
      <w:r w:rsidR="00F900A8">
        <w:rPr>
          <w:rFonts w:ascii="Times New Roman" w:hAnsi="Times New Roman" w:cs="Times New Roman"/>
          <w:sz w:val="24"/>
          <w:szCs w:val="24"/>
        </w:rPr>
        <w:t>uidance and support throughout.</w:t>
      </w:r>
    </w:p>
    <w:p w:rsidR="00815B51" w:rsidRDefault="00B943BF" w:rsidP="00B943BF">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I am also grateful to many past and present members of the Foster lab. I am indebted to </w:t>
      </w:r>
      <w:r w:rsidR="00815B51">
        <w:rPr>
          <w:rFonts w:ascii="Times New Roman" w:hAnsi="Times New Roman" w:cs="Times New Roman"/>
          <w:sz w:val="24"/>
          <w:szCs w:val="24"/>
        </w:rPr>
        <w:t>Dr. Emma Ratcliffe and</w:t>
      </w:r>
      <w:r w:rsidR="00815B51" w:rsidRPr="00FB6051">
        <w:rPr>
          <w:rFonts w:ascii="Times New Roman" w:hAnsi="Times New Roman" w:cs="Times New Roman"/>
          <w:sz w:val="24"/>
          <w:szCs w:val="24"/>
        </w:rPr>
        <w:t xml:space="preserve"> </w:t>
      </w:r>
      <w:r w:rsidR="00815B51">
        <w:rPr>
          <w:rFonts w:ascii="Times New Roman" w:hAnsi="Times New Roman" w:cs="Times New Roman"/>
          <w:sz w:val="24"/>
          <w:szCs w:val="24"/>
        </w:rPr>
        <w:t xml:space="preserve">Dr. Bob Turner for their contribution to the AFM analysis, and </w:t>
      </w:r>
      <w:r>
        <w:rPr>
          <w:rFonts w:ascii="Times New Roman" w:hAnsi="Times New Roman" w:cs="Times New Roman"/>
          <w:sz w:val="24"/>
          <w:szCs w:val="24"/>
        </w:rPr>
        <w:t>Dr. Stéphane Mesnage and</w:t>
      </w:r>
      <w:r w:rsidRPr="00FB6051">
        <w:rPr>
          <w:rFonts w:ascii="Times New Roman" w:hAnsi="Times New Roman" w:cs="Times New Roman"/>
          <w:sz w:val="24"/>
          <w:szCs w:val="24"/>
        </w:rPr>
        <w:t xml:space="preserve"> </w:t>
      </w:r>
      <w:r>
        <w:rPr>
          <w:rFonts w:ascii="Times New Roman" w:hAnsi="Times New Roman" w:cs="Times New Roman"/>
          <w:sz w:val="24"/>
          <w:szCs w:val="24"/>
        </w:rPr>
        <w:t xml:space="preserve">Dr. Ivo Boneca for </w:t>
      </w:r>
      <w:r w:rsidR="00F1540B">
        <w:rPr>
          <w:rFonts w:ascii="Times New Roman" w:hAnsi="Times New Roman" w:cs="Times New Roman"/>
          <w:sz w:val="24"/>
          <w:szCs w:val="24"/>
        </w:rPr>
        <w:t xml:space="preserve">their </w:t>
      </w:r>
      <w:r>
        <w:rPr>
          <w:rFonts w:ascii="Times New Roman" w:hAnsi="Times New Roman" w:cs="Times New Roman"/>
          <w:sz w:val="24"/>
          <w:szCs w:val="24"/>
        </w:rPr>
        <w:t>contributi</w:t>
      </w:r>
      <w:r w:rsidR="00815B51">
        <w:rPr>
          <w:rFonts w:ascii="Times New Roman" w:hAnsi="Times New Roman" w:cs="Times New Roman"/>
          <w:sz w:val="24"/>
          <w:szCs w:val="24"/>
        </w:rPr>
        <w:t>on</w:t>
      </w:r>
      <w:r>
        <w:rPr>
          <w:rFonts w:ascii="Times New Roman" w:hAnsi="Times New Roman" w:cs="Times New Roman"/>
          <w:sz w:val="24"/>
          <w:szCs w:val="24"/>
        </w:rPr>
        <w:t xml:space="preserve"> to the biochemical analysis in this project</w:t>
      </w:r>
      <w:r w:rsidR="00815B51">
        <w:rPr>
          <w:rFonts w:ascii="Times New Roman" w:hAnsi="Times New Roman" w:cs="Times New Roman"/>
          <w:sz w:val="24"/>
          <w:szCs w:val="24"/>
        </w:rPr>
        <w:t xml:space="preserve">. </w:t>
      </w:r>
      <w:r w:rsidR="00F900A8">
        <w:rPr>
          <w:rFonts w:ascii="Times New Roman" w:hAnsi="Times New Roman" w:cs="Times New Roman"/>
          <w:sz w:val="24"/>
          <w:szCs w:val="24"/>
        </w:rPr>
        <w:t xml:space="preserve">I would like to thank Dr. Simon Jones from the Department of Chemistry, </w:t>
      </w:r>
      <w:r>
        <w:rPr>
          <w:rFonts w:ascii="Times New Roman" w:hAnsi="Times New Roman" w:cs="Times New Roman"/>
          <w:sz w:val="24"/>
          <w:szCs w:val="24"/>
        </w:rPr>
        <w:t xml:space="preserve">Prof. Jamie Hobbs at the AFM facility and Chris Hill at the electron microscopy facility for their </w:t>
      </w:r>
      <w:r w:rsidR="00F900A8">
        <w:rPr>
          <w:rFonts w:ascii="Times New Roman" w:hAnsi="Times New Roman" w:cs="Times New Roman"/>
          <w:sz w:val="24"/>
          <w:szCs w:val="24"/>
        </w:rPr>
        <w:t xml:space="preserve">valuable advice and </w:t>
      </w:r>
      <w:r>
        <w:rPr>
          <w:rFonts w:ascii="Times New Roman" w:hAnsi="Times New Roman" w:cs="Times New Roman"/>
          <w:sz w:val="24"/>
          <w:szCs w:val="24"/>
        </w:rPr>
        <w:t>technical assistance, and Dr. Markus Posch</w:t>
      </w:r>
      <w:r w:rsidR="00AE6573">
        <w:rPr>
          <w:rFonts w:ascii="Times New Roman" w:hAnsi="Times New Roman" w:cs="Times New Roman"/>
          <w:sz w:val="24"/>
          <w:szCs w:val="24"/>
        </w:rPr>
        <w:t>,</w:t>
      </w:r>
      <w:r w:rsidR="00AE6573" w:rsidRPr="00AE6573">
        <w:rPr>
          <w:rFonts w:ascii="Times New Roman" w:hAnsi="Times New Roman" w:cs="Times New Roman"/>
          <w:sz w:val="24"/>
          <w:szCs w:val="24"/>
        </w:rPr>
        <w:t xml:space="preserve"> </w:t>
      </w:r>
      <w:r w:rsidR="00AE6573">
        <w:rPr>
          <w:rFonts w:ascii="Times New Roman" w:hAnsi="Times New Roman" w:cs="Times New Roman"/>
          <w:sz w:val="24"/>
          <w:szCs w:val="24"/>
        </w:rPr>
        <w:t>University of Dundee,</w:t>
      </w:r>
      <w:r>
        <w:rPr>
          <w:rFonts w:ascii="Times New Roman" w:hAnsi="Times New Roman" w:cs="Times New Roman"/>
          <w:sz w:val="24"/>
          <w:szCs w:val="24"/>
        </w:rPr>
        <w:t xml:space="preserve"> </w:t>
      </w:r>
      <w:r w:rsidR="00815B51">
        <w:rPr>
          <w:rFonts w:ascii="Times New Roman" w:hAnsi="Times New Roman" w:cs="Times New Roman"/>
          <w:sz w:val="24"/>
          <w:szCs w:val="24"/>
        </w:rPr>
        <w:t>for the use of the OMX f</w:t>
      </w:r>
      <w:r>
        <w:rPr>
          <w:rFonts w:ascii="Times New Roman" w:hAnsi="Times New Roman" w:cs="Times New Roman"/>
          <w:sz w:val="24"/>
          <w:szCs w:val="24"/>
        </w:rPr>
        <w:t>acility.</w:t>
      </w:r>
      <w:r w:rsidR="00F900A8">
        <w:rPr>
          <w:rFonts w:ascii="Times New Roman" w:hAnsi="Times New Roman" w:cs="Times New Roman"/>
          <w:sz w:val="24"/>
          <w:szCs w:val="24"/>
        </w:rPr>
        <w:t xml:space="preserve"> </w:t>
      </w:r>
      <w:r w:rsidR="00815B51">
        <w:rPr>
          <w:rFonts w:ascii="Times New Roman" w:hAnsi="Times New Roman" w:cs="Times New Roman"/>
          <w:sz w:val="24"/>
          <w:szCs w:val="24"/>
        </w:rPr>
        <w:t xml:space="preserve">I would </w:t>
      </w:r>
      <w:r w:rsidR="00AE6573">
        <w:rPr>
          <w:rFonts w:ascii="Times New Roman" w:hAnsi="Times New Roman" w:cs="Times New Roman"/>
          <w:sz w:val="24"/>
          <w:szCs w:val="24"/>
        </w:rPr>
        <w:t xml:space="preserve">also </w:t>
      </w:r>
      <w:r w:rsidR="00815B51">
        <w:rPr>
          <w:rFonts w:ascii="Times New Roman" w:hAnsi="Times New Roman" w:cs="Times New Roman"/>
          <w:sz w:val="24"/>
          <w:szCs w:val="24"/>
        </w:rPr>
        <w:t>like thank the BBSRC for funding my PhD.</w:t>
      </w:r>
    </w:p>
    <w:p w:rsidR="00B943BF" w:rsidRDefault="00B943BF" w:rsidP="00B943BF">
      <w:pPr>
        <w:spacing w:line="480" w:lineRule="auto"/>
        <w:rPr>
          <w:rFonts w:ascii="Times New Roman" w:hAnsi="Times New Roman" w:cs="Times New Roman"/>
          <w:sz w:val="24"/>
          <w:szCs w:val="24"/>
        </w:rPr>
      </w:pPr>
      <w:r>
        <w:rPr>
          <w:rFonts w:ascii="Times New Roman" w:hAnsi="Times New Roman" w:cs="Times New Roman"/>
          <w:sz w:val="24"/>
          <w:szCs w:val="24"/>
        </w:rPr>
        <w:t>Finally, I would like to thank my family and friends for their support, particularly the friends I have made during my time here in Sheffield.</w:t>
      </w:r>
    </w:p>
    <w:p w:rsidR="00B943BF" w:rsidRDefault="00B943BF">
      <w:pPr>
        <w:rPr>
          <w:rFonts w:ascii="Times New Roman" w:hAnsi="Times New Roman" w:cs="Times New Roman"/>
          <w:sz w:val="24"/>
          <w:szCs w:val="24"/>
        </w:rPr>
      </w:pPr>
      <w:r>
        <w:rPr>
          <w:rFonts w:ascii="Times New Roman" w:hAnsi="Times New Roman" w:cs="Times New Roman"/>
          <w:sz w:val="24"/>
          <w:szCs w:val="24"/>
        </w:rPr>
        <w:br w:type="page"/>
      </w:r>
    </w:p>
    <w:p w:rsidR="00F95734" w:rsidRPr="00B943BF" w:rsidRDefault="00B943BF" w:rsidP="00B943BF">
      <w:pPr>
        <w:spacing w:line="480" w:lineRule="auto"/>
        <w:jc w:val="center"/>
        <w:rPr>
          <w:rFonts w:ascii="Times New Roman" w:hAnsi="Times New Roman" w:cs="Times New Roman"/>
          <w:sz w:val="28"/>
          <w:szCs w:val="28"/>
        </w:rPr>
      </w:pPr>
      <w:r w:rsidRPr="00B943BF">
        <w:rPr>
          <w:rFonts w:ascii="Times New Roman" w:hAnsi="Times New Roman" w:cs="Times New Roman"/>
          <w:sz w:val="28"/>
          <w:szCs w:val="28"/>
        </w:rPr>
        <w:lastRenderedPageBreak/>
        <w:t>Publications from this study</w:t>
      </w:r>
    </w:p>
    <w:p w:rsidR="00B943BF" w:rsidRDefault="00B943BF" w:rsidP="00B943BF">
      <w:pPr>
        <w:pStyle w:val="Bibliography"/>
        <w:spacing w:after="360" w:line="480" w:lineRule="auto"/>
        <w:ind w:left="0" w:firstLine="0"/>
        <w:rPr>
          <w:rFonts w:ascii="Times New Roman" w:hAnsi="Times New Roman" w:cs="Times New Roman"/>
          <w:sz w:val="24"/>
          <w:szCs w:val="24"/>
        </w:rPr>
      </w:pPr>
      <w:r w:rsidRPr="00B943BF">
        <w:rPr>
          <w:rFonts w:ascii="Times New Roman" w:hAnsi="Times New Roman" w:cs="Times New Roman"/>
          <w:b/>
          <w:sz w:val="24"/>
          <w:szCs w:val="24"/>
        </w:rPr>
        <w:t xml:space="preserve">Wheeler, R., Mesnage, S., Boneca, I.G., Hobbs, J.K., Foster, S.J., 2011. </w:t>
      </w:r>
      <w:r w:rsidRPr="00B943BF">
        <w:rPr>
          <w:rFonts w:ascii="Times New Roman" w:hAnsi="Times New Roman" w:cs="Times New Roman"/>
          <w:sz w:val="24"/>
          <w:szCs w:val="24"/>
        </w:rPr>
        <w:t xml:space="preserve">Super-resolution microscopy reveals cell wall dynamics and peptidoglycan architecture in ovococcal bacteria. </w:t>
      </w:r>
      <w:r w:rsidRPr="00B943BF">
        <w:rPr>
          <w:rFonts w:ascii="Times New Roman" w:hAnsi="Times New Roman" w:cs="Times New Roman"/>
          <w:i/>
          <w:sz w:val="24"/>
          <w:szCs w:val="24"/>
        </w:rPr>
        <w:t>Mol. Microbiol</w:t>
      </w:r>
      <w:r w:rsidRPr="00B943BF">
        <w:rPr>
          <w:rFonts w:ascii="Times New Roman" w:hAnsi="Times New Roman" w:cs="Times New Roman"/>
          <w:sz w:val="24"/>
          <w:szCs w:val="24"/>
        </w:rPr>
        <w:t>. 82, 1096–1109.</w:t>
      </w:r>
    </w:p>
    <w:p w:rsidR="00B943BF" w:rsidRPr="00B943BF" w:rsidRDefault="00F32282" w:rsidP="00B943BF">
      <w:pPr>
        <w:pStyle w:val="Bibliography"/>
        <w:spacing w:after="360" w:line="480" w:lineRule="auto"/>
        <w:ind w:left="0" w:firstLine="0"/>
        <w:rPr>
          <w:rFonts w:ascii="Times New Roman" w:hAnsi="Times New Roman" w:cs="Times New Roman"/>
          <w:sz w:val="24"/>
          <w:szCs w:val="24"/>
        </w:rPr>
      </w:pPr>
      <w:r w:rsidRPr="00B943BF">
        <w:rPr>
          <w:rFonts w:ascii="Times New Roman" w:hAnsi="Times New Roman" w:cs="Times New Roman"/>
          <w:sz w:val="24"/>
          <w:szCs w:val="24"/>
        </w:rPr>
        <w:fldChar w:fldCharType="begin"/>
      </w:r>
      <w:r w:rsidR="00B943BF" w:rsidRPr="00B943BF">
        <w:rPr>
          <w:rFonts w:ascii="Times New Roman" w:hAnsi="Times New Roman" w:cs="Times New Roman"/>
          <w:sz w:val="24"/>
          <w:szCs w:val="24"/>
        </w:rPr>
        <w:instrText xml:space="preserve"> ADDIN ZOTERO_BIBL {"custom":[]} CSL_BIBLIOGRAPHY </w:instrText>
      </w:r>
      <w:r w:rsidRPr="00B943BF">
        <w:rPr>
          <w:rFonts w:ascii="Times New Roman" w:hAnsi="Times New Roman" w:cs="Times New Roman"/>
          <w:sz w:val="24"/>
          <w:szCs w:val="24"/>
        </w:rPr>
        <w:fldChar w:fldCharType="separate"/>
      </w:r>
      <w:r w:rsidR="00B943BF" w:rsidRPr="00B943BF">
        <w:rPr>
          <w:rFonts w:ascii="Times New Roman" w:hAnsi="Times New Roman" w:cs="Times New Roman"/>
          <w:b/>
          <w:sz w:val="24"/>
          <w:szCs w:val="24"/>
        </w:rPr>
        <w:t xml:space="preserve">Turner, R.D., Ratcliffe, E.C., Wheeler, R., Golestanian, R., Hobbs, J.K., Foster, S.J., 2010. </w:t>
      </w:r>
      <w:r w:rsidR="00B943BF" w:rsidRPr="00B943BF">
        <w:rPr>
          <w:rFonts w:ascii="Times New Roman" w:hAnsi="Times New Roman" w:cs="Times New Roman"/>
          <w:sz w:val="24"/>
          <w:szCs w:val="24"/>
        </w:rPr>
        <w:t xml:space="preserve">Peptidoglycan architecture can specify division planes in </w:t>
      </w:r>
      <w:r w:rsidR="00B943BF" w:rsidRPr="00B943BF">
        <w:rPr>
          <w:rFonts w:ascii="Times New Roman" w:hAnsi="Times New Roman" w:cs="Times New Roman"/>
          <w:i/>
          <w:sz w:val="24"/>
          <w:szCs w:val="24"/>
        </w:rPr>
        <w:t>Staphylococcus aureus</w:t>
      </w:r>
      <w:r w:rsidR="00B943BF" w:rsidRPr="00B943BF">
        <w:rPr>
          <w:rFonts w:ascii="Times New Roman" w:hAnsi="Times New Roman" w:cs="Times New Roman"/>
          <w:sz w:val="24"/>
          <w:szCs w:val="24"/>
        </w:rPr>
        <w:t>.</w:t>
      </w:r>
      <w:r w:rsidR="00B943BF" w:rsidRPr="00B943BF">
        <w:rPr>
          <w:rFonts w:ascii="Times New Roman" w:hAnsi="Times New Roman" w:cs="Times New Roman"/>
          <w:i/>
          <w:sz w:val="24"/>
          <w:szCs w:val="24"/>
        </w:rPr>
        <w:t xml:space="preserve"> Nat Commun</w:t>
      </w:r>
      <w:r w:rsidR="00B943BF">
        <w:rPr>
          <w:rFonts w:ascii="Times New Roman" w:hAnsi="Times New Roman" w:cs="Times New Roman"/>
          <w:sz w:val="24"/>
          <w:szCs w:val="24"/>
        </w:rPr>
        <w:t>.</w:t>
      </w:r>
      <w:r w:rsidR="00B943BF" w:rsidRPr="00B943BF">
        <w:rPr>
          <w:rFonts w:ascii="Times New Roman" w:hAnsi="Times New Roman" w:cs="Times New Roman"/>
          <w:sz w:val="24"/>
          <w:szCs w:val="24"/>
        </w:rPr>
        <w:t xml:space="preserve"> 1, 26.</w:t>
      </w:r>
    </w:p>
    <w:p w:rsidR="00B943BF" w:rsidRDefault="00F32282" w:rsidP="00815B51">
      <w:pPr>
        <w:spacing w:after="360" w:line="480" w:lineRule="auto"/>
        <w:rPr>
          <w:rFonts w:ascii="Times New Roman" w:hAnsi="Times New Roman" w:cs="Times New Roman"/>
          <w:sz w:val="24"/>
          <w:szCs w:val="24"/>
        </w:rPr>
      </w:pPr>
      <w:r w:rsidRPr="00B943BF">
        <w:rPr>
          <w:rFonts w:ascii="Times New Roman" w:hAnsi="Times New Roman" w:cs="Times New Roman"/>
          <w:sz w:val="24"/>
          <w:szCs w:val="24"/>
        </w:rPr>
        <w:fldChar w:fldCharType="end"/>
      </w:r>
      <w:r w:rsidR="00B943BF">
        <w:rPr>
          <w:rFonts w:ascii="Times New Roman" w:hAnsi="Times New Roman" w:cs="Times New Roman"/>
          <w:sz w:val="24"/>
          <w:szCs w:val="24"/>
        </w:rPr>
        <w:br w:type="page"/>
      </w:r>
    </w:p>
    <w:p w:rsidR="00B943BF" w:rsidRPr="00A538F5" w:rsidRDefault="00B943BF" w:rsidP="00B943BF">
      <w:pPr>
        <w:spacing w:after="360"/>
        <w:jc w:val="center"/>
        <w:rPr>
          <w:rFonts w:ascii="Times New Roman" w:hAnsi="Times New Roman" w:cs="Times New Roman"/>
          <w:bCs/>
          <w:sz w:val="28"/>
          <w:szCs w:val="28"/>
        </w:rPr>
      </w:pPr>
      <w:r w:rsidRPr="00A538F5">
        <w:rPr>
          <w:rFonts w:ascii="Times New Roman" w:hAnsi="Times New Roman" w:cs="Times New Roman"/>
          <w:bCs/>
          <w:sz w:val="28"/>
          <w:szCs w:val="28"/>
        </w:rPr>
        <w:lastRenderedPageBreak/>
        <w:t>Abbreviations</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3D</w:t>
      </w:r>
      <w:r w:rsidRPr="00B943BF">
        <w:rPr>
          <w:rFonts w:ascii="Times New Roman" w:hAnsi="Times New Roman" w:cs="Times New Roman"/>
        </w:rPr>
        <w:tab/>
        <w:t>Three dimensional</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sym w:font="Symbol" w:char="F0B0"/>
      </w:r>
      <w:r w:rsidRPr="00B943BF">
        <w:rPr>
          <w:rFonts w:ascii="Times New Roman" w:hAnsi="Times New Roman" w:cs="Times New Roman"/>
        </w:rPr>
        <w:tab/>
        <w:t>Degree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sym w:font="Symbol" w:char="F0B0"/>
      </w:r>
      <w:r w:rsidRPr="00B943BF">
        <w:rPr>
          <w:rFonts w:ascii="Times New Roman" w:hAnsi="Times New Roman" w:cs="Times New Roman"/>
        </w:rPr>
        <w:t>C</w:t>
      </w:r>
      <w:r w:rsidRPr="00B943BF">
        <w:rPr>
          <w:rFonts w:ascii="Times New Roman" w:hAnsi="Times New Roman" w:cs="Times New Roman"/>
        </w:rPr>
        <w:tab/>
        <w:t>Degree Celsius</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A</w:t>
      </w:r>
      <w:r w:rsidRPr="00B943BF">
        <w:rPr>
          <w:rFonts w:ascii="Times New Roman" w:hAnsi="Times New Roman" w:cs="Times New Roman"/>
        </w:rPr>
        <w:tab/>
        <w:t>Septal aperture width</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A</w:t>
      </w:r>
      <w:r w:rsidRPr="00B943BF">
        <w:rPr>
          <w:rFonts w:ascii="Times New Roman" w:hAnsi="Times New Roman" w:cs="Times New Roman"/>
          <w:vertAlign w:val="subscript"/>
        </w:rPr>
        <w:t>x</w:t>
      </w:r>
      <w:r w:rsidRPr="00B943BF">
        <w:rPr>
          <w:rFonts w:ascii="Times New Roman" w:hAnsi="Times New Roman" w:cs="Times New Roman"/>
          <w:vertAlign w:val="subscript"/>
        </w:rPr>
        <w:tab/>
      </w:r>
      <w:r w:rsidRPr="00B943BF">
        <w:rPr>
          <w:rFonts w:ascii="Times New Roman" w:hAnsi="Times New Roman" w:cs="Times New Roman"/>
        </w:rPr>
        <w:t>Absorbance at indicated wavelength x (nm)</w:t>
      </w:r>
    </w:p>
    <w:p w:rsidR="00B943BF" w:rsidRPr="00B943BF" w:rsidRDefault="00B943BF" w:rsidP="00B943BF">
      <w:pPr>
        <w:widowControl w:val="0"/>
        <w:spacing w:after="0"/>
        <w:rPr>
          <w:rFonts w:ascii="Times New Roman" w:hAnsi="Times New Roman" w:cs="Times New Roman"/>
        </w:rPr>
      </w:pPr>
      <w:r w:rsidRPr="00B943BF">
        <w:rPr>
          <w:rFonts w:ascii="Times New Roman" w:hAnsi="Times New Roman" w:cs="Times New Roman"/>
        </w:rPr>
        <w:t>AFM</w:t>
      </w:r>
      <w:r w:rsidRPr="00B943BF">
        <w:rPr>
          <w:rFonts w:ascii="Times New Roman" w:hAnsi="Times New Roman" w:cs="Times New Roman"/>
        </w:rPr>
        <w:tab/>
      </w:r>
      <w:r w:rsidRPr="00B943BF">
        <w:rPr>
          <w:rFonts w:ascii="Times New Roman" w:hAnsi="Times New Roman" w:cs="Times New Roman"/>
        </w:rPr>
        <w:tab/>
        <w:t>Atomic force microscopy</w:t>
      </w:r>
    </w:p>
    <w:p w:rsidR="00B943BF" w:rsidRPr="00B943BF" w:rsidRDefault="00B943BF" w:rsidP="00B943BF">
      <w:pPr>
        <w:widowControl w:val="0"/>
        <w:spacing w:after="0"/>
        <w:rPr>
          <w:rFonts w:ascii="Times New Roman" w:hAnsi="Times New Roman" w:cs="Times New Roman"/>
        </w:rPr>
      </w:pPr>
      <w:r w:rsidRPr="00B943BF">
        <w:rPr>
          <w:rFonts w:ascii="Times New Roman" w:hAnsi="Times New Roman" w:cs="Times New Roman"/>
        </w:rPr>
        <w:t>Ami</w:t>
      </w:r>
      <w:r w:rsidRPr="00B943BF">
        <w:rPr>
          <w:rFonts w:ascii="Times New Roman" w:hAnsi="Times New Roman" w:cs="Times New Roman"/>
        </w:rPr>
        <w:tab/>
      </w:r>
      <w:r w:rsidRPr="00B943BF">
        <w:rPr>
          <w:rFonts w:ascii="Times New Roman" w:hAnsi="Times New Roman" w:cs="Times New Roman"/>
        </w:rPr>
        <w:tab/>
        <w:t>Amidase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Amp</w:t>
      </w:r>
      <w:r w:rsidRPr="00B943BF">
        <w:rPr>
          <w:rFonts w:ascii="Times New Roman" w:hAnsi="Times New Roman" w:cs="Times New Roman"/>
        </w:rPr>
        <w:tab/>
        <w:t>Ampicillin</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APS</w:t>
      </w:r>
      <w:r w:rsidRPr="00B943BF">
        <w:rPr>
          <w:rFonts w:ascii="Times New Roman" w:hAnsi="Times New Roman" w:cs="Times New Roman"/>
        </w:rPr>
        <w:tab/>
        <w:t>A</w:t>
      </w:r>
      <w:r w:rsidR="00AE6573">
        <w:rPr>
          <w:rFonts w:ascii="Times New Roman" w:hAnsi="Times New Roman" w:cs="Times New Roman"/>
        </w:rPr>
        <w:t>m</w:t>
      </w:r>
      <w:r w:rsidRPr="00B943BF">
        <w:rPr>
          <w:rFonts w:ascii="Times New Roman" w:hAnsi="Times New Roman" w:cs="Times New Roman"/>
        </w:rPr>
        <w:t>monium persulphate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BHI</w:t>
      </w:r>
      <w:r w:rsidRPr="00B943BF">
        <w:rPr>
          <w:rFonts w:ascii="Times New Roman" w:hAnsi="Times New Roman" w:cs="Times New Roman"/>
        </w:rPr>
        <w:tab/>
        <w:t>Brain heart infusion</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BODIPY-FL</w:t>
      </w:r>
      <w:r w:rsidRPr="00B943BF">
        <w:rPr>
          <w:rFonts w:ascii="Times New Roman" w:hAnsi="Times New Roman" w:cs="Times New Roman"/>
        </w:rPr>
        <w:tab/>
        <w:t>B</w:t>
      </w:r>
      <w:r w:rsidRPr="00B943BF">
        <w:rPr>
          <w:rFonts w:ascii="Times New Roman" w:hAnsi="Times New Roman" w:cs="Times New Roman"/>
          <w:color w:val="222222"/>
          <w:shd w:val="clear" w:color="auto" w:fill="FFFFFF"/>
        </w:rPr>
        <w:t>oron-dipyrromethene</w:t>
      </w:r>
    </w:p>
    <w:p w:rsidR="00B943BF" w:rsidRPr="00B943BF" w:rsidRDefault="00B943BF" w:rsidP="00B943BF">
      <w:pPr>
        <w:widowControl w:val="0"/>
        <w:tabs>
          <w:tab w:val="left" w:pos="1440"/>
        </w:tabs>
        <w:spacing w:after="0"/>
        <w:ind w:left="1440" w:hanging="1440"/>
        <w:rPr>
          <w:rFonts w:ascii="Times New Roman" w:hAnsi="Times New Roman" w:cs="Times New Roman"/>
        </w:rPr>
      </w:pPr>
      <w:proofErr w:type="gramStart"/>
      <w:r w:rsidRPr="00B943BF">
        <w:rPr>
          <w:rFonts w:ascii="Times New Roman" w:hAnsi="Times New Roman" w:cs="Times New Roman"/>
        </w:rPr>
        <w:t>bp</w:t>
      </w:r>
      <w:proofErr w:type="gramEnd"/>
      <w:r w:rsidRPr="00B943BF">
        <w:rPr>
          <w:rFonts w:ascii="Times New Roman" w:hAnsi="Times New Roman" w:cs="Times New Roman"/>
        </w:rPr>
        <w:tab/>
        <w:t>Base pair</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C</w:t>
      </w:r>
      <w:r w:rsidRPr="00B943BF">
        <w:rPr>
          <w:rFonts w:ascii="Times New Roman" w:hAnsi="Times New Roman" w:cs="Times New Roman"/>
        </w:rPr>
        <w:tab/>
        <w:t>Cross-wall diameter</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C6</w:t>
      </w:r>
      <w:r w:rsidRPr="00B943BF">
        <w:rPr>
          <w:rFonts w:ascii="Times New Roman" w:hAnsi="Times New Roman" w:cs="Times New Roman"/>
        </w:rPr>
        <w:tab/>
        <w:t>Carbon six</w:t>
      </w:r>
    </w:p>
    <w:p w:rsidR="00B943BF" w:rsidRPr="00B943BF" w:rsidRDefault="00B943BF" w:rsidP="00B943BF">
      <w:pPr>
        <w:widowControl w:val="0"/>
        <w:tabs>
          <w:tab w:val="left" w:pos="1440"/>
        </w:tabs>
        <w:spacing w:after="0"/>
        <w:ind w:left="1440" w:hanging="1440"/>
        <w:rPr>
          <w:rFonts w:ascii="Times New Roman" w:hAnsi="Times New Roman" w:cs="Times New Roman"/>
        </w:rPr>
      </w:pPr>
      <w:proofErr w:type="gramStart"/>
      <w:r w:rsidRPr="00B943BF">
        <w:rPr>
          <w:rFonts w:ascii="Times New Roman" w:hAnsi="Times New Roman" w:cs="Times New Roman"/>
        </w:rPr>
        <w:t>cfu</w:t>
      </w:r>
      <w:proofErr w:type="gramEnd"/>
      <w:r w:rsidRPr="00B943BF">
        <w:rPr>
          <w:rFonts w:ascii="Times New Roman" w:hAnsi="Times New Roman" w:cs="Times New Roman"/>
        </w:rPr>
        <w:tab/>
        <w:t>Colony forming units</w:t>
      </w:r>
    </w:p>
    <w:p w:rsidR="00B943BF" w:rsidRDefault="00B943BF" w:rsidP="00B943BF">
      <w:pPr>
        <w:widowControl w:val="0"/>
        <w:tabs>
          <w:tab w:val="left" w:pos="1440"/>
        </w:tabs>
        <w:spacing w:after="0"/>
        <w:ind w:left="1440" w:hanging="1440"/>
        <w:rPr>
          <w:rFonts w:ascii="Times New Roman" w:hAnsi="Times New Roman" w:cs="Times New Roman"/>
          <w:color w:val="000000"/>
          <w:shd w:val="clear" w:color="auto" w:fill="FFFFFF"/>
        </w:rPr>
      </w:pPr>
      <w:r w:rsidRPr="00B943BF">
        <w:rPr>
          <w:rFonts w:ascii="Times New Roman" w:hAnsi="Times New Roman" w:cs="Times New Roman"/>
        </w:rPr>
        <w:t>CHAP</w:t>
      </w:r>
      <w:r w:rsidR="00815B51">
        <w:rPr>
          <w:rFonts w:ascii="Times New Roman" w:hAnsi="Times New Roman" w:cs="Times New Roman"/>
        </w:rPr>
        <w:tab/>
      </w:r>
      <w:r w:rsidR="00815B51">
        <w:rPr>
          <w:rFonts w:ascii="Times New Roman" w:hAnsi="Times New Roman" w:cs="Times New Roman"/>
          <w:color w:val="000000"/>
          <w:shd w:val="clear" w:color="auto" w:fill="FFFFFF"/>
        </w:rPr>
        <w:t>C</w:t>
      </w:r>
      <w:r w:rsidR="00815B51" w:rsidRPr="00815B51">
        <w:rPr>
          <w:rFonts w:ascii="Times New Roman" w:hAnsi="Times New Roman" w:cs="Times New Roman"/>
          <w:color w:val="000000"/>
          <w:shd w:val="clear" w:color="auto" w:fill="FFFFFF"/>
        </w:rPr>
        <w:t>ysteine, histidine-dependent amidohydrolases/peptidases</w:t>
      </w:r>
    </w:p>
    <w:p w:rsidR="00AE6573" w:rsidRPr="00B943BF" w:rsidRDefault="00AE6573" w:rsidP="00B943BF">
      <w:pPr>
        <w:widowControl w:val="0"/>
        <w:tabs>
          <w:tab w:val="left" w:pos="1440"/>
        </w:tabs>
        <w:spacing w:after="0"/>
        <w:ind w:left="1440" w:hanging="1440"/>
        <w:rPr>
          <w:rFonts w:ascii="Times New Roman" w:hAnsi="Times New Roman" w:cs="Times New Roman"/>
        </w:rPr>
      </w:pPr>
      <w:r>
        <w:rPr>
          <w:rFonts w:ascii="Times New Roman" w:hAnsi="Times New Roman" w:cs="Times New Roman"/>
        </w:rPr>
        <w:t>ChBD</w:t>
      </w:r>
      <w:r>
        <w:rPr>
          <w:rFonts w:ascii="Times New Roman" w:hAnsi="Times New Roman" w:cs="Times New Roman"/>
        </w:rPr>
        <w:tab/>
        <w:t>Choline-binding domain</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Chl</w:t>
      </w:r>
      <w:r w:rsidRPr="00B943BF">
        <w:rPr>
          <w:rFonts w:ascii="Times New Roman" w:hAnsi="Times New Roman" w:cs="Times New Roman"/>
        </w:rPr>
        <w:tab/>
        <w:t>Chloramphenicol</w:t>
      </w:r>
    </w:p>
    <w:p w:rsidR="00B943BF" w:rsidRPr="00B943BF" w:rsidRDefault="00C75FBC" w:rsidP="00B943BF">
      <w:pPr>
        <w:widowControl w:val="0"/>
        <w:tabs>
          <w:tab w:val="left" w:pos="1440"/>
        </w:tabs>
        <w:spacing w:after="0"/>
        <w:ind w:left="1440" w:hanging="1440"/>
        <w:rPr>
          <w:rFonts w:ascii="Times New Roman" w:hAnsi="Times New Roman" w:cs="Times New Roman"/>
        </w:rPr>
      </w:pPr>
      <w:proofErr w:type="gramStart"/>
      <w:r>
        <w:rPr>
          <w:rFonts w:ascii="Times New Roman" w:hAnsi="Times New Roman" w:cs="Times New Roman"/>
        </w:rPr>
        <w:t>c</w:t>
      </w:r>
      <w:r w:rsidR="00B943BF" w:rsidRPr="00B943BF">
        <w:rPr>
          <w:rFonts w:ascii="Times New Roman" w:hAnsi="Times New Roman" w:cs="Times New Roman"/>
        </w:rPr>
        <w:t>pm</w:t>
      </w:r>
      <w:proofErr w:type="gramEnd"/>
      <w:r>
        <w:rPr>
          <w:rFonts w:ascii="Times New Roman" w:hAnsi="Times New Roman" w:cs="Times New Roman"/>
        </w:rPr>
        <w:tab/>
        <w:t>Counts per minute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sz w:val="16"/>
          <w:szCs w:val="16"/>
        </w:rPr>
        <w:t>D</w:t>
      </w:r>
      <w:r w:rsidRPr="00B943BF">
        <w:rPr>
          <w:rFonts w:ascii="Times New Roman" w:hAnsi="Times New Roman" w:cs="Times New Roman"/>
        </w:rPr>
        <w:t>-Ala</w:t>
      </w:r>
      <w:r w:rsidRPr="00B943BF">
        <w:rPr>
          <w:rFonts w:ascii="Times New Roman" w:hAnsi="Times New Roman" w:cs="Times New Roman"/>
        </w:rPr>
        <w:tab/>
      </w:r>
      <w:r w:rsidRPr="00B943BF">
        <w:rPr>
          <w:rFonts w:ascii="Times New Roman" w:hAnsi="Times New Roman" w:cs="Times New Roman"/>
          <w:sz w:val="16"/>
          <w:szCs w:val="16"/>
        </w:rPr>
        <w:t>D</w:t>
      </w:r>
      <w:r w:rsidRPr="00B943BF">
        <w:rPr>
          <w:rFonts w:ascii="Times New Roman" w:hAnsi="Times New Roman" w:cs="Times New Roman"/>
        </w:rPr>
        <w:t>-alanine</w:t>
      </w:r>
    </w:p>
    <w:p w:rsidR="00B943BF" w:rsidRPr="00B943BF" w:rsidRDefault="00B943BF" w:rsidP="00B943BF">
      <w:pPr>
        <w:widowControl w:val="0"/>
        <w:tabs>
          <w:tab w:val="left" w:pos="1440"/>
        </w:tabs>
        <w:spacing w:after="0"/>
        <w:ind w:left="1440" w:hanging="1440"/>
        <w:rPr>
          <w:rFonts w:ascii="Times New Roman" w:hAnsi="Times New Roman" w:cs="Times New Roman"/>
          <w:lang w:val="pt-PT"/>
        </w:rPr>
      </w:pPr>
      <w:r w:rsidRPr="00B943BF">
        <w:rPr>
          <w:rFonts w:ascii="Times New Roman" w:hAnsi="Times New Roman" w:cs="Times New Roman"/>
          <w:i/>
          <w:lang w:val="pt-PT"/>
        </w:rPr>
        <w:t>m</w:t>
      </w:r>
      <w:r w:rsidRPr="00B943BF">
        <w:rPr>
          <w:rFonts w:ascii="Times New Roman" w:hAnsi="Times New Roman" w:cs="Times New Roman"/>
          <w:lang w:val="pt-PT"/>
        </w:rPr>
        <w:t>-DAP</w:t>
      </w:r>
      <w:r w:rsidRPr="00B943BF">
        <w:rPr>
          <w:rFonts w:ascii="Times New Roman" w:hAnsi="Times New Roman" w:cs="Times New Roman"/>
          <w:lang w:val="pt-PT"/>
        </w:rPr>
        <w:tab/>
      </w:r>
      <w:r w:rsidRPr="00B943BF">
        <w:rPr>
          <w:rFonts w:ascii="Times New Roman" w:hAnsi="Times New Roman" w:cs="Times New Roman"/>
          <w:i/>
          <w:lang w:val="pt-PT"/>
        </w:rPr>
        <w:t>meso</w:t>
      </w:r>
      <w:r w:rsidRPr="00B943BF">
        <w:rPr>
          <w:rFonts w:ascii="Times New Roman" w:hAnsi="Times New Roman" w:cs="Times New Roman"/>
          <w:lang w:val="pt-PT"/>
        </w:rPr>
        <w:t>-diamonopimelic acid</w:t>
      </w:r>
    </w:p>
    <w:p w:rsidR="00B943BF" w:rsidRPr="00B943BF" w:rsidRDefault="00B943BF" w:rsidP="00B943BF">
      <w:pPr>
        <w:widowControl w:val="0"/>
        <w:tabs>
          <w:tab w:val="left" w:pos="1440"/>
        </w:tabs>
        <w:spacing w:after="0"/>
        <w:ind w:left="1440" w:hanging="1440"/>
        <w:rPr>
          <w:rFonts w:ascii="Times New Roman" w:hAnsi="Times New Roman" w:cs="Times New Roman"/>
          <w:color w:val="222222"/>
          <w:shd w:val="clear" w:color="auto" w:fill="FFFFFF"/>
        </w:rPr>
      </w:pPr>
      <w:r w:rsidRPr="00B943BF">
        <w:rPr>
          <w:rFonts w:ascii="Times New Roman" w:hAnsi="Times New Roman" w:cs="Times New Roman"/>
        </w:rPr>
        <w:t>DAPI</w:t>
      </w:r>
      <w:r w:rsidRPr="00B943BF">
        <w:rPr>
          <w:rFonts w:ascii="Times New Roman" w:hAnsi="Times New Roman" w:cs="Times New Roman"/>
        </w:rPr>
        <w:tab/>
      </w:r>
      <w:r w:rsidRPr="00B943BF">
        <w:rPr>
          <w:rFonts w:ascii="Times New Roman" w:hAnsi="Times New Roman" w:cs="Times New Roman"/>
          <w:color w:val="222222"/>
          <w:shd w:val="clear" w:color="auto" w:fill="FFFFFF"/>
        </w:rPr>
        <w:t>4'</w:t>
      </w:r>
      <w:proofErr w:type="gramStart"/>
      <w:r w:rsidRPr="00B943BF">
        <w:rPr>
          <w:rFonts w:ascii="Times New Roman" w:hAnsi="Times New Roman" w:cs="Times New Roman"/>
          <w:color w:val="222222"/>
          <w:shd w:val="clear" w:color="auto" w:fill="FFFFFF"/>
        </w:rPr>
        <w:t>,6</w:t>
      </w:r>
      <w:proofErr w:type="gramEnd"/>
      <w:r w:rsidRPr="00B943BF">
        <w:rPr>
          <w:rFonts w:ascii="Times New Roman" w:hAnsi="Times New Roman" w:cs="Times New Roman"/>
          <w:color w:val="222222"/>
          <w:shd w:val="clear" w:color="auto" w:fill="FFFFFF"/>
        </w:rPr>
        <w:t>-diamidino-2-phenylindole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sz w:val="16"/>
          <w:szCs w:val="16"/>
        </w:rPr>
        <w:t>D</w:t>
      </w:r>
      <w:r w:rsidRPr="00B943BF">
        <w:rPr>
          <w:rFonts w:ascii="Times New Roman" w:hAnsi="Times New Roman" w:cs="Times New Roman"/>
        </w:rPr>
        <w:t>-Glu</w:t>
      </w:r>
      <w:r w:rsidRPr="00B943BF">
        <w:rPr>
          <w:rFonts w:ascii="Times New Roman" w:hAnsi="Times New Roman" w:cs="Times New Roman"/>
        </w:rPr>
        <w:tab/>
      </w:r>
      <w:r w:rsidRPr="00B943BF">
        <w:rPr>
          <w:rFonts w:ascii="Times New Roman" w:hAnsi="Times New Roman" w:cs="Times New Roman"/>
          <w:sz w:val="16"/>
          <w:szCs w:val="16"/>
        </w:rPr>
        <w:t>D</w:t>
      </w:r>
      <w:r w:rsidRPr="00B943BF">
        <w:rPr>
          <w:rFonts w:ascii="Times New Roman" w:hAnsi="Times New Roman" w:cs="Times New Roman"/>
        </w:rPr>
        <w:t>-glutamic acid</w:t>
      </w:r>
    </w:p>
    <w:p w:rsidR="00B943BF" w:rsidRPr="00B943BF" w:rsidRDefault="00B943BF" w:rsidP="00B943BF">
      <w:pPr>
        <w:widowControl w:val="0"/>
        <w:tabs>
          <w:tab w:val="left" w:pos="1440"/>
        </w:tabs>
        <w:spacing w:after="0"/>
        <w:ind w:left="1440" w:hanging="1440"/>
        <w:rPr>
          <w:rFonts w:ascii="Times New Roman" w:hAnsi="Times New Roman" w:cs="Times New Roman"/>
        </w:rPr>
      </w:pPr>
      <w:proofErr w:type="gramStart"/>
      <w:r w:rsidRPr="00B943BF">
        <w:rPr>
          <w:rFonts w:ascii="Times New Roman" w:hAnsi="Times New Roman" w:cs="Times New Roman"/>
        </w:rPr>
        <w:t>dH</w:t>
      </w:r>
      <w:r w:rsidRPr="00B943BF">
        <w:rPr>
          <w:rFonts w:ascii="Times New Roman" w:hAnsi="Times New Roman" w:cs="Times New Roman"/>
          <w:vertAlign w:val="subscript"/>
        </w:rPr>
        <w:t>2</w:t>
      </w:r>
      <w:r w:rsidRPr="00B943BF">
        <w:rPr>
          <w:rFonts w:ascii="Times New Roman" w:hAnsi="Times New Roman" w:cs="Times New Roman"/>
        </w:rPr>
        <w:t>O</w:t>
      </w:r>
      <w:proofErr w:type="gramEnd"/>
      <w:r w:rsidRPr="00B943BF">
        <w:rPr>
          <w:rFonts w:ascii="Times New Roman" w:hAnsi="Times New Roman" w:cs="Times New Roman"/>
        </w:rPr>
        <w:tab/>
        <w:t>Distilled water</w:t>
      </w:r>
    </w:p>
    <w:p w:rsidR="00B943BF" w:rsidRPr="00B943BF" w:rsidRDefault="00B943BF" w:rsidP="00B943BF">
      <w:pPr>
        <w:widowControl w:val="0"/>
        <w:tabs>
          <w:tab w:val="left" w:pos="1440"/>
        </w:tabs>
        <w:spacing w:after="0"/>
        <w:ind w:left="1440" w:hanging="1440"/>
        <w:rPr>
          <w:rFonts w:ascii="Times New Roman" w:hAnsi="Times New Roman" w:cs="Times New Roman"/>
          <w:lang w:val="pt-PT"/>
        </w:rPr>
      </w:pPr>
      <w:r w:rsidRPr="00B943BF">
        <w:rPr>
          <w:rFonts w:ascii="Times New Roman" w:hAnsi="Times New Roman" w:cs="Times New Roman"/>
          <w:lang w:val="pt-PT"/>
        </w:rPr>
        <w:t>DMSO</w:t>
      </w:r>
      <w:r w:rsidRPr="00B943BF">
        <w:rPr>
          <w:rFonts w:ascii="Times New Roman" w:hAnsi="Times New Roman" w:cs="Times New Roman"/>
          <w:lang w:val="pt-PT"/>
        </w:rPr>
        <w:tab/>
        <w:t>Dimethyl sulphoxide</w:t>
      </w:r>
    </w:p>
    <w:p w:rsidR="00B943BF" w:rsidRPr="00B943BF" w:rsidRDefault="00B943BF" w:rsidP="00B943BF">
      <w:pPr>
        <w:widowControl w:val="0"/>
        <w:tabs>
          <w:tab w:val="left" w:pos="1440"/>
        </w:tabs>
        <w:spacing w:after="0"/>
        <w:ind w:left="1440" w:hanging="1440"/>
        <w:rPr>
          <w:rFonts w:ascii="Times New Roman" w:hAnsi="Times New Roman" w:cs="Times New Roman"/>
          <w:lang w:val="pt-PT"/>
        </w:rPr>
      </w:pPr>
      <w:r w:rsidRPr="00B943BF">
        <w:rPr>
          <w:rFonts w:ascii="Times New Roman" w:hAnsi="Times New Roman" w:cs="Times New Roman"/>
          <w:lang w:val="pt-PT"/>
        </w:rPr>
        <w:t>DNA</w:t>
      </w:r>
      <w:r w:rsidR="00C75FBC">
        <w:rPr>
          <w:rFonts w:ascii="Times New Roman" w:hAnsi="Times New Roman" w:cs="Times New Roman"/>
          <w:lang w:val="pt-PT"/>
        </w:rPr>
        <w:tab/>
      </w:r>
      <w:r w:rsidR="00C75FBC" w:rsidRPr="00C75FBC">
        <w:rPr>
          <w:rStyle w:val="Emphasis"/>
          <w:rFonts w:ascii="Times New Roman" w:hAnsi="Times New Roman" w:cs="Times New Roman"/>
          <w:bCs/>
          <w:i w:val="0"/>
          <w:iCs w:val="0"/>
          <w:color w:val="000000"/>
          <w:shd w:val="clear" w:color="auto" w:fill="FFFFFF"/>
        </w:rPr>
        <w:t>Deoxyribonucleic acid</w:t>
      </w:r>
    </w:p>
    <w:p w:rsidR="00B943BF" w:rsidRPr="00B943BF" w:rsidRDefault="00B943BF" w:rsidP="00B943BF">
      <w:pPr>
        <w:widowControl w:val="0"/>
        <w:tabs>
          <w:tab w:val="left" w:pos="1440"/>
        </w:tabs>
        <w:spacing w:after="0"/>
        <w:ind w:left="1440" w:hanging="1440"/>
        <w:rPr>
          <w:rFonts w:ascii="Times New Roman" w:hAnsi="Times New Roman" w:cs="Times New Roman"/>
          <w:lang w:val="pt-PT"/>
        </w:rPr>
      </w:pPr>
      <w:r w:rsidRPr="00B943BF">
        <w:rPr>
          <w:rFonts w:ascii="Times New Roman" w:hAnsi="Times New Roman" w:cs="Times New Roman"/>
          <w:lang w:val="pt-PT"/>
        </w:rPr>
        <w:t>DPX</w:t>
      </w:r>
      <w:r w:rsidR="00C75FBC">
        <w:rPr>
          <w:rFonts w:ascii="Times New Roman" w:hAnsi="Times New Roman" w:cs="Times New Roman"/>
          <w:lang w:val="pt-PT"/>
        </w:rPr>
        <w:tab/>
      </w:r>
      <w:r w:rsidR="00C75FBC" w:rsidRPr="00C75FBC">
        <w:rPr>
          <w:rFonts w:ascii="Times New Roman" w:hAnsi="Times New Roman" w:cs="Times New Roman"/>
          <w:color w:val="222222"/>
          <w:shd w:val="clear" w:color="auto" w:fill="FFFFFF"/>
        </w:rPr>
        <w:t>Distyrene-</w:t>
      </w:r>
      <w:r w:rsidR="00C75FBC" w:rsidRPr="00C75FBC">
        <w:rPr>
          <w:rStyle w:val="Emphasis"/>
          <w:rFonts w:ascii="Times New Roman" w:hAnsi="Times New Roman" w:cs="Times New Roman"/>
          <w:bCs/>
          <w:i w:val="0"/>
          <w:iCs w:val="0"/>
          <w:color w:val="000000"/>
          <w:shd w:val="clear" w:color="auto" w:fill="FFFFFF"/>
        </w:rPr>
        <w:t>plasticizer</w:t>
      </w:r>
      <w:r w:rsidR="00C75FBC" w:rsidRPr="00C75FBC">
        <w:rPr>
          <w:rFonts w:ascii="Times New Roman" w:hAnsi="Times New Roman" w:cs="Times New Roman"/>
          <w:color w:val="222222"/>
          <w:shd w:val="clear" w:color="auto" w:fill="FFFFFF"/>
        </w:rPr>
        <w:t>-xylene</w:t>
      </w:r>
    </w:p>
    <w:p w:rsidR="00B943BF" w:rsidRPr="00B943BF" w:rsidRDefault="00B943BF" w:rsidP="00B943BF">
      <w:pPr>
        <w:widowControl w:val="0"/>
        <w:tabs>
          <w:tab w:val="left" w:pos="1440"/>
        </w:tabs>
        <w:spacing w:after="0"/>
        <w:ind w:left="1440" w:hanging="1440"/>
        <w:rPr>
          <w:rFonts w:ascii="Times New Roman" w:hAnsi="Times New Roman" w:cs="Times New Roman"/>
          <w:lang w:val="pt-PT"/>
        </w:rPr>
      </w:pPr>
      <w:r w:rsidRPr="00B943BF">
        <w:rPr>
          <w:rFonts w:ascii="Times New Roman" w:hAnsi="Times New Roman" w:cs="Times New Roman"/>
          <w:lang w:val="pt-PT"/>
        </w:rPr>
        <w:t>DS</w:t>
      </w:r>
      <w:r w:rsidR="00C75FBC">
        <w:rPr>
          <w:rFonts w:ascii="Times New Roman" w:hAnsi="Times New Roman" w:cs="Times New Roman"/>
          <w:lang w:val="pt-PT"/>
        </w:rPr>
        <w:tab/>
        <w:t>Disaccharide</w:t>
      </w:r>
    </w:p>
    <w:p w:rsidR="00B943BF" w:rsidRPr="00B943BF" w:rsidRDefault="00B943BF" w:rsidP="00B943BF">
      <w:pPr>
        <w:widowControl w:val="0"/>
        <w:tabs>
          <w:tab w:val="left" w:pos="1440"/>
        </w:tabs>
        <w:spacing w:after="0"/>
        <w:ind w:left="1440" w:hanging="1440"/>
        <w:rPr>
          <w:rFonts w:ascii="Times New Roman" w:hAnsi="Times New Roman" w:cs="Times New Roman"/>
          <w:lang w:val="pt-PT"/>
        </w:rPr>
      </w:pPr>
      <w:r w:rsidRPr="00B943BF">
        <w:rPr>
          <w:rFonts w:ascii="Times New Roman" w:hAnsi="Times New Roman" w:cs="Times New Roman"/>
          <w:lang w:val="pt-PT"/>
        </w:rPr>
        <w:t>DV</w:t>
      </w:r>
      <w:r w:rsidRPr="00B943BF">
        <w:rPr>
          <w:rFonts w:ascii="Times New Roman" w:hAnsi="Times New Roman" w:cs="Times New Roman"/>
          <w:lang w:val="pt-PT"/>
        </w:rPr>
        <w:tab/>
        <w:t>DeltaVision</w:t>
      </w:r>
    </w:p>
    <w:p w:rsidR="00B943BF" w:rsidRPr="00B943BF" w:rsidRDefault="00B943BF" w:rsidP="00B943BF">
      <w:pPr>
        <w:widowControl w:val="0"/>
        <w:tabs>
          <w:tab w:val="left" w:pos="1440"/>
        </w:tabs>
        <w:spacing w:after="0"/>
        <w:ind w:left="1440" w:hanging="1440"/>
        <w:rPr>
          <w:rFonts w:ascii="Times New Roman" w:hAnsi="Times New Roman" w:cs="Times New Roman"/>
          <w:lang w:val="pt-PT"/>
        </w:rPr>
      </w:pPr>
      <w:r w:rsidRPr="00B943BF">
        <w:rPr>
          <w:rFonts w:ascii="Times New Roman" w:hAnsi="Times New Roman" w:cs="Times New Roman"/>
          <w:lang w:val="pt-PT"/>
        </w:rPr>
        <w:t>EDTA</w:t>
      </w:r>
      <w:r w:rsidRPr="00B943BF">
        <w:rPr>
          <w:rFonts w:ascii="Times New Roman" w:hAnsi="Times New Roman" w:cs="Times New Roman"/>
          <w:lang w:val="pt-PT"/>
        </w:rPr>
        <w:tab/>
        <w:t>Ethylenediamine tetra-acetic acid</w:t>
      </w:r>
    </w:p>
    <w:p w:rsidR="00B943BF" w:rsidRPr="00B943BF" w:rsidRDefault="00B943BF" w:rsidP="00B943BF">
      <w:pPr>
        <w:widowControl w:val="0"/>
        <w:tabs>
          <w:tab w:val="left" w:pos="1440"/>
        </w:tabs>
        <w:spacing w:after="0"/>
        <w:ind w:left="1440" w:hanging="1440"/>
        <w:rPr>
          <w:rFonts w:ascii="Times New Roman" w:hAnsi="Times New Roman" w:cs="Times New Roman"/>
          <w:lang w:val="pt-PT"/>
        </w:rPr>
      </w:pPr>
      <w:r w:rsidRPr="00B943BF">
        <w:rPr>
          <w:rFonts w:ascii="Times New Roman" w:hAnsi="Times New Roman" w:cs="Times New Roman"/>
          <w:lang w:val="pt-PT"/>
        </w:rPr>
        <w:t>EM</w:t>
      </w:r>
      <w:r w:rsidRPr="00B943BF">
        <w:rPr>
          <w:rFonts w:ascii="Times New Roman" w:hAnsi="Times New Roman" w:cs="Times New Roman"/>
          <w:lang w:val="pt-PT"/>
        </w:rPr>
        <w:tab/>
        <w:t>Electron microscopy</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Ery</w:t>
      </w:r>
      <w:r w:rsidRPr="00B943BF">
        <w:rPr>
          <w:rFonts w:ascii="Times New Roman" w:hAnsi="Times New Roman" w:cs="Times New Roman"/>
        </w:rPr>
        <w:tab/>
        <w:t>Erythromycin</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FITC</w:t>
      </w:r>
      <w:r w:rsidRPr="00B943BF">
        <w:rPr>
          <w:rFonts w:ascii="Times New Roman" w:hAnsi="Times New Roman" w:cs="Times New Roman"/>
        </w:rPr>
        <w:tab/>
        <w:t>Fluorescein isothiocyanate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FL</w:t>
      </w:r>
      <w:r w:rsidRPr="00B943BF">
        <w:rPr>
          <w:rFonts w:ascii="Times New Roman" w:hAnsi="Times New Roman" w:cs="Times New Roman"/>
        </w:rPr>
        <w:tab/>
        <w:t>Fluorescent</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FPLC</w:t>
      </w:r>
      <w:r w:rsidRPr="00B943BF">
        <w:rPr>
          <w:rFonts w:ascii="Times New Roman" w:hAnsi="Times New Roman" w:cs="Times New Roman"/>
        </w:rPr>
        <w:tab/>
        <w:t>Fast protein liquid chromatography</w:t>
      </w:r>
    </w:p>
    <w:p w:rsidR="00B943BF" w:rsidRPr="00B943BF" w:rsidRDefault="00B943BF" w:rsidP="00B943BF">
      <w:pPr>
        <w:widowControl w:val="0"/>
        <w:tabs>
          <w:tab w:val="left" w:pos="1440"/>
        </w:tabs>
        <w:spacing w:after="0"/>
        <w:ind w:left="1440" w:hanging="1440"/>
        <w:rPr>
          <w:rFonts w:ascii="Times New Roman" w:hAnsi="Times New Roman" w:cs="Times New Roman"/>
        </w:rPr>
      </w:pPr>
      <w:proofErr w:type="gramStart"/>
      <w:r w:rsidRPr="00B943BF">
        <w:rPr>
          <w:rFonts w:ascii="Times New Roman" w:hAnsi="Times New Roman" w:cs="Times New Roman"/>
        </w:rPr>
        <w:t>g</w:t>
      </w:r>
      <w:proofErr w:type="gramEnd"/>
      <w:r w:rsidRPr="00B943BF">
        <w:rPr>
          <w:rFonts w:ascii="Times New Roman" w:hAnsi="Times New Roman" w:cs="Times New Roman"/>
        </w:rPr>
        <w:tab/>
      </w:r>
      <w:r w:rsidR="003C6DF1">
        <w:rPr>
          <w:rFonts w:ascii="Times New Roman" w:hAnsi="Times New Roman" w:cs="Times New Roman"/>
        </w:rPr>
        <w:t>G</w:t>
      </w:r>
      <w:r w:rsidRPr="00B943BF">
        <w:rPr>
          <w:rFonts w:ascii="Times New Roman" w:hAnsi="Times New Roman" w:cs="Times New Roman"/>
        </w:rPr>
        <w:t>rams</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Glc</w:t>
      </w:r>
      <w:r w:rsidRPr="00B943BF">
        <w:rPr>
          <w:rFonts w:ascii="Times New Roman" w:hAnsi="Times New Roman" w:cs="Times New Roman"/>
          <w:i/>
        </w:rPr>
        <w:t>N</w:t>
      </w:r>
      <w:r w:rsidRPr="00B943BF">
        <w:rPr>
          <w:rFonts w:ascii="Times New Roman" w:hAnsi="Times New Roman" w:cs="Times New Roman"/>
        </w:rPr>
        <w:t>Ac</w:t>
      </w:r>
      <w:r w:rsidRPr="00B943BF">
        <w:rPr>
          <w:rFonts w:ascii="Times New Roman" w:hAnsi="Times New Roman" w:cs="Times New Roman"/>
        </w:rPr>
        <w:tab/>
      </w:r>
      <w:r w:rsidRPr="00B943BF">
        <w:rPr>
          <w:rFonts w:ascii="Times New Roman" w:hAnsi="Times New Roman" w:cs="Times New Roman"/>
          <w:i/>
        </w:rPr>
        <w:t>N</w:t>
      </w:r>
      <w:r w:rsidRPr="00B943BF">
        <w:rPr>
          <w:rFonts w:ascii="Times New Roman" w:hAnsi="Times New Roman" w:cs="Times New Roman"/>
        </w:rPr>
        <w:t>-acetyl glucosamine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Glu</w:t>
      </w:r>
      <w:r w:rsidRPr="00B943BF">
        <w:rPr>
          <w:rFonts w:ascii="Times New Roman" w:hAnsi="Times New Roman" w:cs="Times New Roman"/>
        </w:rPr>
        <w:tab/>
        <w:t>Glucosaminidase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Gly</w:t>
      </w:r>
      <w:r w:rsidR="00C75FBC">
        <w:rPr>
          <w:rFonts w:ascii="Times New Roman" w:hAnsi="Times New Roman" w:cs="Times New Roman"/>
        </w:rPr>
        <w:tab/>
        <w:t>Glycine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GSII</w:t>
      </w:r>
      <w:r w:rsidRPr="00B943BF">
        <w:rPr>
          <w:rFonts w:ascii="Times New Roman" w:hAnsi="Times New Roman" w:cs="Times New Roman"/>
        </w:rPr>
        <w:tab/>
      </w:r>
      <w:r w:rsidRPr="00B943BF">
        <w:rPr>
          <w:rFonts w:ascii="Times New Roman" w:hAnsi="Times New Roman" w:cs="Times New Roman"/>
          <w:i/>
        </w:rPr>
        <w:t>Griffonia simplicifolia</w:t>
      </w:r>
      <w:r w:rsidRPr="00B943BF">
        <w:rPr>
          <w:rFonts w:ascii="Times New Roman" w:hAnsi="Times New Roman" w:cs="Times New Roman"/>
        </w:rPr>
        <w:t xml:space="preserve"> lectin II</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GSLE</w:t>
      </w:r>
      <w:r w:rsidRPr="00B943BF">
        <w:rPr>
          <w:rFonts w:ascii="Times New Roman" w:hAnsi="Times New Roman" w:cs="Times New Roman"/>
        </w:rPr>
        <w:tab/>
        <w:t>Germination-specific lytic enzyme</w:t>
      </w:r>
    </w:p>
    <w:p w:rsidR="00B943BF" w:rsidRPr="00B943BF" w:rsidRDefault="00B943BF" w:rsidP="00B943BF">
      <w:pPr>
        <w:widowControl w:val="0"/>
        <w:tabs>
          <w:tab w:val="left" w:pos="1440"/>
        </w:tabs>
        <w:spacing w:after="0"/>
        <w:ind w:left="1440" w:hanging="1440"/>
        <w:rPr>
          <w:rFonts w:ascii="Times New Roman" w:hAnsi="Times New Roman" w:cs="Times New Roman"/>
        </w:rPr>
      </w:pPr>
      <w:proofErr w:type="gramStart"/>
      <w:r w:rsidRPr="00B943BF">
        <w:rPr>
          <w:rFonts w:ascii="Times New Roman" w:hAnsi="Times New Roman" w:cs="Times New Roman"/>
        </w:rPr>
        <w:t>h</w:t>
      </w:r>
      <w:proofErr w:type="gramEnd"/>
      <w:r w:rsidRPr="00B943BF">
        <w:rPr>
          <w:rFonts w:ascii="Times New Roman" w:hAnsi="Times New Roman" w:cs="Times New Roman"/>
        </w:rPr>
        <w:tab/>
        <w:t>hours</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H</w:t>
      </w:r>
      <w:r w:rsidRPr="00B943BF">
        <w:rPr>
          <w:rFonts w:ascii="Times New Roman" w:hAnsi="Times New Roman" w:cs="Times New Roman"/>
        </w:rPr>
        <w:tab/>
        <w:t>Height image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HAF488</w:t>
      </w:r>
      <w:r w:rsidRPr="00B943BF">
        <w:rPr>
          <w:rFonts w:ascii="Times New Roman" w:hAnsi="Times New Roman" w:cs="Times New Roman"/>
        </w:rPr>
        <w:tab/>
      </w:r>
      <w:r w:rsidR="00617681">
        <w:rPr>
          <w:rFonts w:ascii="Times New Roman" w:hAnsi="Times New Roman" w:cs="Times New Roman"/>
        </w:rPr>
        <w:t>Alexa Fluor 488</w:t>
      </w:r>
      <w:r w:rsidR="00617681" w:rsidRPr="00617681">
        <w:rPr>
          <w:rFonts w:ascii="Times New Roman" w:hAnsi="Times New Roman" w:cs="Times New Roman"/>
        </w:rPr>
        <w:t xml:space="preserve"> </w:t>
      </w:r>
      <w:r w:rsidR="00617681">
        <w:rPr>
          <w:rFonts w:ascii="Times New Roman" w:hAnsi="Times New Roman" w:cs="Times New Roman"/>
        </w:rPr>
        <w:t>hydroxylamine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HF</w:t>
      </w:r>
      <w:r w:rsidRPr="00B943BF">
        <w:rPr>
          <w:rFonts w:ascii="Times New Roman" w:hAnsi="Times New Roman" w:cs="Times New Roman"/>
        </w:rPr>
        <w:tab/>
        <w:t>Hydrofluoric acid</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lastRenderedPageBreak/>
        <w:t>HMW</w:t>
      </w:r>
      <w:r w:rsidRPr="00B943BF">
        <w:rPr>
          <w:rFonts w:ascii="Times New Roman" w:hAnsi="Times New Roman" w:cs="Times New Roman"/>
        </w:rPr>
        <w:tab/>
        <w:t>High molecular weight</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HPLC</w:t>
      </w:r>
      <w:r w:rsidRPr="00B943BF">
        <w:rPr>
          <w:rFonts w:ascii="Times New Roman" w:hAnsi="Times New Roman" w:cs="Times New Roman"/>
        </w:rPr>
        <w:tab/>
        <w:t>High performance liquid chromatography</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IPTG</w:t>
      </w:r>
      <w:r w:rsidRPr="00B943BF">
        <w:rPr>
          <w:rFonts w:ascii="Times New Roman" w:hAnsi="Times New Roman" w:cs="Times New Roman"/>
        </w:rPr>
        <w:tab/>
        <w:t>Isopropyl beta-</w:t>
      </w:r>
      <w:r w:rsidRPr="00B943BF">
        <w:rPr>
          <w:rFonts w:ascii="Times New Roman" w:hAnsi="Times New Roman" w:cs="Times New Roman"/>
          <w:sz w:val="16"/>
          <w:szCs w:val="16"/>
        </w:rPr>
        <w:t>D</w:t>
      </w:r>
      <w:r w:rsidRPr="00B943BF">
        <w:rPr>
          <w:rFonts w:ascii="Times New Roman" w:hAnsi="Times New Roman" w:cs="Times New Roman"/>
        </w:rPr>
        <w:t>-1-thiogalactopyranoside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Kan</w:t>
      </w:r>
      <w:r w:rsidRPr="00B943BF">
        <w:rPr>
          <w:rFonts w:ascii="Times New Roman" w:hAnsi="Times New Roman" w:cs="Times New Roman"/>
        </w:rPr>
        <w:tab/>
        <w:t>Kanamycin</w:t>
      </w:r>
    </w:p>
    <w:p w:rsidR="00B943BF" w:rsidRPr="00B943BF" w:rsidRDefault="00B943BF" w:rsidP="00B943BF">
      <w:pPr>
        <w:widowControl w:val="0"/>
        <w:tabs>
          <w:tab w:val="left" w:pos="1440"/>
        </w:tabs>
        <w:spacing w:after="0"/>
        <w:ind w:left="1440" w:hanging="1440"/>
        <w:rPr>
          <w:rFonts w:ascii="Times New Roman" w:hAnsi="Times New Roman" w:cs="Times New Roman"/>
        </w:rPr>
      </w:pPr>
      <w:proofErr w:type="gramStart"/>
      <w:r w:rsidRPr="00B943BF">
        <w:rPr>
          <w:rFonts w:ascii="Times New Roman" w:hAnsi="Times New Roman" w:cs="Times New Roman"/>
        </w:rPr>
        <w:t>kb</w:t>
      </w:r>
      <w:proofErr w:type="gramEnd"/>
      <w:r w:rsidRPr="00B943BF">
        <w:rPr>
          <w:rFonts w:ascii="Times New Roman" w:hAnsi="Times New Roman" w:cs="Times New Roman"/>
        </w:rPr>
        <w:tab/>
        <w:t>Kilobase pairs</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 xml:space="preserve">kDa               </w:t>
      </w:r>
      <w:r w:rsidR="00617681">
        <w:rPr>
          <w:rFonts w:ascii="Times New Roman" w:hAnsi="Times New Roman" w:cs="Times New Roman"/>
        </w:rPr>
        <w:tab/>
      </w:r>
      <w:r w:rsidRPr="00B943BF">
        <w:rPr>
          <w:rFonts w:ascii="Times New Roman" w:hAnsi="Times New Roman" w:cs="Times New Roman"/>
        </w:rPr>
        <w:t>Kilodaltons</w:t>
      </w:r>
    </w:p>
    <w:p w:rsidR="00B943BF" w:rsidRPr="00B943BF" w:rsidRDefault="00B943BF" w:rsidP="00B943BF">
      <w:pPr>
        <w:widowControl w:val="0"/>
        <w:tabs>
          <w:tab w:val="left" w:pos="1440"/>
        </w:tabs>
        <w:spacing w:after="0"/>
        <w:ind w:left="1440" w:hanging="1440"/>
        <w:rPr>
          <w:rFonts w:ascii="Times New Roman" w:hAnsi="Times New Roman" w:cs="Times New Roman"/>
        </w:rPr>
      </w:pPr>
      <w:proofErr w:type="gramStart"/>
      <w:r w:rsidRPr="00B943BF">
        <w:rPr>
          <w:rFonts w:ascii="Times New Roman" w:hAnsi="Times New Roman" w:cs="Times New Roman"/>
        </w:rPr>
        <w:t>kV</w:t>
      </w:r>
      <w:proofErr w:type="gramEnd"/>
      <w:r w:rsidRPr="00B943BF">
        <w:rPr>
          <w:rFonts w:ascii="Times New Roman" w:hAnsi="Times New Roman" w:cs="Times New Roman"/>
        </w:rPr>
        <w:tab/>
        <w:t>Kilovolts</w:t>
      </w:r>
    </w:p>
    <w:p w:rsidR="00B943BF" w:rsidRPr="00B943BF" w:rsidRDefault="00B943BF" w:rsidP="00B943BF">
      <w:pPr>
        <w:widowControl w:val="0"/>
        <w:tabs>
          <w:tab w:val="left" w:pos="1440"/>
        </w:tabs>
        <w:spacing w:after="0"/>
        <w:ind w:left="1440" w:hanging="1440"/>
        <w:rPr>
          <w:rFonts w:ascii="Times New Roman" w:hAnsi="Times New Roman" w:cs="Times New Roman"/>
        </w:rPr>
      </w:pPr>
      <w:proofErr w:type="gramStart"/>
      <w:r w:rsidRPr="00B943BF">
        <w:rPr>
          <w:rFonts w:ascii="Times New Roman" w:hAnsi="Times New Roman" w:cs="Times New Roman"/>
        </w:rPr>
        <w:t>l</w:t>
      </w:r>
      <w:proofErr w:type="gramEnd"/>
      <w:r w:rsidRPr="00B943BF">
        <w:rPr>
          <w:rFonts w:ascii="Times New Roman" w:hAnsi="Times New Roman" w:cs="Times New Roman"/>
        </w:rPr>
        <w:tab/>
        <w:t>Litre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L</w:t>
      </w:r>
      <w:r w:rsidRPr="00B943BF">
        <w:rPr>
          <w:rFonts w:ascii="Times New Roman" w:hAnsi="Times New Roman" w:cs="Times New Roman"/>
        </w:rPr>
        <w:tab/>
        <w:t>Total cell length</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sz w:val="16"/>
          <w:szCs w:val="16"/>
        </w:rPr>
        <w:t>L</w:t>
      </w:r>
      <w:r w:rsidRPr="00B943BF">
        <w:rPr>
          <w:rFonts w:ascii="Times New Roman" w:hAnsi="Times New Roman" w:cs="Times New Roman"/>
        </w:rPr>
        <w:t>-Ala</w:t>
      </w:r>
      <w:r w:rsidRPr="00B943BF">
        <w:rPr>
          <w:rFonts w:ascii="Times New Roman" w:hAnsi="Times New Roman" w:cs="Times New Roman"/>
        </w:rPr>
        <w:tab/>
        <w:t>L-alanine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LB</w:t>
      </w:r>
      <w:r w:rsidRPr="00B943BF">
        <w:rPr>
          <w:rFonts w:ascii="Times New Roman" w:hAnsi="Times New Roman" w:cs="Times New Roman"/>
        </w:rPr>
        <w:tab/>
        <w:t>Luria-Bertani medium</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Lin</w:t>
      </w:r>
      <w:r w:rsidRPr="00B943BF">
        <w:rPr>
          <w:rFonts w:ascii="Times New Roman" w:hAnsi="Times New Roman" w:cs="Times New Roman"/>
        </w:rPr>
        <w:tab/>
        <w:t>Lincomycin</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LPS</w:t>
      </w:r>
      <w:r w:rsidRPr="00B943BF">
        <w:rPr>
          <w:rFonts w:ascii="Times New Roman" w:hAnsi="Times New Roman" w:cs="Times New Roman"/>
        </w:rPr>
        <w:tab/>
        <w:t>Lipopolysaccharide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LTA</w:t>
      </w:r>
      <w:r w:rsidRPr="00B943BF">
        <w:rPr>
          <w:rFonts w:ascii="Times New Roman" w:hAnsi="Times New Roman" w:cs="Times New Roman"/>
        </w:rPr>
        <w:tab/>
        <w:t>Lipoteichoic acid</w:t>
      </w:r>
    </w:p>
    <w:p w:rsid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M</w:t>
      </w:r>
      <w:r w:rsidRPr="00B943BF">
        <w:rPr>
          <w:rFonts w:ascii="Times New Roman" w:hAnsi="Times New Roman" w:cs="Times New Roman"/>
        </w:rPr>
        <w:tab/>
        <w:t>Molar</w:t>
      </w:r>
    </w:p>
    <w:p w:rsidR="00B943BF" w:rsidRPr="00B943BF" w:rsidRDefault="00B943BF" w:rsidP="00B943BF">
      <w:pPr>
        <w:widowControl w:val="0"/>
        <w:tabs>
          <w:tab w:val="left" w:pos="1440"/>
        </w:tabs>
        <w:spacing w:after="0"/>
        <w:ind w:left="1440" w:hanging="1440"/>
        <w:rPr>
          <w:rFonts w:ascii="Times New Roman" w:hAnsi="Times New Roman" w:cs="Times New Roman"/>
        </w:rPr>
      </w:pPr>
      <w:proofErr w:type="gramStart"/>
      <w:r w:rsidRPr="00B943BF">
        <w:rPr>
          <w:rFonts w:ascii="Times New Roman" w:hAnsi="Times New Roman" w:cs="Times New Roman"/>
        </w:rPr>
        <w:t>mA</w:t>
      </w:r>
      <w:proofErr w:type="gramEnd"/>
      <w:r w:rsidRPr="00B943BF">
        <w:rPr>
          <w:rFonts w:ascii="Times New Roman" w:hAnsi="Times New Roman" w:cs="Times New Roman"/>
        </w:rPr>
        <w:tab/>
        <w:t>Milliamps</w:t>
      </w:r>
    </w:p>
    <w:p w:rsidR="00B943BF" w:rsidRPr="00B943BF" w:rsidRDefault="00B943BF" w:rsidP="00B943BF">
      <w:pPr>
        <w:widowControl w:val="0"/>
        <w:tabs>
          <w:tab w:val="left" w:pos="1440"/>
        </w:tabs>
        <w:spacing w:after="0"/>
        <w:ind w:left="1440" w:hanging="1440"/>
        <w:rPr>
          <w:rFonts w:ascii="Times New Roman" w:hAnsi="Times New Roman" w:cs="Times New Roman"/>
          <w:lang w:val="it-IT"/>
        </w:rPr>
      </w:pPr>
      <w:r w:rsidRPr="00B943BF">
        <w:rPr>
          <w:rFonts w:ascii="Times New Roman" w:hAnsi="Times New Roman" w:cs="Times New Roman"/>
          <w:lang w:val="it-IT"/>
        </w:rPr>
        <w:t xml:space="preserve">Mb             </w:t>
      </w:r>
      <w:r w:rsidRPr="00B943BF">
        <w:rPr>
          <w:rFonts w:ascii="Times New Roman" w:hAnsi="Times New Roman" w:cs="Times New Roman"/>
          <w:lang w:val="it-IT"/>
        </w:rPr>
        <w:tab/>
        <w:t>Megabase</w:t>
      </w:r>
    </w:p>
    <w:p w:rsidR="00B943BF" w:rsidRPr="00B943BF" w:rsidRDefault="00B943BF" w:rsidP="00B943BF">
      <w:pPr>
        <w:widowControl w:val="0"/>
        <w:tabs>
          <w:tab w:val="left" w:pos="1440"/>
        </w:tabs>
        <w:spacing w:after="0"/>
        <w:ind w:left="1440" w:hanging="1440"/>
        <w:rPr>
          <w:rFonts w:ascii="Times New Roman" w:hAnsi="Times New Roman" w:cs="Times New Roman"/>
          <w:lang w:val="it-IT"/>
        </w:rPr>
      </w:pPr>
      <w:r w:rsidRPr="00B943BF">
        <w:rPr>
          <w:rFonts w:ascii="Times New Roman" w:hAnsi="Times New Roman" w:cs="Times New Roman"/>
          <w:lang w:val="it-IT"/>
        </w:rPr>
        <w:t>MCS</w:t>
      </w:r>
      <w:r w:rsidRPr="00B943BF">
        <w:rPr>
          <w:rFonts w:ascii="Times New Roman" w:hAnsi="Times New Roman" w:cs="Times New Roman"/>
          <w:lang w:val="it-IT"/>
        </w:rPr>
        <w:tab/>
        <w:t>Multiple cloning site</w:t>
      </w:r>
    </w:p>
    <w:p w:rsidR="00B943BF" w:rsidRPr="00B943BF" w:rsidRDefault="00B943BF" w:rsidP="00B943BF">
      <w:pPr>
        <w:widowControl w:val="0"/>
        <w:tabs>
          <w:tab w:val="left" w:pos="1440"/>
        </w:tabs>
        <w:spacing w:after="0"/>
        <w:ind w:left="1440" w:hanging="1440"/>
        <w:rPr>
          <w:rFonts w:ascii="Times New Roman" w:hAnsi="Times New Roman" w:cs="Times New Roman"/>
          <w:lang w:val="it-IT"/>
        </w:rPr>
      </w:pPr>
      <w:r w:rsidRPr="00B943BF">
        <w:rPr>
          <w:rFonts w:ascii="Times New Roman" w:hAnsi="Times New Roman" w:cs="Times New Roman"/>
          <w:lang w:val="it-IT"/>
        </w:rPr>
        <w:t xml:space="preserve">MDa                </w:t>
      </w:r>
      <w:r w:rsidR="00C75FBC">
        <w:rPr>
          <w:rFonts w:ascii="Times New Roman" w:hAnsi="Times New Roman" w:cs="Times New Roman"/>
          <w:lang w:val="it-IT"/>
        </w:rPr>
        <w:tab/>
      </w:r>
      <w:r w:rsidRPr="00B943BF">
        <w:rPr>
          <w:rFonts w:ascii="Times New Roman" w:hAnsi="Times New Roman" w:cs="Times New Roman"/>
          <w:lang w:val="it-IT"/>
        </w:rPr>
        <w:t>Megadaltons</w:t>
      </w:r>
    </w:p>
    <w:p w:rsidR="00B943BF" w:rsidRPr="00B943BF" w:rsidRDefault="00B943BF" w:rsidP="00B943BF">
      <w:pPr>
        <w:widowControl w:val="0"/>
        <w:tabs>
          <w:tab w:val="left" w:pos="1440"/>
        </w:tabs>
        <w:spacing w:after="0"/>
        <w:ind w:left="1440" w:hanging="1440"/>
        <w:rPr>
          <w:rFonts w:ascii="Times New Roman" w:hAnsi="Times New Roman" w:cs="Times New Roman"/>
          <w:lang w:val="it-IT"/>
        </w:rPr>
      </w:pPr>
      <w:r w:rsidRPr="00B943BF">
        <w:rPr>
          <w:rFonts w:ascii="Times New Roman" w:hAnsi="Times New Roman" w:cs="Times New Roman"/>
          <w:lang w:val="it-IT"/>
        </w:rPr>
        <w:t>mg</w:t>
      </w:r>
      <w:r w:rsidRPr="00B943BF">
        <w:rPr>
          <w:rFonts w:ascii="Times New Roman" w:hAnsi="Times New Roman" w:cs="Times New Roman"/>
          <w:lang w:val="it-IT"/>
        </w:rPr>
        <w:tab/>
        <w:t>Milligrams</w:t>
      </w:r>
    </w:p>
    <w:p w:rsidR="00B943BF" w:rsidRPr="00B943BF" w:rsidRDefault="00B943BF" w:rsidP="00B943BF">
      <w:pPr>
        <w:widowControl w:val="0"/>
        <w:tabs>
          <w:tab w:val="left" w:pos="1440"/>
        </w:tabs>
        <w:spacing w:after="0"/>
        <w:ind w:left="1440" w:hanging="1440"/>
        <w:rPr>
          <w:rFonts w:ascii="Times New Roman" w:hAnsi="Times New Roman" w:cs="Times New Roman"/>
          <w:lang w:val="it-IT"/>
        </w:rPr>
      </w:pPr>
      <w:r w:rsidRPr="00B943BF">
        <w:rPr>
          <w:rFonts w:ascii="Times New Roman" w:hAnsi="Times New Roman" w:cs="Times New Roman"/>
          <w:lang w:val="it-IT"/>
        </w:rPr>
        <w:t>min</w:t>
      </w:r>
      <w:r w:rsidRPr="00B943BF">
        <w:rPr>
          <w:rFonts w:ascii="Times New Roman" w:hAnsi="Times New Roman" w:cs="Times New Roman"/>
          <w:lang w:val="it-IT"/>
        </w:rPr>
        <w:tab/>
        <w:t>Minutes</w:t>
      </w:r>
    </w:p>
    <w:p w:rsidR="00B943BF" w:rsidRPr="00B943BF" w:rsidRDefault="00B943BF" w:rsidP="00B943BF">
      <w:pPr>
        <w:widowControl w:val="0"/>
        <w:tabs>
          <w:tab w:val="left" w:pos="1440"/>
        </w:tabs>
        <w:spacing w:after="0"/>
        <w:ind w:left="1440" w:hanging="1440"/>
        <w:rPr>
          <w:rFonts w:ascii="Times New Roman" w:hAnsi="Times New Roman" w:cs="Times New Roman"/>
          <w:lang w:val="it-IT"/>
        </w:rPr>
      </w:pPr>
      <w:r w:rsidRPr="00B943BF">
        <w:rPr>
          <w:rFonts w:ascii="Times New Roman" w:hAnsi="Times New Roman" w:cs="Times New Roman"/>
          <w:lang w:val="it-IT"/>
        </w:rPr>
        <w:t>ml</w:t>
      </w:r>
      <w:r w:rsidRPr="00B943BF">
        <w:rPr>
          <w:rFonts w:ascii="Times New Roman" w:hAnsi="Times New Roman" w:cs="Times New Roman"/>
          <w:lang w:val="it-IT"/>
        </w:rPr>
        <w:tab/>
        <w:t>Millilitres</w:t>
      </w:r>
    </w:p>
    <w:p w:rsidR="00B943BF" w:rsidRPr="00B943BF" w:rsidRDefault="00B943BF" w:rsidP="00B943BF">
      <w:pPr>
        <w:widowControl w:val="0"/>
        <w:tabs>
          <w:tab w:val="left" w:pos="1440"/>
        </w:tabs>
        <w:spacing w:after="0"/>
        <w:ind w:left="1440" w:hanging="1440"/>
        <w:rPr>
          <w:rFonts w:ascii="Times New Roman" w:hAnsi="Times New Roman" w:cs="Times New Roman"/>
        </w:rPr>
      </w:pPr>
      <w:proofErr w:type="gramStart"/>
      <w:r w:rsidRPr="00B943BF">
        <w:rPr>
          <w:rFonts w:ascii="Times New Roman" w:hAnsi="Times New Roman" w:cs="Times New Roman"/>
        </w:rPr>
        <w:t>mM</w:t>
      </w:r>
      <w:proofErr w:type="gramEnd"/>
      <w:r w:rsidRPr="00B943BF">
        <w:rPr>
          <w:rFonts w:ascii="Times New Roman" w:hAnsi="Times New Roman" w:cs="Times New Roman"/>
        </w:rPr>
        <w:tab/>
        <w:t>Millimolar</w:t>
      </w:r>
    </w:p>
    <w:p w:rsidR="00B943BF" w:rsidRPr="00B943BF" w:rsidRDefault="00B943BF" w:rsidP="00B943BF">
      <w:pPr>
        <w:widowControl w:val="0"/>
        <w:tabs>
          <w:tab w:val="left" w:pos="1440"/>
        </w:tabs>
        <w:spacing w:after="0"/>
        <w:ind w:left="1440" w:hanging="1440"/>
        <w:rPr>
          <w:rFonts w:ascii="Times New Roman" w:hAnsi="Times New Roman" w:cs="Times New Roman"/>
          <w:lang w:val="it-IT"/>
        </w:rPr>
      </w:pPr>
      <w:r w:rsidRPr="00B943BF">
        <w:rPr>
          <w:rFonts w:ascii="Times New Roman" w:hAnsi="Times New Roman" w:cs="Times New Roman"/>
          <w:lang w:val="it-IT"/>
        </w:rPr>
        <w:t>mRFP</w:t>
      </w:r>
      <w:r w:rsidRPr="00B943BF">
        <w:rPr>
          <w:rFonts w:ascii="Times New Roman" w:hAnsi="Times New Roman" w:cs="Times New Roman"/>
          <w:lang w:val="it-IT"/>
        </w:rPr>
        <w:tab/>
        <w:t>Monomeric red fluorescent protein</w:t>
      </w:r>
    </w:p>
    <w:p w:rsidR="00B943BF" w:rsidRPr="00B943BF" w:rsidRDefault="00B943BF" w:rsidP="00B943BF">
      <w:pPr>
        <w:widowControl w:val="0"/>
        <w:tabs>
          <w:tab w:val="left" w:pos="1440"/>
        </w:tabs>
        <w:spacing w:after="0"/>
        <w:ind w:left="1440" w:hanging="1440"/>
        <w:rPr>
          <w:rFonts w:ascii="Times New Roman" w:hAnsi="Times New Roman" w:cs="Times New Roman"/>
          <w:lang w:val="it-IT"/>
        </w:rPr>
      </w:pPr>
      <w:r w:rsidRPr="00B943BF">
        <w:rPr>
          <w:rFonts w:ascii="Times New Roman" w:hAnsi="Times New Roman" w:cs="Times New Roman"/>
          <w:lang w:val="it-IT"/>
        </w:rPr>
        <w:t>Mur</w:t>
      </w:r>
      <w:r w:rsidRPr="00B943BF">
        <w:rPr>
          <w:rFonts w:ascii="Times New Roman" w:hAnsi="Times New Roman" w:cs="Times New Roman"/>
          <w:i/>
          <w:lang w:val="it-IT"/>
        </w:rPr>
        <w:t>N</w:t>
      </w:r>
      <w:r w:rsidRPr="00B943BF">
        <w:rPr>
          <w:rFonts w:ascii="Times New Roman" w:hAnsi="Times New Roman" w:cs="Times New Roman"/>
          <w:lang w:val="it-IT"/>
        </w:rPr>
        <w:t>Ac</w:t>
      </w:r>
      <w:r w:rsidRPr="00B943BF">
        <w:rPr>
          <w:rFonts w:ascii="Times New Roman" w:hAnsi="Times New Roman" w:cs="Times New Roman"/>
          <w:lang w:val="it-IT"/>
        </w:rPr>
        <w:tab/>
      </w:r>
      <w:r w:rsidRPr="00B943BF">
        <w:rPr>
          <w:rFonts w:ascii="Times New Roman" w:hAnsi="Times New Roman" w:cs="Times New Roman"/>
          <w:i/>
          <w:lang w:val="it-IT"/>
        </w:rPr>
        <w:t>N-</w:t>
      </w:r>
      <w:r w:rsidRPr="00B943BF">
        <w:rPr>
          <w:rFonts w:ascii="Times New Roman" w:hAnsi="Times New Roman" w:cs="Times New Roman"/>
          <w:lang w:val="it-IT"/>
        </w:rPr>
        <w:t>acetyl muramic acid</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Neo</w:t>
      </w:r>
      <w:r w:rsidRPr="00B943BF">
        <w:rPr>
          <w:rFonts w:ascii="Times New Roman" w:hAnsi="Times New Roman" w:cs="Times New Roman"/>
        </w:rPr>
        <w:tab/>
        <w:t>Neomycin</w:t>
      </w:r>
    </w:p>
    <w:p w:rsidR="00B943BF" w:rsidRPr="00B943BF" w:rsidRDefault="00B943BF" w:rsidP="00B943BF">
      <w:pPr>
        <w:widowControl w:val="0"/>
        <w:tabs>
          <w:tab w:val="left" w:pos="1440"/>
        </w:tabs>
        <w:spacing w:after="0"/>
        <w:ind w:left="1440" w:hanging="1440"/>
        <w:rPr>
          <w:rFonts w:ascii="Times New Roman" w:hAnsi="Times New Roman" w:cs="Times New Roman"/>
        </w:rPr>
      </w:pPr>
      <w:proofErr w:type="gramStart"/>
      <w:r w:rsidRPr="00B943BF">
        <w:rPr>
          <w:rFonts w:ascii="Times New Roman" w:hAnsi="Times New Roman" w:cs="Times New Roman"/>
        </w:rPr>
        <w:t>nm</w:t>
      </w:r>
      <w:proofErr w:type="gramEnd"/>
      <w:r w:rsidRPr="00B943BF">
        <w:rPr>
          <w:rFonts w:ascii="Times New Roman" w:hAnsi="Times New Roman" w:cs="Times New Roman"/>
        </w:rPr>
        <w:tab/>
        <w:t>Nanometre</w:t>
      </w:r>
    </w:p>
    <w:p w:rsidR="00B943BF" w:rsidRPr="00B943BF" w:rsidRDefault="00B943BF" w:rsidP="00B943BF">
      <w:pPr>
        <w:widowControl w:val="0"/>
        <w:tabs>
          <w:tab w:val="left" w:pos="1440"/>
        </w:tabs>
        <w:spacing w:after="0"/>
        <w:ind w:left="1440" w:hanging="1440"/>
        <w:rPr>
          <w:rFonts w:ascii="Times New Roman" w:hAnsi="Times New Roman" w:cs="Times New Roman"/>
        </w:rPr>
      </w:pPr>
      <w:proofErr w:type="gramStart"/>
      <w:r w:rsidRPr="00B943BF">
        <w:rPr>
          <w:rFonts w:ascii="Times New Roman" w:hAnsi="Times New Roman" w:cs="Times New Roman"/>
        </w:rPr>
        <w:t>nM</w:t>
      </w:r>
      <w:proofErr w:type="gramEnd"/>
      <w:r w:rsidRPr="00B943BF">
        <w:rPr>
          <w:rFonts w:ascii="Times New Roman" w:hAnsi="Times New Roman" w:cs="Times New Roman"/>
        </w:rPr>
        <w:tab/>
        <w:t>Nanomolar</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NMR</w:t>
      </w:r>
      <w:r w:rsidRPr="00B943BF">
        <w:rPr>
          <w:rFonts w:ascii="Times New Roman" w:hAnsi="Times New Roman" w:cs="Times New Roman"/>
        </w:rPr>
        <w:tab/>
        <w:t>Nuclear magnetic resonance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No.</w:t>
      </w:r>
      <w:r w:rsidRPr="00B943BF">
        <w:rPr>
          <w:rFonts w:ascii="Times New Roman" w:hAnsi="Times New Roman" w:cs="Times New Roman"/>
        </w:rPr>
        <w:tab/>
        <w:t>Number</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OD</w:t>
      </w:r>
      <w:r w:rsidRPr="00B943BF">
        <w:rPr>
          <w:rFonts w:ascii="Times New Roman" w:hAnsi="Times New Roman" w:cs="Times New Roman"/>
          <w:vertAlign w:val="subscript"/>
        </w:rPr>
        <w:t>x</w:t>
      </w:r>
      <w:r w:rsidRPr="00B943BF">
        <w:rPr>
          <w:rFonts w:ascii="Times New Roman" w:hAnsi="Times New Roman" w:cs="Times New Roman"/>
        </w:rPr>
        <w:tab/>
        <w:t>Optical density at indicated wavelength x (nm)</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OMX</w:t>
      </w:r>
      <w:r w:rsidRPr="00B943BF">
        <w:rPr>
          <w:rFonts w:ascii="Times New Roman" w:hAnsi="Times New Roman" w:cs="Times New Roman"/>
        </w:rPr>
        <w:tab/>
        <w:t>Optical microscopy experimental</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P</w:t>
      </w:r>
      <w:r w:rsidRPr="00B943BF">
        <w:rPr>
          <w:rFonts w:ascii="Times New Roman" w:hAnsi="Times New Roman" w:cs="Times New Roman"/>
        </w:rPr>
        <w:tab/>
        <w:t>Phase image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PALM</w:t>
      </w:r>
      <w:r w:rsidRPr="00B943BF">
        <w:rPr>
          <w:rFonts w:ascii="Times New Roman" w:hAnsi="Times New Roman" w:cs="Times New Roman"/>
        </w:rPr>
        <w:tab/>
        <w:t>Photoactivated localisation microscopy</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PBP</w:t>
      </w:r>
      <w:r w:rsidRPr="00B943BF">
        <w:rPr>
          <w:rFonts w:ascii="Times New Roman" w:hAnsi="Times New Roman" w:cs="Times New Roman"/>
        </w:rPr>
        <w:tab/>
        <w:t>Penicillin-binding protein</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PBS</w:t>
      </w:r>
      <w:r w:rsidRPr="00B943BF">
        <w:rPr>
          <w:rFonts w:ascii="Times New Roman" w:hAnsi="Times New Roman" w:cs="Times New Roman"/>
        </w:rPr>
        <w:tab/>
        <w:t>Phosphate buffered saline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PCR</w:t>
      </w:r>
      <w:r w:rsidRPr="00B943BF">
        <w:rPr>
          <w:rFonts w:ascii="Times New Roman" w:hAnsi="Times New Roman" w:cs="Times New Roman"/>
        </w:rPr>
        <w:tab/>
        <w:t>Polymerase chain reaction</w:t>
      </w:r>
    </w:p>
    <w:p w:rsidR="00B943BF" w:rsidRPr="00B943BF" w:rsidRDefault="00B943BF" w:rsidP="00B943BF">
      <w:pPr>
        <w:widowControl w:val="0"/>
        <w:tabs>
          <w:tab w:val="left" w:pos="1440"/>
        </w:tabs>
        <w:spacing w:after="0"/>
        <w:ind w:left="1440" w:hanging="1440"/>
        <w:rPr>
          <w:rFonts w:ascii="Times New Roman" w:hAnsi="Times New Roman" w:cs="Times New Roman"/>
        </w:rPr>
      </w:pPr>
      <w:proofErr w:type="gramStart"/>
      <w:r w:rsidRPr="00B943BF">
        <w:rPr>
          <w:rFonts w:ascii="Times New Roman" w:hAnsi="Times New Roman" w:cs="Times New Roman"/>
        </w:rPr>
        <w:t>pfu</w:t>
      </w:r>
      <w:proofErr w:type="gramEnd"/>
      <w:r w:rsidRPr="00B943BF">
        <w:rPr>
          <w:rFonts w:ascii="Times New Roman" w:hAnsi="Times New Roman" w:cs="Times New Roman"/>
        </w:rPr>
        <w:tab/>
        <w:t>Plaque forming units</w:t>
      </w:r>
    </w:p>
    <w:p w:rsidR="00B943BF" w:rsidRPr="00B943BF" w:rsidRDefault="00B943BF" w:rsidP="00C75FBC">
      <w:pPr>
        <w:widowControl w:val="0"/>
        <w:tabs>
          <w:tab w:val="left" w:pos="2095"/>
        </w:tabs>
        <w:spacing w:after="0"/>
        <w:ind w:left="1440" w:hanging="1440"/>
        <w:rPr>
          <w:rFonts w:ascii="Times New Roman" w:hAnsi="Times New Roman" w:cs="Times New Roman"/>
        </w:rPr>
      </w:pPr>
      <w:proofErr w:type="gramStart"/>
      <w:r w:rsidRPr="00B943BF">
        <w:rPr>
          <w:rFonts w:ascii="Times New Roman" w:hAnsi="Times New Roman" w:cs="Times New Roman"/>
        </w:rPr>
        <w:t>psi</w:t>
      </w:r>
      <w:proofErr w:type="gramEnd"/>
      <w:r w:rsidR="00C75FBC">
        <w:rPr>
          <w:rFonts w:ascii="Times New Roman" w:hAnsi="Times New Roman" w:cs="Times New Roman"/>
        </w:rPr>
        <w:tab/>
        <w:t>Pounds per square inch</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P</w:t>
      </w:r>
      <w:r w:rsidRPr="00B943BF">
        <w:rPr>
          <w:rFonts w:ascii="Times New Roman" w:hAnsi="Times New Roman" w:cs="Times New Roman"/>
          <w:vertAlign w:val="subscript"/>
        </w:rPr>
        <w:t>spac</w:t>
      </w:r>
      <w:r w:rsidRPr="00B943BF">
        <w:rPr>
          <w:rFonts w:ascii="Times New Roman" w:hAnsi="Times New Roman" w:cs="Times New Roman"/>
          <w:vertAlign w:val="subscript"/>
        </w:rPr>
        <w:tab/>
      </w:r>
      <w:r w:rsidRPr="00B943BF">
        <w:rPr>
          <w:rFonts w:ascii="Times New Roman" w:hAnsi="Times New Roman" w:cs="Times New Roman"/>
        </w:rPr>
        <w:t>Spac promoter</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RP-HPLC</w:t>
      </w:r>
      <w:r w:rsidRPr="00B943BF">
        <w:rPr>
          <w:rFonts w:ascii="Times New Roman" w:hAnsi="Times New Roman" w:cs="Times New Roman"/>
        </w:rPr>
        <w:tab/>
        <w:t>Reverse-phase high performance liquid chromatography</w:t>
      </w:r>
    </w:p>
    <w:p w:rsidR="00B943BF" w:rsidRPr="00B943BF" w:rsidRDefault="00B943BF" w:rsidP="00B943BF">
      <w:pPr>
        <w:widowControl w:val="0"/>
        <w:tabs>
          <w:tab w:val="left" w:pos="1440"/>
        </w:tabs>
        <w:spacing w:after="0"/>
        <w:ind w:left="1440" w:hanging="1440"/>
        <w:rPr>
          <w:rFonts w:ascii="Times New Roman" w:hAnsi="Times New Roman" w:cs="Times New Roman"/>
        </w:rPr>
      </w:pPr>
      <w:proofErr w:type="gramStart"/>
      <w:r w:rsidRPr="00B943BF">
        <w:rPr>
          <w:rFonts w:ascii="Times New Roman" w:hAnsi="Times New Roman" w:cs="Times New Roman"/>
        </w:rPr>
        <w:t>rpm</w:t>
      </w:r>
      <w:proofErr w:type="gramEnd"/>
      <w:r w:rsidRPr="00B943BF">
        <w:rPr>
          <w:rFonts w:ascii="Times New Roman" w:hAnsi="Times New Roman" w:cs="Times New Roman"/>
        </w:rPr>
        <w:tab/>
        <w:t>Revolutions per min</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RT</w:t>
      </w:r>
      <w:r w:rsidRPr="00B943BF">
        <w:rPr>
          <w:rFonts w:ascii="Times New Roman" w:hAnsi="Times New Roman" w:cs="Times New Roman"/>
        </w:rPr>
        <w:tab/>
        <w:t>Room temperature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SDS</w:t>
      </w:r>
      <w:r w:rsidRPr="00B943BF">
        <w:rPr>
          <w:rFonts w:ascii="Times New Roman" w:hAnsi="Times New Roman" w:cs="Times New Roman"/>
        </w:rPr>
        <w:tab/>
        <w:t>Sodium dodecyl sulphate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SDS-PAGE</w:t>
      </w:r>
      <w:r w:rsidRPr="00B943BF">
        <w:rPr>
          <w:rFonts w:ascii="Times New Roman" w:hAnsi="Times New Roman" w:cs="Times New Roman"/>
        </w:rPr>
        <w:tab/>
        <w:t>Sodium dodecyl sulphate polyacrylamide gel electrophoresis</w:t>
      </w:r>
    </w:p>
    <w:p w:rsidR="00B943BF" w:rsidRPr="00B943BF" w:rsidRDefault="00B943BF" w:rsidP="00B943BF">
      <w:pPr>
        <w:widowControl w:val="0"/>
        <w:tabs>
          <w:tab w:val="left" w:pos="1440"/>
        </w:tabs>
        <w:spacing w:after="0"/>
        <w:ind w:left="1440" w:hanging="1440"/>
        <w:rPr>
          <w:rFonts w:ascii="Times New Roman" w:hAnsi="Times New Roman" w:cs="Times New Roman"/>
        </w:rPr>
      </w:pPr>
      <w:proofErr w:type="gramStart"/>
      <w:r w:rsidRPr="00B943BF">
        <w:rPr>
          <w:rFonts w:ascii="Times New Roman" w:hAnsi="Times New Roman" w:cs="Times New Roman"/>
        </w:rPr>
        <w:t>s</w:t>
      </w:r>
      <w:proofErr w:type="gramEnd"/>
      <w:r w:rsidRPr="00B943BF">
        <w:rPr>
          <w:rFonts w:ascii="Times New Roman" w:hAnsi="Times New Roman" w:cs="Times New Roman"/>
        </w:rPr>
        <w:tab/>
        <w:t>Seconds</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SEC</w:t>
      </w:r>
      <w:r w:rsidRPr="00B943BF">
        <w:rPr>
          <w:rFonts w:ascii="Times New Roman" w:hAnsi="Times New Roman" w:cs="Times New Roman"/>
        </w:rPr>
        <w:tab/>
        <w:t>Size exclusion chromatography</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SIM</w:t>
      </w:r>
      <w:r w:rsidRPr="00B943BF">
        <w:rPr>
          <w:rFonts w:ascii="Times New Roman" w:hAnsi="Times New Roman" w:cs="Times New Roman"/>
        </w:rPr>
        <w:tab/>
        <w:t>Structured illumination microscopy</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lastRenderedPageBreak/>
        <w:t>Spc</w:t>
      </w:r>
      <w:r w:rsidRPr="00B943BF">
        <w:rPr>
          <w:rFonts w:ascii="Times New Roman" w:hAnsi="Times New Roman" w:cs="Times New Roman"/>
        </w:rPr>
        <w:tab/>
        <w:t>Spectinomycin</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i/>
        </w:rPr>
        <w:t>Spp.</w:t>
      </w:r>
      <w:r w:rsidRPr="00B943BF">
        <w:rPr>
          <w:rFonts w:ascii="Times New Roman" w:hAnsi="Times New Roman" w:cs="Times New Roman"/>
          <w:i/>
        </w:rPr>
        <w:tab/>
      </w:r>
      <w:r w:rsidRPr="00B943BF">
        <w:rPr>
          <w:rFonts w:ascii="Times New Roman" w:hAnsi="Times New Roman" w:cs="Times New Roman"/>
        </w:rPr>
        <w:t>Species</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SSE</w:t>
      </w:r>
      <w:r w:rsidRPr="00B943BF">
        <w:rPr>
          <w:rFonts w:ascii="Times New Roman" w:hAnsi="Times New Roman" w:cs="Times New Roman"/>
        </w:rPr>
        <w:tab/>
        <w:t>Succinimidyl ester</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STORM</w:t>
      </w:r>
      <w:r w:rsidRPr="00B943BF">
        <w:rPr>
          <w:rFonts w:ascii="Times New Roman" w:hAnsi="Times New Roman" w:cs="Times New Roman"/>
        </w:rPr>
        <w:tab/>
        <w:t>Stochastic optical reconstruction microscopy</w:t>
      </w:r>
    </w:p>
    <w:p w:rsidR="00B943BF" w:rsidRPr="00B943BF" w:rsidRDefault="00B943BF" w:rsidP="00B943BF">
      <w:pPr>
        <w:widowControl w:val="0"/>
        <w:tabs>
          <w:tab w:val="left" w:pos="1440"/>
        </w:tabs>
        <w:spacing w:after="0"/>
        <w:ind w:left="1440" w:hanging="1440"/>
        <w:rPr>
          <w:rFonts w:ascii="Times New Roman" w:hAnsi="Times New Roman" w:cs="Times New Roman"/>
        </w:rPr>
      </w:pPr>
      <w:proofErr w:type="gramStart"/>
      <w:r w:rsidRPr="00B943BF">
        <w:rPr>
          <w:rFonts w:ascii="Times New Roman" w:hAnsi="Times New Roman" w:cs="Times New Roman"/>
        </w:rPr>
        <w:t>t</w:t>
      </w:r>
      <w:proofErr w:type="gramEnd"/>
      <w:r w:rsidRPr="00B943BF">
        <w:rPr>
          <w:rFonts w:ascii="Times New Roman" w:hAnsi="Times New Roman" w:cs="Times New Roman"/>
        </w:rPr>
        <w:tab/>
        <w:t>Time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TA</w:t>
      </w:r>
      <w:r w:rsidRPr="00B943BF">
        <w:rPr>
          <w:rFonts w:ascii="Times New Roman" w:hAnsi="Times New Roman" w:cs="Times New Roman"/>
        </w:rPr>
        <w:tab/>
        <w:t>Teichoic acid</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TAE</w:t>
      </w:r>
      <w:r w:rsidRPr="00B943BF">
        <w:rPr>
          <w:rFonts w:ascii="Times New Roman" w:hAnsi="Times New Roman" w:cs="Times New Roman"/>
        </w:rPr>
        <w:tab/>
        <w:t>Tris-acetate EDTA (buffer)</w:t>
      </w:r>
    </w:p>
    <w:p w:rsidR="00B943BF" w:rsidRPr="00B943BF" w:rsidRDefault="00B943BF" w:rsidP="00B943BF">
      <w:pPr>
        <w:widowControl w:val="0"/>
        <w:tabs>
          <w:tab w:val="left" w:pos="1440"/>
        </w:tabs>
        <w:spacing w:after="0"/>
        <w:ind w:left="1440" w:hanging="1440"/>
        <w:rPr>
          <w:rFonts w:ascii="Times New Roman" w:hAnsi="Times New Roman" w:cs="Times New Roman"/>
          <w:i/>
        </w:rPr>
      </w:pPr>
      <w:r w:rsidRPr="00B943BF">
        <w:rPr>
          <w:rFonts w:ascii="Times New Roman" w:hAnsi="Times New Roman" w:cs="Times New Roman"/>
        </w:rPr>
        <w:t>Taq</w:t>
      </w:r>
      <w:r w:rsidRPr="00B943BF">
        <w:rPr>
          <w:rFonts w:ascii="Times New Roman" w:hAnsi="Times New Roman" w:cs="Times New Roman"/>
        </w:rPr>
        <w:tab/>
        <w:t xml:space="preserve">Thermostable DNA polymerase derived from </w:t>
      </w:r>
      <w:r w:rsidRPr="00B943BF">
        <w:rPr>
          <w:rFonts w:ascii="Times New Roman" w:hAnsi="Times New Roman" w:cs="Times New Roman"/>
          <w:i/>
        </w:rPr>
        <w:t>Thermus aquaticus</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TBS</w:t>
      </w:r>
      <w:r w:rsidRPr="00B943BF">
        <w:rPr>
          <w:rFonts w:ascii="Times New Roman" w:hAnsi="Times New Roman" w:cs="Times New Roman"/>
        </w:rPr>
        <w:tab/>
        <w:t>Tris buffered saline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TE</w:t>
      </w:r>
      <w:r w:rsidRPr="00B943BF">
        <w:rPr>
          <w:rFonts w:ascii="Times New Roman" w:hAnsi="Times New Roman" w:cs="Times New Roman"/>
        </w:rPr>
        <w:tab/>
        <w:t>Tris-EDTA (buffer)</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TEMED</w:t>
      </w:r>
      <w:r w:rsidRPr="00B943BF">
        <w:rPr>
          <w:rFonts w:ascii="Times New Roman" w:hAnsi="Times New Roman" w:cs="Times New Roman"/>
        </w:rPr>
        <w:tab/>
        <w:t>N</w:t>
      </w:r>
      <w:proofErr w:type="gramStart"/>
      <w:r w:rsidRPr="00B943BF">
        <w:rPr>
          <w:rFonts w:ascii="Times New Roman" w:hAnsi="Times New Roman" w:cs="Times New Roman"/>
        </w:rPr>
        <w:t>,N,N’N’</w:t>
      </w:r>
      <w:proofErr w:type="gramEnd"/>
      <w:r w:rsidRPr="00B943BF">
        <w:rPr>
          <w:rFonts w:ascii="Times New Roman" w:hAnsi="Times New Roman" w:cs="Times New Roman"/>
        </w:rPr>
        <w:t>-tetramethyl-ethylenediamine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TES</w:t>
      </w:r>
      <w:r w:rsidR="00C75FBC">
        <w:rPr>
          <w:rFonts w:ascii="Times New Roman" w:hAnsi="Times New Roman" w:cs="Times New Roman"/>
        </w:rPr>
        <w:tab/>
        <w:t>Tris-EDTA NaCl</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Tet</w:t>
      </w:r>
      <w:r w:rsidRPr="00B943BF">
        <w:rPr>
          <w:rFonts w:ascii="Times New Roman" w:hAnsi="Times New Roman" w:cs="Times New Roman"/>
        </w:rPr>
        <w:tab/>
        <w:t>Tetracycline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THY</w:t>
      </w:r>
      <w:r w:rsidR="00C75FBC">
        <w:rPr>
          <w:rFonts w:ascii="Times New Roman" w:hAnsi="Times New Roman" w:cs="Times New Roman"/>
        </w:rPr>
        <w:tab/>
        <w:t xml:space="preserve">Todd-Hewitt </w:t>
      </w:r>
      <w:r w:rsidR="00C75FBC" w:rsidRPr="00C75FBC">
        <w:rPr>
          <w:rFonts w:ascii="Times New Roman" w:hAnsi="Times New Roman" w:cs="Times New Roman"/>
        </w:rPr>
        <w:t>broth supplemented with yeast extract</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Tmn</w:t>
      </w:r>
      <w:r w:rsidRPr="00B943BF">
        <w:rPr>
          <w:rFonts w:ascii="Times New Roman" w:hAnsi="Times New Roman" w:cs="Times New Roman"/>
        </w:rPr>
        <w:tab/>
        <w:t>Minocycline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Tris</w:t>
      </w:r>
      <w:r w:rsidRPr="00B943BF">
        <w:rPr>
          <w:rFonts w:ascii="Times New Roman" w:hAnsi="Times New Roman" w:cs="Times New Roman"/>
        </w:rPr>
        <w:tab/>
        <w:t>Tris (hydroxymethyl) aminomethane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TSA</w:t>
      </w:r>
      <w:r w:rsidR="00C75FBC">
        <w:rPr>
          <w:rFonts w:ascii="Times New Roman" w:hAnsi="Times New Roman" w:cs="Times New Roman"/>
        </w:rPr>
        <w:tab/>
        <w:t>Tryptone soy agar</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TSB</w:t>
      </w:r>
      <w:r w:rsidR="00C75FBC">
        <w:rPr>
          <w:rFonts w:ascii="Times New Roman" w:hAnsi="Times New Roman" w:cs="Times New Roman"/>
        </w:rPr>
        <w:tab/>
        <w:t>Tryptone soy broth</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µF</w:t>
      </w:r>
      <w:r w:rsidRPr="00B943BF">
        <w:rPr>
          <w:rFonts w:ascii="Times New Roman" w:hAnsi="Times New Roman" w:cs="Times New Roman"/>
        </w:rPr>
        <w:tab/>
        <w:t>Microfarad</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µg</w:t>
      </w:r>
      <w:r w:rsidRPr="00B943BF">
        <w:rPr>
          <w:rFonts w:ascii="Times New Roman" w:hAnsi="Times New Roman" w:cs="Times New Roman"/>
        </w:rPr>
        <w:tab/>
        <w:t>Microgram</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µl</w:t>
      </w:r>
      <w:r w:rsidRPr="00B943BF">
        <w:rPr>
          <w:rFonts w:ascii="Times New Roman" w:hAnsi="Times New Roman" w:cs="Times New Roman"/>
        </w:rPr>
        <w:tab/>
        <w:t>Microlitre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µm</w:t>
      </w:r>
      <w:r w:rsidRPr="00B943BF">
        <w:rPr>
          <w:rFonts w:ascii="Times New Roman" w:hAnsi="Times New Roman" w:cs="Times New Roman"/>
        </w:rPr>
        <w:tab/>
        <w:t>Micrometre</w:t>
      </w:r>
    </w:p>
    <w:p w:rsidR="00B943BF" w:rsidRPr="00B943BF" w:rsidRDefault="00B943BF" w:rsidP="00B943BF">
      <w:pPr>
        <w:widowControl w:val="0"/>
        <w:tabs>
          <w:tab w:val="left" w:pos="1440"/>
        </w:tabs>
        <w:spacing w:after="0"/>
        <w:ind w:left="1440" w:hanging="1440"/>
        <w:rPr>
          <w:rFonts w:ascii="Times New Roman" w:hAnsi="Times New Roman" w:cs="Times New Roman"/>
          <w:lang w:val="fr-FR"/>
        </w:rPr>
      </w:pPr>
      <w:r w:rsidRPr="00B943BF">
        <w:rPr>
          <w:rFonts w:ascii="Times New Roman" w:hAnsi="Times New Roman" w:cs="Times New Roman"/>
          <w:lang w:val="fr-FR"/>
        </w:rPr>
        <w:t>µM</w:t>
      </w:r>
      <w:r w:rsidRPr="00B943BF">
        <w:rPr>
          <w:rFonts w:ascii="Times New Roman" w:hAnsi="Times New Roman" w:cs="Times New Roman"/>
          <w:lang w:val="fr-FR"/>
        </w:rPr>
        <w:tab/>
        <w:t>Micromolar</w:t>
      </w:r>
    </w:p>
    <w:p w:rsidR="00B943BF" w:rsidRPr="00B943BF" w:rsidRDefault="00B943BF" w:rsidP="00B943BF">
      <w:pPr>
        <w:widowControl w:val="0"/>
        <w:tabs>
          <w:tab w:val="left" w:pos="1440"/>
        </w:tabs>
        <w:spacing w:after="0"/>
        <w:ind w:left="1440" w:hanging="1440"/>
        <w:rPr>
          <w:rFonts w:ascii="Times New Roman" w:hAnsi="Times New Roman" w:cs="Times New Roman"/>
          <w:lang w:val="fr-FR"/>
        </w:rPr>
      </w:pPr>
      <w:r w:rsidRPr="00B943BF">
        <w:rPr>
          <w:rFonts w:ascii="Times New Roman" w:hAnsi="Times New Roman" w:cs="Times New Roman"/>
          <w:lang w:val="fr-FR"/>
        </w:rPr>
        <w:t>U</w:t>
      </w:r>
      <w:r w:rsidRPr="00B943BF">
        <w:rPr>
          <w:rFonts w:ascii="Times New Roman" w:hAnsi="Times New Roman" w:cs="Times New Roman"/>
          <w:lang w:val="fr-FR"/>
        </w:rPr>
        <w:tab/>
        <w:t>Units (of enzyme activity)</w:t>
      </w:r>
    </w:p>
    <w:p w:rsidR="00B943BF" w:rsidRPr="00B943BF" w:rsidRDefault="00B943BF" w:rsidP="00B943BF">
      <w:pPr>
        <w:widowControl w:val="0"/>
        <w:tabs>
          <w:tab w:val="left" w:pos="1440"/>
        </w:tabs>
        <w:spacing w:after="0"/>
        <w:ind w:left="1440" w:hanging="1440"/>
        <w:rPr>
          <w:rFonts w:ascii="Times New Roman" w:hAnsi="Times New Roman" w:cs="Times New Roman"/>
          <w:lang w:val="fr-FR"/>
        </w:rPr>
      </w:pPr>
      <w:r w:rsidRPr="00B943BF">
        <w:rPr>
          <w:rFonts w:ascii="Times New Roman" w:hAnsi="Times New Roman" w:cs="Times New Roman"/>
          <w:lang w:val="fr-FR"/>
        </w:rPr>
        <w:t>UDP</w:t>
      </w:r>
      <w:r w:rsidRPr="00B943BF">
        <w:rPr>
          <w:rFonts w:ascii="Times New Roman" w:hAnsi="Times New Roman" w:cs="Times New Roman"/>
          <w:lang w:val="fr-FR"/>
        </w:rPr>
        <w:tab/>
      </w:r>
      <w:r w:rsidRPr="00B943BF">
        <w:rPr>
          <w:rFonts w:ascii="Times New Roman" w:hAnsi="Times New Roman" w:cs="Times New Roman"/>
        </w:rPr>
        <w:t>U</w:t>
      </w:r>
      <w:r w:rsidR="00F67FB0">
        <w:rPr>
          <w:rFonts w:ascii="Times New Roman" w:hAnsi="Times New Roman" w:cs="Times New Roman"/>
        </w:rPr>
        <w:t>ridine di</w:t>
      </w:r>
      <w:r w:rsidRPr="00B943BF">
        <w:rPr>
          <w:rFonts w:ascii="Times New Roman" w:hAnsi="Times New Roman" w:cs="Times New Roman"/>
        </w:rPr>
        <w:t>phosphate</w:t>
      </w:r>
    </w:p>
    <w:p w:rsidR="00B943BF" w:rsidRPr="00B943BF" w:rsidRDefault="00B943BF" w:rsidP="00B943BF">
      <w:pPr>
        <w:widowControl w:val="0"/>
        <w:tabs>
          <w:tab w:val="left" w:pos="1440"/>
        </w:tabs>
        <w:spacing w:after="0"/>
        <w:ind w:left="1440" w:hanging="1440"/>
        <w:rPr>
          <w:rFonts w:ascii="Times New Roman" w:hAnsi="Times New Roman" w:cs="Times New Roman"/>
          <w:lang w:val="fr-FR"/>
        </w:rPr>
      </w:pPr>
      <w:r w:rsidRPr="00B943BF">
        <w:rPr>
          <w:rFonts w:ascii="Times New Roman" w:hAnsi="Times New Roman" w:cs="Times New Roman"/>
          <w:lang w:val="fr-FR"/>
        </w:rPr>
        <w:t>UV</w:t>
      </w:r>
      <w:r w:rsidRPr="00B943BF">
        <w:rPr>
          <w:rFonts w:ascii="Times New Roman" w:hAnsi="Times New Roman" w:cs="Times New Roman"/>
          <w:lang w:val="fr-FR"/>
        </w:rPr>
        <w:tab/>
        <w:t>Ultra violet</w:t>
      </w:r>
    </w:p>
    <w:p w:rsidR="00B943BF" w:rsidRPr="00B943BF" w:rsidRDefault="00B943BF" w:rsidP="00B943BF">
      <w:pPr>
        <w:widowControl w:val="0"/>
        <w:tabs>
          <w:tab w:val="left" w:pos="1440"/>
        </w:tabs>
        <w:spacing w:after="0"/>
        <w:ind w:left="1440" w:hanging="1440"/>
        <w:rPr>
          <w:rFonts w:ascii="Times New Roman" w:hAnsi="Times New Roman" w:cs="Times New Roman"/>
          <w:lang w:val="fr-FR"/>
        </w:rPr>
      </w:pPr>
      <w:r w:rsidRPr="00B943BF">
        <w:rPr>
          <w:rFonts w:ascii="Times New Roman" w:hAnsi="Times New Roman" w:cs="Times New Roman"/>
          <w:lang w:val="fr-FR"/>
        </w:rPr>
        <w:t>V</w:t>
      </w:r>
      <w:r w:rsidRPr="00B943BF">
        <w:rPr>
          <w:rFonts w:ascii="Times New Roman" w:hAnsi="Times New Roman" w:cs="Times New Roman"/>
          <w:lang w:val="fr-FR"/>
        </w:rPr>
        <w:tab/>
        <w:t>Volts</w:t>
      </w:r>
    </w:p>
    <w:p w:rsidR="00B943BF" w:rsidRPr="00B943BF" w:rsidRDefault="00B943BF" w:rsidP="00B943BF">
      <w:pPr>
        <w:widowControl w:val="0"/>
        <w:tabs>
          <w:tab w:val="left" w:pos="1440"/>
        </w:tabs>
        <w:spacing w:after="0"/>
        <w:ind w:left="1440" w:hanging="1440"/>
        <w:rPr>
          <w:rFonts w:ascii="Times New Roman" w:hAnsi="Times New Roman" w:cs="Times New Roman"/>
          <w:lang w:val="fr-FR"/>
        </w:rPr>
      </w:pPr>
      <w:r w:rsidRPr="00B943BF">
        <w:rPr>
          <w:rFonts w:ascii="Times New Roman" w:hAnsi="Times New Roman" w:cs="Times New Roman"/>
          <w:lang w:val="fr-FR"/>
        </w:rPr>
        <w:t>Van</w:t>
      </w:r>
      <w:r w:rsidRPr="00B943BF">
        <w:rPr>
          <w:rFonts w:ascii="Times New Roman" w:hAnsi="Times New Roman" w:cs="Times New Roman"/>
          <w:lang w:val="fr-FR"/>
        </w:rPr>
        <w:tab/>
        <w:t>Vancomycin</w:t>
      </w:r>
    </w:p>
    <w:p w:rsidR="00B943BF" w:rsidRPr="00B943BF" w:rsidRDefault="00B943BF" w:rsidP="00B943BF">
      <w:pPr>
        <w:widowControl w:val="0"/>
        <w:tabs>
          <w:tab w:val="left" w:pos="1440"/>
        </w:tabs>
        <w:spacing w:after="0"/>
        <w:ind w:left="1440" w:hanging="1440"/>
        <w:rPr>
          <w:rFonts w:ascii="Times New Roman" w:hAnsi="Times New Roman" w:cs="Times New Roman"/>
        </w:rPr>
      </w:pPr>
      <w:proofErr w:type="gramStart"/>
      <w:r w:rsidRPr="00B943BF">
        <w:rPr>
          <w:rFonts w:ascii="Times New Roman" w:hAnsi="Times New Roman" w:cs="Times New Roman"/>
        </w:rPr>
        <w:t>v/v</w:t>
      </w:r>
      <w:proofErr w:type="gramEnd"/>
      <w:r w:rsidRPr="00B943BF">
        <w:rPr>
          <w:rFonts w:ascii="Times New Roman" w:hAnsi="Times New Roman" w:cs="Times New Roman"/>
        </w:rPr>
        <w:tab/>
        <w:t>Volume for volume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W</w:t>
      </w:r>
      <w:r w:rsidRPr="00B943BF">
        <w:rPr>
          <w:rFonts w:ascii="Times New Roman" w:hAnsi="Times New Roman" w:cs="Times New Roman"/>
        </w:rPr>
        <w:tab/>
        <w:t>Maximal cell width</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WGA</w:t>
      </w:r>
      <w:r w:rsidRPr="00B943BF">
        <w:rPr>
          <w:rFonts w:ascii="Times New Roman" w:hAnsi="Times New Roman" w:cs="Times New Roman"/>
        </w:rPr>
        <w:tab/>
        <w:t>Wheat germ agglutinin</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WT</w:t>
      </w:r>
      <w:r w:rsidRPr="00B943BF">
        <w:rPr>
          <w:rFonts w:ascii="Times New Roman" w:hAnsi="Times New Roman" w:cs="Times New Roman"/>
        </w:rPr>
        <w:tab/>
        <w:t>Wild-type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WTA</w:t>
      </w:r>
      <w:r w:rsidRPr="00B943BF">
        <w:rPr>
          <w:rFonts w:ascii="Times New Roman" w:hAnsi="Times New Roman" w:cs="Times New Roman"/>
        </w:rPr>
        <w:tab/>
        <w:t>Wall teichoic acid</w:t>
      </w:r>
    </w:p>
    <w:p w:rsidR="00B943BF" w:rsidRPr="00B943BF" w:rsidRDefault="00B943BF" w:rsidP="00B943BF">
      <w:pPr>
        <w:widowControl w:val="0"/>
        <w:tabs>
          <w:tab w:val="left" w:pos="1440"/>
        </w:tabs>
        <w:spacing w:after="0"/>
        <w:ind w:left="1440" w:hanging="1440"/>
        <w:rPr>
          <w:rFonts w:ascii="Times New Roman" w:hAnsi="Times New Roman" w:cs="Times New Roman"/>
        </w:rPr>
      </w:pPr>
      <w:proofErr w:type="gramStart"/>
      <w:r w:rsidRPr="00B943BF">
        <w:rPr>
          <w:rFonts w:ascii="Times New Roman" w:hAnsi="Times New Roman" w:cs="Times New Roman"/>
        </w:rPr>
        <w:t>w/v</w:t>
      </w:r>
      <w:proofErr w:type="gramEnd"/>
      <w:r w:rsidRPr="00B943BF">
        <w:rPr>
          <w:rFonts w:ascii="Times New Roman" w:hAnsi="Times New Roman" w:cs="Times New Roman"/>
        </w:rPr>
        <w:tab/>
        <w:t>Weight for volume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w:t>
      </w:r>
      <w:r w:rsidRPr="00B943BF">
        <w:rPr>
          <w:rFonts w:ascii="Times New Roman" w:hAnsi="Times New Roman" w:cs="Times New Roman"/>
        </w:rPr>
        <w:tab/>
        <w:t>Times</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×g</w:t>
      </w:r>
      <w:r w:rsidRPr="00B943BF">
        <w:rPr>
          <w:rFonts w:ascii="Times New Roman" w:hAnsi="Times New Roman" w:cs="Times New Roman"/>
        </w:rPr>
        <w:tab/>
        <w:t>Times gravity</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X-Gal</w:t>
      </w:r>
      <w:r w:rsidRPr="00B943BF">
        <w:rPr>
          <w:rFonts w:ascii="Times New Roman" w:hAnsi="Times New Roman" w:cs="Times New Roman"/>
        </w:rPr>
        <w:tab/>
        <w:t>5-bromo-4-chloro-3-indolyl-</w:t>
      </w:r>
      <w:r w:rsidRPr="00B943BF">
        <w:rPr>
          <w:rFonts w:ascii="Times New Roman" w:hAnsi="Times New Roman" w:cs="Times New Roman"/>
        </w:rPr>
        <w:sym w:font="Symbol" w:char="F062"/>
      </w:r>
      <w:r w:rsidRPr="00B943BF">
        <w:rPr>
          <w:rFonts w:ascii="Times New Roman" w:hAnsi="Times New Roman" w:cs="Times New Roman"/>
        </w:rPr>
        <w:t>-D-galactoside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XPS</w:t>
      </w:r>
      <w:r w:rsidRPr="00B943BF">
        <w:rPr>
          <w:rFonts w:ascii="Times New Roman" w:hAnsi="Times New Roman" w:cs="Times New Roman"/>
        </w:rPr>
        <w:tab/>
      </w:r>
      <w:r w:rsidR="00C75FBC">
        <w:rPr>
          <w:rFonts w:ascii="Times New Roman" w:hAnsi="Times New Roman" w:cs="Times New Roman"/>
        </w:rPr>
        <w:t>X-ray photoelectron spectroscopy</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YFP</w:t>
      </w:r>
      <w:r w:rsidRPr="00B943BF">
        <w:rPr>
          <w:rFonts w:ascii="Times New Roman" w:hAnsi="Times New Roman" w:cs="Times New Roman"/>
        </w:rPr>
        <w:tab/>
      </w:r>
      <w:r w:rsidR="00617681">
        <w:rPr>
          <w:rFonts w:ascii="Times New Roman" w:hAnsi="Times New Roman" w:cs="Times New Roman"/>
        </w:rPr>
        <w:t>Yellow fluorescent protein</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sym w:font="Symbol" w:char="F073"/>
      </w:r>
      <w:r w:rsidRPr="00B943BF">
        <w:rPr>
          <w:rFonts w:ascii="Times New Roman" w:hAnsi="Times New Roman" w:cs="Times New Roman"/>
        </w:rPr>
        <w:tab/>
        <w:t>Sigma factor</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Φ</w:t>
      </w:r>
      <w:r w:rsidRPr="00B943BF">
        <w:rPr>
          <w:rFonts w:ascii="Times New Roman" w:hAnsi="Times New Roman" w:cs="Times New Roman"/>
        </w:rPr>
        <w:tab/>
        <w:t>Phage</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Ω</w:t>
      </w:r>
      <w:r w:rsidRPr="00B943BF">
        <w:rPr>
          <w:rFonts w:ascii="Times New Roman" w:hAnsi="Times New Roman" w:cs="Times New Roman"/>
        </w:rPr>
        <w:tab/>
        <w:t>Ohms</w:t>
      </w:r>
    </w:p>
    <w:p w:rsidR="00B943BF" w:rsidRPr="00B943BF" w:rsidRDefault="00B943BF" w:rsidP="00B943BF">
      <w:pPr>
        <w:widowControl w:val="0"/>
        <w:tabs>
          <w:tab w:val="left" w:pos="1440"/>
        </w:tabs>
        <w:spacing w:after="0"/>
        <w:ind w:left="1440" w:hanging="1440"/>
        <w:rPr>
          <w:rFonts w:ascii="Times New Roman" w:hAnsi="Times New Roman" w:cs="Times New Roman"/>
        </w:rPr>
      </w:pPr>
      <w:r w:rsidRPr="00B943BF">
        <w:rPr>
          <w:rFonts w:ascii="Times New Roman" w:hAnsi="Times New Roman" w:cs="Times New Roman"/>
        </w:rPr>
        <w:t>~</w:t>
      </w:r>
      <w:r w:rsidRPr="00B943BF">
        <w:rPr>
          <w:rFonts w:ascii="Times New Roman" w:hAnsi="Times New Roman" w:cs="Times New Roman"/>
        </w:rPr>
        <w:tab/>
        <w:t>Approximately</w:t>
      </w:r>
    </w:p>
    <w:p w:rsidR="00A538F5" w:rsidRDefault="00A538F5">
      <w:pPr>
        <w:rPr>
          <w:rFonts w:ascii="Times New Roman" w:hAnsi="Times New Roman" w:cs="Times New Roman"/>
          <w:sz w:val="28"/>
          <w:szCs w:val="28"/>
        </w:rPr>
      </w:pPr>
      <w:r>
        <w:rPr>
          <w:rFonts w:ascii="Times New Roman" w:hAnsi="Times New Roman" w:cs="Times New Roman"/>
          <w:sz w:val="28"/>
          <w:szCs w:val="28"/>
        </w:rPr>
        <w:br w:type="page"/>
      </w:r>
    </w:p>
    <w:p w:rsidR="00B943BF" w:rsidRDefault="00A538F5" w:rsidP="00CD4575">
      <w:pPr>
        <w:spacing w:line="480" w:lineRule="auto"/>
        <w:jc w:val="center"/>
        <w:rPr>
          <w:rFonts w:ascii="Times New Roman" w:hAnsi="Times New Roman" w:cs="Times New Roman"/>
          <w:sz w:val="28"/>
          <w:szCs w:val="28"/>
        </w:rPr>
      </w:pPr>
      <w:r>
        <w:rPr>
          <w:rFonts w:ascii="Times New Roman" w:hAnsi="Times New Roman" w:cs="Times New Roman"/>
          <w:sz w:val="28"/>
          <w:szCs w:val="28"/>
        </w:rPr>
        <w:lastRenderedPageBreak/>
        <w:t>Table of Contents</w:t>
      </w:r>
    </w:p>
    <w:p w:rsidR="00A538F5" w:rsidRDefault="00A538F5" w:rsidP="0024733A">
      <w:pPr>
        <w:spacing w:after="20" w:line="240" w:lineRule="auto"/>
        <w:jc w:val="right"/>
        <w:rPr>
          <w:rFonts w:ascii="Times New Roman" w:hAnsi="Times New Roman" w:cs="Times New Roman"/>
          <w:sz w:val="24"/>
          <w:szCs w:val="24"/>
        </w:rPr>
      </w:pPr>
      <w:r>
        <w:rPr>
          <w:rFonts w:ascii="Times New Roman" w:hAnsi="Times New Roman" w:cs="Times New Roman"/>
          <w:sz w:val="24"/>
          <w:szCs w:val="24"/>
        </w:rPr>
        <w:t>Page number</w:t>
      </w:r>
    </w:p>
    <w:p w:rsidR="00A538F5" w:rsidRPr="00AE6573" w:rsidRDefault="00A538F5" w:rsidP="0024733A">
      <w:pPr>
        <w:spacing w:after="20" w:line="240" w:lineRule="auto"/>
        <w:rPr>
          <w:rFonts w:ascii="Times New Roman" w:hAnsi="Times New Roman" w:cs="Times New Roman"/>
        </w:rPr>
      </w:pPr>
      <w:r w:rsidRPr="00AE6573">
        <w:rPr>
          <w:rFonts w:ascii="Times New Roman" w:hAnsi="Times New Roman" w:cs="Times New Roman"/>
        </w:rPr>
        <w:t>Title page</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i</w:t>
      </w:r>
    </w:p>
    <w:p w:rsidR="00A538F5" w:rsidRPr="00AE6573" w:rsidRDefault="00A538F5" w:rsidP="0024733A">
      <w:pPr>
        <w:spacing w:after="20" w:line="240" w:lineRule="auto"/>
        <w:rPr>
          <w:rFonts w:ascii="Times New Roman" w:hAnsi="Times New Roman" w:cs="Times New Roman"/>
        </w:rPr>
      </w:pPr>
      <w:r w:rsidRPr="00AE6573">
        <w:rPr>
          <w:rFonts w:ascii="Times New Roman" w:hAnsi="Times New Roman" w:cs="Times New Roman"/>
        </w:rPr>
        <w:t>Summary</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ii</w:t>
      </w:r>
    </w:p>
    <w:p w:rsidR="00A538F5" w:rsidRPr="00AE6573" w:rsidRDefault="00A538F5" w:rsidP="0024733A">
      <w:pPr>
        <w:spacing w:after="20" w:line="240" w:lineRule="auto"/>
        <w:rPr>
          <w:rFonts w:ascii="Times New Roman" w:hAnsi="Times New Roman" w:cs="Times New Roman"/>
        </w:rPr>
      </w:pPr>
      <w:r w:rsidRPr="00AE6573">
        <w:rPr>
          <w:rFonts w:ascii="Times New Roman" w:hAnsi="Times New Roman" w:cs="Times New Roman"/>
        </w:rPr>
        <w:t>Acknowledgements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iii</w:t>
      </w:r>
    </w:p>
    <w:p w:rsidR="00A538F5" w:rsidRPr="00AE6573" w:rsidRDefault="00A538F5" w:rsidP="0024733A">
      <w:pPr>
        <w:spacing w:after="20" w:line="240" w:lineRule="auto"/>
        <w:rPr>
          <w:rFonts w:ascii="Times New Roman" w:hAnsi="Times New Roman" w:cs="Times New Roman"/>
        </w:rPr>
      </w:pPr>
      <w:r w:rsidRPr="00AE6573">
        <w:rPr>
          <w:rFonts w:ascii="Times New Roman" w:hAnsi="Times New Roman" w:cs="Times New Roman"/>
        </w:rPr>
        <w:t>Publications from this study</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proofErr w:type="gramStart"/>
      <w:r w:rsidRPr="00AE6573">
        <w:rPr>
          <w:rFonts w:ascii="Times New Roman" w:hAnsi="Times New Roman" w:cs="Times New Roman"/>
        </w:rPr>
        <w:t>iv</w:t>
      </w:r>
      <w:proofErr w:type="gramEnd"/>
    </w:p>
    <w:p w:rsidR="00A538F5" w:rsidRPr="00AE6573" w:rsidRDefault="00A538F5" w:rsidP="0024733A">
      <w:pPr>
        <w:spacing w:after="20" w:line="240" w:lineRule="auto"/>
        <w:rPr>
          <w:rFonts w:ascii="Times New Roman" w:hAnsi="Times New Roman" w:cs="Times New Roman"/>
        </w:rPr>
      </w:pPr>
      <w:r w:rsidRPr="00AE6573">
        <w:rPr>
          <w:rFonts w:ascii="Times New Roman" w:hAnsi="Times New Roman" w:cs="Times New Roman"/>
        </w:rPr>
        <w:t>Abbreviations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v</w:t>
      </w:r>
    </w:p>
    <w:p w:rsidR="00A538F5" w:rsidRPr="00AE6573" w:rsidRDefault="00A538F5" w:rsidP="0024733A">
      <w:pPr>
        <w:spacing w:after="20" w:line="240" w:lineRule="auto"/>
        <w:rPr>
          <w:rFonts w:ascii="Times New Roman" w:hAnsi="Times New Roman" w:cs="Times New Roman"/>
        </w:rPr>
      </w:pPr>
      <w:r w:rsidRPr="00AE6573">
        <w:rPr>
          <w:rFonts w:ascii="Times New Roman" w:hAnsi="Times New Roman" w:cs="Times New Roman"/>
        </w:rPr>
        <w:t>Table of contents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3C6DF1" w:rsidRPr="00AE6573">
        <w:rPr>
          <w:rFonts w:ascii="Times New Roman" w:hAnsi="Times New Roman" w:cs="Times New Roman"/>
        </w:rPr>
        <w:t>viii</w:t>
      </w:r>
    </w:p>
    <w:p w:rsidR="00A538F5" w:rsidRPr="00AE6573" w:rsidRDefault="00A538F5" w:rsidP="0024733A">
      <w:pPr>
        <w:spacing w:after="20" w:line="240" w:lineRule="auto"/>
        <w:rPr>
          <w:rFonts w:ascii="Times New Roman" w:hAnsi="Times New Roman" w:cs="Times New Roman"/>
        </w:rPr>
      </w:pPr>
      <w:r w:rsidRPr="00AE6573">
        <w:rPr>
          <w:rFonts w:ascii="Times New Roman" w:hAnsi="Times New Roman" w:cs="Times New Roman"/>
        </w:rPr>
        <w:t>List of Figures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3C6DF1" w:rsidRPr="00AE6573">
        <w:rPr>
          <w:rFonts w:ascii="Times New Roman" w:hAnsi="Times New Roman" w:cs="Times New Roman"/>
        </w:rPr>
        <w:t>xiv</w:t>
      </w:r>
    </w:p>
    <w:p w:rsidR="00A538F5" w:rsidRPr="00AE6573" w:rsidRDefault="00A538F5" w:rsidP="0024733A">
      <w:pPr>
        <w:spacing w:after="20" w:line="240" w:lineRule="auto"/>
        <w:rPr>
          <w:rFonts w:ascii="Times New Roman" w:hAnsi="Times New Roman" w:cs="Times New Roman"/>
        </w:rPr>
      </w:pPr>
      <w:r w:rsidRPr="00AE6573">
        <w:rPr>
          <w:rFonts w:ascii="Times New Roman" w:hAnsi="Times New Roman" w:cs="Times New Roman"/>
        </w:rPr>
        <w:t>List of Tables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F1540B" w:rsidRPr="00AE6573">
        <w:rPr>
          <w:rFonts w:ascii="Times New Roman" w:hAnsi="Times New Roman" w:cs="Times New Roman"/>
        </w:rPr>
        <w:t>xvi</w:t>
      </w:r>
    </w:p>
    <w:p w:rsidR="00A538F5" w:rsidRDefault="00A538F5" w:rsidP="0024733A">
      <w:pPr>
        <w:spacing w:after="20" w:line="240" w:lineRule="auto"/>
        <w:rPr>
          <w:rFonts w:ascii="Times New Roman" w:hAnsi="Times New Roman" w:cs="Times New Roman"/>
        </w:rPr>
      </w:pPr>
    </w:p>
    <w:p w:rsidR="0024733A" w:rsidRPr="00AE6573" w:rsidRDefault="0024733A" w:rsidP="0024733A">
      <w:pPr>
        <w:spacing w:after="20" w:line="240" w:lineRule="auto"/>
        <w:rPr>
          <w:rFonts w:ascii="Times New Roman" w:hAnsi="Times New Roman" w:cs="Times New Roman"/>
        </w:rPr>
      </w:pPr>
    </w:p>
    <w:p w:rsidR="003C6DF1" w:rsidRPr="00AE6573" w:rsidRDefault="00AE6573" w:rsidP="0024733A">
      <w:pPr>
        <w:spacing w:after="20" w:line="240" w:lineRule="auto"/>
        <w:rPr>
          <w:rFonts w:ascii="Times New Roman" w:hAnsi="Times New Roman" w:cs="Times New Roman"/>
          <w:b/>
        </w:rPr>
      </w:pPr>
      <w:r>
        <w:rPr>
          <w:rFonts w:ascii="Times New Roman" w:hAnsi="Times New Roman" w:cs="Times New Roman"/>
          <w:b/>
        </w:rPr>
        <w:t>Chapter 1</w:t>
      </w:r>
      <w:r>
        <w:rPr>
          <w:rFonts w:ascii="Times New Roman" w:hAnsi="Times New Roman" w:cs="Times New Roman"/>
          <w:b/>
        </w:rPr>
        <w:tab/>
        <w:t>Introduction</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sidR="003C6DF1" w:rsidRPr="00AE6573">
        <w:rPr>
          <w:rFonts w:ascii="Times New Roman" w:hAnsi="Times New Roman" w:cs="Times New Roman"/>
          <w:b/>
        </w:rPr>
        <w:t>1</w:t>
      </w:r>
      <w:r w:rsidR="00733EBA" w:rsidRPr="00AE6573">
        <w:rPr>
          <w:rFonts w:ascii="Times New Roman" w:hAnsi="Times New Roman" w:cs="Times New Roman"/>
          <w:b/>
        </w:rPr>
        <w:t>-51</w:t>
      </w:r>
    </w:p>
    <w:p w:rsidR="003C6DF1" w:rsidRPr="00AE6573" w:rsidRDefault="003C6DF1" w:rsidP="0024733A">
      <w:pPr>
        <w:spacing w:after="20" w:line="240" w:lineRule="auto"/>
        <w:jc w:val="both"/>
        <w:rPr>
          <w:rFonts w:ascii="Times New Roman" w:hAnsi="Times New Roman" w:cs="Times New Roman"/>
        </w:rPr>
      </w:pPr>
    </w:p>
    <w:p w:rsidR="003C6DF1" w:rsidRPr="00AE6573" w:rsidRDefault="003C6DF1" w:rsidP="0024733A">
      <w:pPr>
        <w:pStyle w:val="ListParagraph"/>
        <w:numPr>
          <w:ilvl w:val="1"/>
          <w:numId w:val="1"/>
        </w:numPr>
        <w:spacing w:after="20" w:line="240" w:lineRule="auto"/>
        <w:ind w:left="1418" w:hanging="1418"/>
        <w:rPr>
          <w:rFonts w:ascii="Times New Roman" w:hAnsi="Times New Roman" w:cs="Times New Roman"/>
          <w:b/>
        </w:rPr>
      </w:pPr>
      <w:r w:rsidRPr="00AE6573">
        <w:rPr>
          <w:rFonts w:ascii="Times New Roman" w:hAnsi="Times New Roman" w:cs="Times New Roman"/>
          <w:b/>
        </w:rPr>
        <w:t>The bacterial cell wall</w:t>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t>1</w:t>
      </w:r>
    </w:p>
    <w:p w:rsidR="003C6DF1" w:rsidRPr="00AE6573" w:rsidRDefault="003C6DF1" w:rsidP="0024733A">
      <w:pPr>
        <w:tabs>
          <w:tab w:val="left" w:pos="142"/>
          <w:tab w:val="left" w:pos="1418"/>
        </w:tabs>
        <w:spacing w:after="20" w:line="240" w:lineRule="auto"/>
        <w:jc w:val="both"/>
        <w:rPr>
          <w:rFonts w:ascii="Times New Roman" w:hAnsi="Times New Roman" w:cs="Times New Roman"/>
        </w:rPr>
      </w:pPr>
      <w:r w:rsidRPr="00AE6573">
        <w:rPr>
          <w:rFonts w:ascii="Times New Roman" w:hAnsi="Times New Roman" w:cs="Times New Roman"/>
        </w:rPr>
        <w:tab/>
        <w:t>1.1.1</w:t>
      </w:r>
      <w:r w:rsidRPr="00AE6573">
        <w:rPr>
          <w:rFonts w:ascii="Times New Roman" w:hAnsi="Times New Roman" w:cs="Times New Roman"/>
        </w:rPr>
        <w:tab/>
        <w:t>The Gram-negative envelope</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2</w:t>
      </w:r>
    </w:p>
    <w:p w:rsidR="003C6DF1" w:rsidRPr="00AE6573" w:rsidRDefault="003C6DF1" w:rsidP="0024733A">
      <w:pPr>
        <w:tabs>
          <w:tab w:val="left" w:pos="142"/>
          <w:tab w:val="left" w:pos="1418"/>
        </w:tabs>
        <w:spacing w:after="20" w:line="240" w:lineRule="auto"/>
        <w:jc w:val="both"/>
        <w:rPr>
          <w:rFonts w:ascii="Times New Roman" w:hAnsi="Times New Roman" w:cs="Times New Roman"/>
        </w:rPr>
      </w:pPr>
      <w:r w:rsidRPr="00AE6573">
        <w:rPr>
          <w:rFonts w:ascii="Times New Roman" w:hAnsi="Times New Roman" w:cs="Times New Roman"/>
        </w:rPr>
        <w:tab/>
        <w:t>1.1.2</w:t>
      </w:r>
      <w:r w:rsidRPr="00AE6573">
        <w:rPr>
          <w:rFonts w:ascii="Times New Roman" w:hAnsi="Times New Roman" w:cs="Times New Roman"/>
        </w:rPr>
        <w:tab/>
        <w:t>The Gram-positive envelope</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2</w:t>
      </w:r>
    </w:p>
    <w:p w:rsidR="003C6DF1" w:rsidRPr="00AE6573" w:rsidRDefault="003C6DF1" w:rsidP="0024733A">
      <w:pPr>
        <w:tabs>
          <w:tab w:val="left" w:pos="1418"/>
        </w:tabs>
        <w:spacing w:after="20" w:line="240" w:lineRule="auto"/>
        <w:rPr>
          <w:rFonts w:ascii="Times New Roman" w:hAnsi="Times New Roman" w:cs="Times New Roman"/>
          <w:b/>
        </w:rPr>
      </w:pPr>
      <w:r w:rsidRPr="00AE6573">
        <w:rPr>
          <w:rFonts w:ascii="Times New Roman" w:hAnsi="Times New Roman" w:cs="Times New Roman"/>
          <w:b/>
        </w:rPr>
        <w:t>1.2</w:t>
      </w:r>
      <w:r w:rsidRPr="00AE6573">
        <w:rPr>
          <w:rFonts w:ascii="Times New Roman" w:hAnsi="Times New Roman" w:cs="Times New Roman"/>
          <w:b/>
        </w:rPr>
        <w:tab/>
      </w:r>
      <w:r w:rsidRPr="00AE6573">
        <w:rPr>
          <w:rFonts w:ascii="Times New Roman" w:hAnsi="Times New Roman" w:cs="Times New Roman"/>
          <w:b/>
          <w:color w:val="000000"/>
        </w:rPr>
        <w:t>The biochemistry of peptidoglycan</w:t>
      </w:r>
      <w:r w:rsidRPr="00AE6573">
        <w:rPr>
          <w:rFonts w:ascii="Times New Roman" w:hAnsi="Times New Roman" w:cs="Times New Roman"/>
          <w:b/>
        </w:rPr>
        <w:t xml:space="preserve"> </w:t>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t>4</w:t>
      </w:r>
    </w:p>
    <w:p w:rsidR="003C6DF1" w:rsidRPr="00AE6573" w:rsidRDefault="003C6DF1" w:rsidP="0024733A">
      <w:pPr>
        <w:tabs>
          <w:tab w:val="left" w:pos="142"/>
          <w:tab w:val="left" w:pos="1418"/>
        </w:tabs>
        <w:autoSpaceDE w:val="0"/>
        <w:autoSpaceDN w:val="0"/>
        <w:adjustRightInd w:val="0"/>
        <w:spacing w:after="20" w:line="240" w:lineRule="auto"/>
        <w:jc w:val="both"/>
        <w:rPr>
          <w:rFonts w:ascii="Times New Roman" w:hAnsi="Times New Roman" w:cs="Times New Roman"/>
        </w:rPr>
      </w:pPr>
      <w:r w:rsidRPr="00AE6573">
        <w:rPr>
          <w:rFonts w:ascii="Times New Roman" w:hAnsi="Times New Roman" w:cs="Times New Roman"/>
        </w:rPr>
        <w:tab/>
        <w:t xml:space="preserve">1.2.1 </w:t>
      </w:r>
      <w:r w:rsidRPr="00AE6573">
        <w:rPr>
          <w:rFonts w:ascii="Times New Roman" w:hAnsi="Times New Roman" w:cs="Times New Roman"/>
        </w:rPr>
        <w:tab/>
        <w:t>Glycan strands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4</w:t>
      </w:r>
    </w:p>
    <w:p w:rsidR="003C6DF1" w:rsidRPr="00AE6573" w:rsidRDefault="003C6DF1" w:rsidP="0024733A">
      <w:pPr>
        <w:tabs>
          <w:tab w:val="left" w:pos="142"/>
          <w:tab w:val="left" w:pos="1418"/>
        </w:tabs>
        <w:autoSpaceDE w:val="0"/>
        <w:autoSpaceDN w:val="0"/>
        <w:adjustRightInd w:val="0"/>
        <w:spacing w:after="20" w:line="240" w:lineRule="auto"/>
        <w:jc w:val="both"/>
        <w:rPr>
          <w:rFonts w:ascii="Times New Roman" w:hAnsi="Times New Roman" w:cs="Times New Roman"/>
          <w:color w:val="000000"/>
        </w:rPr>
      </w:pPr>
      <w:r w:rsidRPr="00AE6573">
        <w:rPr>
          <w:rFonts w:ascii="Times New Roman" w:hAnsi="Times New Roman" w:cs="Times New Roman"/>
          <w:color w:val="000000"/>
        </w:rPr>
        <w:tab/>
        <w:t>1.2.2</w:t>
      </w:r>
      <w:r w:rsidRPr="00AE6573">
        <w:rPr>
          <w:rFonts w:ascii="Times New Roman" w:hAnsi="Times New Roman" w:cs="Times New Roman"/>
          <w:color w:val="000000"/>
        </w:rPr>
        <w:tab/>
        <w:t>Peptide sidechains</w:t>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t>6</w:t>
      </w:r>
    </w:p>
    <w:p w:rsidR="003C6DF1" w:rsidRPr="00AE6573" w:rsidRDefault="0024733A" w:rsidP="0024733A">
      <w:pPr>
        <w:tabs>
          <w:tab w:val="left" w:pos="1418"/>
        </w:tabs>
        <w:autoSpaceDE w:val="0"/>
        <w:autoSpaceDN w:val="0"/>
        <w:adjustRightInd w:val="0"/>
        <w:spacing w:after="20" w:line="240" w:lineRule="auto"/>
        <w:jc w:val="both"/>
        <w:rPr>
          <w:rFonts w:ascii="Times New Roman" w:hAnsi="Times New Roman" w:cs="Times New Roman"/>
          <w:b/>
          <w:color w:val="000000"/>
        </w:rPr>
      </w:pPr>
      <w:r>
        <w:rPr>
          <w:rFonts w:ascii="Times New Roman" w:hAnsi="Times New Roman" w:cs="Times New Roman"/>
          <w:b/>
          <w:color w:val="000000"/>
        </w:rPr>
        <w:t>1.3</w:t>
      </w:r>
      <w:r>
        <w:rPr>
          <w:rFonts w:ascii="Times New Roman" w:hAnsi="Times New Roman" w:cs="Times New Roman"/>
          <w:b/>
          <w:color w:val="000000"/>
        </w:rPr>
        <w:tab/>
        <w:t>Peptidoglycan synthesis</w:t>
      </w:r>
      <w:r>
        <w:rPr>
          <w:rFonts w:ascii="Times New Roman" w:hAnsi="Times New Roman" w:cs="Times New Roman"/>
          <w:b/>
          <w:color w:val="000000"/>
        </w:rPr>
        <w:tab/>
      </w:r>
      <w:r>
        <w:rPr>
          <w:rFonts w:ascii="Times New Roman" w:hAnsi="Times New Roman" w:cs="Times New Roman"/>
          <w:b/>
          <w:color w:val="000000"/>
        </w:rPr>
        <w:tab/>
      </w:r>
      <w:r>
        <w:rPr>
          <w:rFonts w:ascii="Times New Roman" w:hAnsi="Times New Roman" w:cs="Times New Roman"/>
          <w:b/>
          <w:color w:val="000000"/>
        </w:rPr>
        <w:tab/>
      </w:r>
      <w:r>
        <w:rPr>
          <w:rFonts w:ascii="Times New Roman" w:hAnsi="Times New Roman" w:cs="Times New Roman"/>
          <w:b/>
          <w:color w:val="000000"/>
        </w:rPr>
        <w:tab/>
      </w:r>
      <w:r w:rsidR="003C6DF1" w:rsidRPr="00AE6573">
        <w:rPr>
          <w:rFonts w:ascii="Times New Roman" w:hAnsi="Times New Roman" w:cs="Times New Roman"/>
          <w:b/>
          <w:color w:val="000000"/>
        </w:rPr>
        <w:tab/>
      </w:r>
      <w:r w:rsidR="003C6DF1" w:rsidRPr="00AE6573">
        <w:rPr>
          <w:rFonts w:ascii="Times New Roman" w:hAnsi="Times New Roman" w:cs="Times New Roman"/>
          <w:b/>
          <w:color w:val="000000"/>
        </w:rPr>
        <w:tab/>
        <w:t>7</w:t>
      </w:r>
    </w:p>
    <w:p w:rsidR="003C6DF1" w:rsidRPr="00AE6573" w:rsidRDefault="003C6DF1" w:rsidP="0024733A">
      <w:pPr>
        <w:tabs>
          <w:tab w:val="left" w:pos="142"/>
          <w:tab w:val="left" w:pos="1418"/>
        </w:tabs>
        <w:spacing w:after="20" w:line="240" w:lineRule="auto"/>
        <w:jc w:val="both"/>
        <w:rPr>
          <w:rFonts w:ascii="Times New Roman" w:hAnsi="Times New Roman" w:cs="Times New Roman"/>
        </w:rPr>
      </w:pPr>
      <w:r w:rsidRPr="00AE6573">
        <w:rPr>
          <w:rFonts w:ascii="Times New Roman" w:hAnsi="Times New Roman" w:cs="Times New Roman"/>
        </w:rPr>
        <w:tab/>
        <w:t>1.3.1</w:t>
      </w:r>
      <w:r w:rsidRPr="00AE6573">
        <w:rPr>
          <w:rFonts w:ascii="Times New Roman" w:hAnsi="Times New Roman" w:cs="Times New Roman"/>
        </w:rPr>
        <w:tab/>
        <w:t xml:space="preserve">Synthesis of </w:t>
      </w:r>
      <w:r w:rsidR="00F67FB0">
        <w:rPr>
          <w:rFonts w:ascii="Times New Roman" w:hAnsi="Times New Roman" w:cs="Times New Roman"/>
        </w:rPr>
        <w:t>UDP-Mur</w:t>
      </w:r>
      <w:r w:rsidR="00F67FB0" w:rsidRPr="00F67FB0">
        <w:rPr>
          <w:rFonts w:ascii="Times New Roman" w:hAnsi="Times New Roman" w:cs="Times New Roman"/>
          <w:i/>
        </w:rPr>
        <w:t>N</w:t>
      </w:r>
      <w:r w:rsidR="00F67FB0">
        <w:rPr>
          <w:rFonts w:ascii="Times New Roman" w:hAnsi="Times New Roman" w:cs="Times New Roman"/>
        </w:rPr>
        <w:t>Ac</w:t>
      </w:r>
      <w:r w:rsidRPr="00AE6573">
        <w:rPr>
          <w:rFonts w:ascii="Times New Roman" w:hAnsi="Times New Roman" w:cs="Times New Roman"/>
        </w:rPr>
        <w:t xml:space="preserve"> pentapeptide</w:t>
      </w:r>
      <w:r w:rsidRPr="00AE6573">
        <w:rPr>
          <w:rFonts w:ascii="Times New Roman" w:hAnsi="Times New Roman" w:cs="Times New Roman"/>
        </w:rPr>
        <w:tab/>
      </w:r>
      <w:r w:rsidRPr="00AE6573">
        <w:rPr>
          <w:rFonts w:ascii="Times New Roman" w:hAnsi="Times New Roman" w:cs="Times New Roman"/>
        </w:rPr>
        <w:tab/>
      </w:r>
      <w:r w:rsidR="00F67FB0">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E45F7D">
        <w:rPr>
          <w:rFonts w:ascii="Times New Roman" w:hAnsi="Times New Roman" w:cs="Times New Roman"/>
        </w:rPr>
        <w:t>9</w:t>
      </w:r>
    </w:p>
    <w:p w:rsidR="003C6DF1" w:rsidRPr="00AE6573" w:rsidRDefault="003C6DF1" w:rsidP="0024733A">
      <w:pPr>
        <w:tabs>
          <w:tab w:val="left" w:pos="142"/>
          <w:tab w:val="left" w:pos="1418"/>
        </w:tabs>
        <w:spacing w:after="20" w:line="240" w:lineRule="auto"/>
        <w:jc w:val="both"/>
        <w:rPr>
          <w:rFonts w:ascii="Times New Roman" w:hAnsi="Times New Roman" w:cs="Times New Roman"/>
        </w:rPr>
      </w:pPr>
      <w:r w:rsidRPr="00AE6573">
        <w:rPr>
          <w:rFonts w:ascii="Times New Roman" w:hAnsi="Times New Roman" w:cs="Times New Roman"/>
        </w:rPr>
        <w:tab/>
        <w:t>1.3.2</w:t>
      </w:r>
      <w:r w:rsidRPr="00AE6573">
        <w:rPr>
          <w:rFonts w:ascii="Times New Roman" w:hAnsi="Times New Roman" w:cs="Times New Roman"/>
        </w:rPr>
        <w:tab/>
        <w:t>Assembly and translocation of the disaccharide pentapeptide</w:t>
      </w:r>
      <w:r w:rsidRPr="00AE6573">
        <w:rPr>
          <w:rFonts w:ascii="Times New Roman" w:hAnsi="Times New Roman" w:cs="Times New Roman"/>
        </w:rPr>
        <w:tab/>
      </w:r>
      <w:r w:rsidRPr="00AE6573">
        <w:rPr>
          <w:rFonts w:ascii="Times New Roman" w:hAnsi="Times New Roman" w:cs="Times New Roman"/>
        </w:rPr>
        <w:tab/>
        <w:t>9</w:t>
      </w:r>
    </w:p>
    <w:p w:rsidR="003C6DF1" w:rsidRPr="00AE6573" w:rsidRDefault="003C6DF1" w:rsidP="0024733A">
      <w:pPr>
        <w:tabs>
          <w:tab w:val="left" w:pos="142"/>
          <w:tab w:val="left" w:pos="1418"/>
        </w:tabs>
        <w:spacing w:after="20" w:line="240" w:lineRule="auto"/>
        <w:jc w:val="both"/>
        <w:rPr>
          <w:rFonts w:ascii="Times New Roman" w:hAnsi="Times New Roman" w:cs="Times New Roman"/>
        </w:rPr>
      </w:pPr>
      <w:r w:rsidRPr="00AE6573">
        <w:rPr>
          <w:rFonts w:ascii="Times New Roman" w:hAnsi="Times New Roman" w:cs="Times New Roman"/>
        </w:rPr>
        <w:tab/>
        <w:t>1.3.3</w:t>
      </w:r>
      <w:r w:rsidRPr="00AE6573">
        <w:rPr>
          <w:rFonts w:ascii="Times New Roman" w:hAnsi="Times New Roman" w:cs="Times New Roman"/>
        </w:rPr>
        <w:tab/>
        <w:t>Incorporation of nascent peptidoglycan into the sacculus</w:t>
      </w:r>
      <w:r w:rsidRPr="00AE6573">
        <w:rPr>
          <w:rFonts w:ascii="Times New Roman" w:hAnsi="Times New Roman" w:cs="Times New Roman"/>
        </w:rPr>
        <w:tab/>
      </w:r>
      <w:r w:rsidRPr="00AE6573">
        <w:rPr>
          <w:rFonts w:ascii="Times New Roman" w:hAnsi="Times New Roman" w:cs="Times New Roman"/>
        </w:rPr>
        <w:tab/>
      </w:r>
      <w:r w:rsidR="00AE6573">
        <w:rPr>
          <w:rFonts w:ascii="Times New Roman" w:hAnsi="Times New Roman" w:cs="Times New Roman"/>
        </w:rPr>
        <w:tab/>
      </w:r>
      <w:r w:rsidRPr="00AE6573">
        <w:rPr>
          <w:rFonts w:ascii="Times New Roman" w:hAnsi="Times New Roman" w:cs="Times New Roman"/>
        </w:rPr>
        <w:t>9</w:t>
      </w:r>
    </w:p>
    <w:p w:rsidR="003C6DF1" w:rsidRPr="00AE6573" w:rsidRDefault="003C6DF1" w:rsidP="0024733A">
      <w:pPr>
        <w:tabs>
          <w:tab w:val="left" w:pos="1418"/>
        </w:tabs>
        <w:autoSpaceDE w:val="0"/>
        <w:autoSpaceDN w:val="0"/>
        <w:adjustRightInd w:val="0"/>
        <w:spacing w:after="20" w:line="240" w:lineRule="auto"/>
        <w:jc w:val="both"/>
        <w:rPr>
          <w:rFonts w:ascii="Times New Roman" w:hAnsi="Times New Roman" w:cs="Times New Roman"/>
          <w:b/>
          <w:color w:val="000000"/>
        </w:rPr>
      </w:pPr>
      <w:r w:rsidRPr="00AE6573">
        <w:rPr>
          <w:rFonts w:ascii="Times New Roman" w:hAnsi="Times New Roman" w:cs="Times New Roman"/>
          <w:b/>
          <w:color w:val="000000"/>
        </w:rPr>
        <w:t>1.4</w:t>
      </w:r>
      <w:r w:rsidRPr="00AE6573">
        <w:rPr>
          <w:rFonts w:ascii="Times New Roman" w:hAnsi="Times New Roman" w:cs="Times New Roman"/>
          <w:b/>
          <w:color w:val="000000"/>
        </w:rPr>
        <w:tab/>
        <w:t>Teichoic acids</w:t>
      </w:r>
      <w:r w:rsidRPr="00AE6573">
        <w:rPr>
          <w:rFonts w:ascii="Times New Roman" w:hAnsi="Times New Roman" w:cs="Times New Roman"/>
          <w:b/>
          <w:color w:val="000000"/>
        </w:rPr>
        <w:tab/>
      </w:r>
      <w:r w:rsidRPr="00AE6573">
        <w:rPr>
          <w:rFonts w:ascii="Times New Roman" w:hAnsi="Times New Roman" w:cs="Times New Roman"/>
          <w:b/>
          <w:color w:val="000000"/>
        </w:rPr>
        <w:tab/>
      </w:r>
      <w:r w:rsidRPr="00AE6573">
        <w:rPr>
          <w:rFonts w:ascii="Times New Roman" w:hAnsi="Times New Roman" w:cs="Times New Roman"/>
          <w:b/>
          <w:color w:val="000000"/>
        </w:rPr>
        <w:tab/>
      </w:r>
      <w:r w:rsidRPr="00AE6573">
        <w:rPr>
          <w:rFonts w:ascii="Times New Roman" w:hAnsi="Times New Roman" w:cs="Times New Roman"/>
          <w:b/>
          <w:color w:val="000000"/>
        </w:rPr>
        <w:tab/>
      </w:r>
      <w:r w:rsidRPr="00AE6573">
        <w:rPr>
          <w:rFonts w:ascii="Times New Roman" w:hAnsi="Times New Roman" w:cs="Times New Roman"/>
          <w:b/>
          <w:color w:val="000000"/>
        </w:rPr>
        <w:tab/>
      </w:r>
      <w:r w:rsidRPr="00AE6573">
        <w:rPr>
          <w:rFonts w:ascii="Times New Roman" w:hAnsi="Times New Roman" w:cs="Times New Roman"/>
          <w:b/>
          <w:color w:val="000000"/>
        </w:rPr>
        <w:tab/>
      </w:r>
      <w:r w:rsidRPr="00AE6573">
        <w:rPr>
          <w:rFonts w:ascii="Times New Roman" w:hAnsi="Times New Roman" w:cs="Times New Roman"/>
          <w:b/>
          <w:color w:val="000000"/>
        </w:rPr>
        <w:tab/>
      </w:r>
      <w:r w:rsidRPr="00AE6573">
        <w:rPr>
          <w:rFonts w:ascii="Times New Roman" w:hAnsi="Times New Roman" w:cs="Times New Roman"/>
          <w:b/>
          <w:color w:val="000000"/>
        </w:rPr>
        <w:tab/>
        <w:t>11</w:t>
      </w:r>
    </w:p>
    <w:p w:rsidR="003C6DF1" w:rsidRPr="00AE6573" w:rsidRDefault="0024733A" w:rsidP="0024733A">
      <w:pPr>
        <w:tabs>
          <w:tab w:val="left" w:pos="1418"/>
        </w:tabs>
        <w:autoSpaceDE w:val="0"/>
        <w:autoSpaceDN w:val="0"/>
        <w:adjustRightInd w:val="0"/>
        <w:spacing w:after="20" w:line="240" w:lineRule="auto"/>
        <w:jc w:val="both"/>
        <w:rPr>
          <w:rFonts w:ascii="Times New Roman" w:hAnsi="Times New Roman" w:cs="Times New Roman"/>
          <w:b/>
          <w:color w:val="000000"/>
        </w:rPr>
      </w:pPr>
      <w:r>
        <w:rPr>
          <w:rFonts w:ascii="Times New Roman" w:hAnsi="Times New Roman" w:cs="Times New Roman"/>
          <w:b/>
          <w:color w:val="000000"/>
        </w:rPr>
        <w:t>1.5</w:t>
      </w:r>
      <w:r>
        <w:rPr>
          <w:rFonts w:ascii="Times New Roman" w:hAnsi="Times New Roman" w:cs="Times New Roman"/>
          <w:b/>
          <w:color w:val="000000"/>
        </w:rPr>
        <w:tab/>
        <w:t>Peptidoglycan dynamics</w:t>
      </w:r>
      <w:r>
        <w:rPr>
          <w:rFonts w:ascii="Times New Roman" w:hAnsi="Times New Roman" w:cs="Times New Roman"/>
          <w:b/>
          <w:color w:val="000000"/>
        </w:rPr>
        <w:tab/>
      </w:r>
      <w:r>
        <w:rPr>
          <w:rFonts w:ascii="Times New Roman" w:hAnsi="Times New Roman" w:cs="Times New Roman"/>
          <w:b/>
          <w:color w:val="000000"/>
        </w:rPr>
        <w:tab/>
      </w:r>
      <w:r>
        <w:rPr>
          <w:rFonts w:ascii="Times New Roman" w:hAnsi="Times New Roman" w:cs="Times New Roman"/>
          <w:b/>
          <w:color w:val="000000"/>
        </w:rPr>
        <w:tab/>
      </w:r>
      <w:r w:rsidR="003C6DF1" w:rsidRPr="00AE6573">
        <w:rPr>
          <w:rFonts w:ascii="Times New Roman" w:hAnsi="Times New Roman" w:cs="Times New Roman"/>
          <w:b/>
          <w:color w:val="000000"/>
        </w:rPr>
        <w:tab/>
      </w:r>
      <w:r w:rsidR="003C6DF1" w:rsidRPr="00AE6573">
        <w:rPr>
          <w:rFonts w:ascii="Times New Roman" w:hAnsi="Times New Roman" w:cs="Times New Roman"/>
          <w:b/>
          <w:color w:val="000000"/>
        </w:rPr>
        <w:tab/>
      </w:r>
      <w:r w:rsidR="00AE6573">
        <w:rPr>
          <w:rFonts w:ascii="Times New Roman" w:hAnsi="Times New Roman" w:cs="Times New Roman"/>
          <w:b/>
          <w:color w:val="000000"/>
        </w:rPr>
        <w:tab/>
      </w:r>
      <w:r w:rsidR="003C6DF1" w:rsidRPr="00AE6573">
        <w:rPr>
          <w:rFonts w:ascii="Times New Roman" w:hAnsi="Times New Roman" w:cs="Times New Roman"/>
          <w:b/>
          <w:color w:val="000000"/>
        </w:rPr>
        <w:t>12</w:t>
      </w:r>
    </w:p>
    <w:p w:rsidR="003C6DF1" w:rsidRPr="00AE6573" w:rsidRDefault="003C6DF1" w:rsidP="0024733A">
      <w:pPr>
        <w:tabs>
          <w:tab w:val="left" w:pos="142"/>
          <w:tab w:val="left" w:pos="1418"/>
        </w:tabs>
        <w:spacing w:after="20" w:line="240" w:lineRule="auto"/>
        <w:jc w:val="both"/>
        <w:rPr>
          <w:rFonts w:ascii="Times New Roman" w:hAnsi="Times New Roman" w:cs="Times New Roman"/>
        </w:rPr>
      </w:pPr>
      <w:r w:rsidRPr="00AE6573">
        <w:rPr>
          <w:rFonts w:ascii="Times New Roman" w:hAnsi="Times New Roman" w:cs="Times New Roman"/>
        </w:rPr>
        <w:tab/>
        <w:t>1.5.1</w:t>
      </w:r>
      <w:r w:rsidRPr="00AE6573">
        <w:rPr>
          <w:rFonts w:ascii="Times New Roman" w:hAnsi="Times New Roman" w:cs="Times New Roman"/>
        </w:rPr>
        <w:tab/>
        <w:t>Enlargement of the sacculus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12</w:t>
      </w:r>
    </w:p>
    <w:p w:rsidR="003C6DF1" w:rsidRPr="00AE6573" w:rsidRDefault="003C6DF1" w:rsidP="0024733A">
      <w:pPr>
        <w:tabs>
          <w:tab w:val="left" w:pos="142"/>
          <w:tab w:val="left" w:pos="1418"/>
        </w:tabs>
        <w:spacing w:after="20" w:line="240" w:lineRule="auto"/>
        <w:jc w:val="both"/>
        <w:rPr>
          <w:rFonts w:ascii="Times New Roman" w:hAnsi="Times New Roman" w:cs="Times New Roman"/>
        </w:rPr>
      </w:pPr>
      <w:r w:rsidRPr="00AE6573">
        <w:rPr>
          <w:rFonts w:ascii="Times New Roman" w:hAnsi="Times New Roman" w:cs="Times New Roman"/>
        </w:rPr>
        <w:tab/>
        <w:t>1.5.2</w:t>
      </w:r>
      <w:r w:rsidRPr="00AE6573">
        <w:rPr>
          <w:rFonts w:ascii="Times New Roman" w:hAnsi="Times New Roman" w:cs="Times New Roman"/>
        </w:rPr>
        <w:tab/>
        <w:t xml:space="preserve">Coordination of peptidoglycan synthesis </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AE6573">
        <w:rPr>
          <w:rFonts w:ascii="Times New Roman" w:hAnsi="Times New Roman" w:cs="Times New Roman"/>
        </w:rPr>
        <w:tab/>
      </w:r>
      <w:r w:rsidRPr="00AE6573">
        <w:rPr>
          <w:rFonts w:ascii="Times New Roman" w:hAnsi="Times New Roman" w:cs="Times New Roman"/>
        </w:rPr>
        <w:t>14</w:t>
      </w:r>
    </w:p>
    <w:p w:rsidR="003C6DF1" w:rsidRPr="00AE6573" w:rsidRDefault="003C6DF1" w:rsidP="0024733A">
      <w:pPr>
        <w:tabs>
          <w:tab w:val="left" w:pos="284"/>
          <w:tab w:val="left" w:pos="1418"/>
        </w:tabs>
        <w:spacing w:after="20" w:line="240" w:lineRule="auto"/>
        <w:jc w:val="both"/>
        <w:rPr>
          <w:rFonts w:ascii="Times New Roman" w:hAnsi="Times New Roman" w:cs="Times New Roman"/>
        </w:rPr>
      </w:pPr>
      <w:r w:rsidRPr="00AE6573">
        <w:rPr>
          <w:rFonts w:ascii="Times New Roman" w:hAnsi="Times New Roman" w:cs="Times New Roman"/>
        </w:rPr>
        <w:tab/>
        <w:t>1.5.2.1</w:t>
      </w:r>
      <w:r w:rsidRPr="00AE6573">
        <w:rPr>
          <w:rFonts w:ascii="Times New Roman" w:hAnsi="Times New Roman" w:cs="Times New Roman"/>
        </w:rPr>
        <w:tab/>
        <w:t>Peptidoglycan dynamics in rod-shaped bacteria</w:t>
      </w:r>
      <w:r w:rsidRPr="00AE6573">
        <w:rPr>
          <w:rFonts w:ascii="Times New Roman" w:hAnsi="Times New Roman" w:cs="Times New Roman"/>
        </w:rPr>
        <w:tab/>
      </w:r>
      <w:r w:rsidRPr="00AE6573">
        <w:rPr>
          <w:rFonts w:ascii="Times New Roman" w:hAnsi="Times New Roman" w:cs="Times New Roman"/>
        </w:rPr>
        <w:tab/>
      </w:r>
      <w:r w:rsidR="00AE6573">
        <w:rPr>
          <w:rFonts w:ascii="Times New Roman" w:hAnsi="Times New Roman" w:cs="Times New Roman"/>
        </w:rPr>
        <w:tab/>
      </w:r>
      <w:r w:rsidRPr="00AE6573">
        <w:rPr>
          <w:rFonts w:ascii="Times New Roman" w:hAnsi="Times New Roman" w:cs="Times New Roman"/>
        </w:rPr>
        <w:tab/>
        <w:t>16</w:t>
      </w:r>
    </w:p>
    <w:p w:rsidR="003C6DF1" w:rsidRPr="00AE6573" w:rsidRDefault="003C6DF1" w:rsidP="0024733A">
      <w:pPr>
        <w:tabs>
          <w:tab w:val="left" w:pos="284"/>
          <w:tab w:val="left" w:pos="1418"/>
        </w:tabs>
        <w:autoSpaceDE w:val="0"/>
        <w:autoSpaceDN w:val="0"/>
        <w:adjustRightInd w:val="0"/>
        <w:spacing w:after="20" w:line="240" w:lineRule="auto"/>
        <w:jc w:val="both"/>
        <w:rPr>
          <w:rFonts w:ascii="Times New Roman" w:hAnsi="Times New Roman" w:cs="Times New Roman"/>
          <w:color w:val="000000"/>
        </w:rPr>
      </w:pPr>
      <w:r w:rsidRPr="00AE6573">
        <w:rPr>
          <w:rFonts w:ascii="Times New Roman" w:hAnsi="Times New Roman" w:cs="Times New Roman"/>
          <w:color w:val="000000"/>
        </w:rPr>
        <w:tab/>
        <w:t>1.5.2.2</w:t>
      </w:r>
      <w:r w:rsidRPr="00AE6573">
        <w:rPr>
          <w:rFonts w:ascii="Times New Roman" w:hAnsi="Times New Roman" w:cs="Times New Roman"/>
          <w:color w:val="000000"/>
        </w:rPr>
        <w:tab/>
        <w:t>Peptidoglycan dynamics in coccoid bacteria</w:t>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t>16</w:t>
      </w:r>
    </w:p>
    <w:p w:rsidR="003C6DF1" w:rsidRPr="00AE6573" w:rsidRDefault="003C6DF1" w:rsidP="0024733A">
      <w:pPr>
        <w:tabs>
          <w:tab w:val="left" w:pos="284"/>
          <w:tab w:val="left" w:pos="1418"/>
        </w:tabs>
        <w:spacing w:after="20" w:line="240" w:lineRule="auto"/>
        <w:jc w:val="both"/>
        <w:rPr>
          <w:rFonts w:ascii="Times New Roman" w:hAnsi="Times New Roman" w:cs="Times New Roman"/>
        </w:rPr>
      </w:pPr>
      <w:r w:rsidRPr="00AE6573">
        <w:rPr>
          <w:rFonts w:ascii="Times New Roman" w:hAnsi="Times New Roman" w:cs="Times New Roman"/>
        </w:rPr>
        <w:tab/>
        <w:t xml:space="preserve">1.5.2.3 </w:t>
      </w:r>
      <w:r w:rsidR="00AE6573">
        <w:rPr>
          <w:rFonts w:ascii="Times New Roman" w:hAnsi="Times New Roman" w:cs="Times New Roman"/>
          <w:color w:val="000000"/>
        </w:rPr>
        <w:tab/>
      </w:r>
      <w:r w:rsidRPr="00AE6573">
        <w:rPr>
          <w:rFonts w:ascii="Times New Roman" w:hAnsi="Times New Roman" w:cs="Times New Roman"/>
          <w:color w:val="000000"/>
        </w:rPr>
        <w:t>Peptidoglycan dynamics in ovococcal bacteria</w:t>
      </w:r>
      <w:r w:rsidRPr="00AE6573">
        <w:rPr>
          <w:rFonts w:ascii="Times New Roman" w:hAnsi="Times New Roman" w:cs="Times New Roman"/>
          <w:color w:val="000000"/>
        </w:rPr>
        <w:tab/>
      </w:r>
      <w:r w:rsidRPr="00AE6573">
        <w:rPr>
          <w:rFonts w:ascii="Times New Roman" w:hAnsi="Times New Roman" w:cs="Times New Roman"/>
          <w:color w:val="000000"/>
        </w:rPr>
        <w:tab/>
      </w:r>
      <w:r w:rsidR="00AE6573">
        <w:rPr>
          <w:rFonts w:ascii="Times New Roman" w:hAnsi="Times New Roman" w:cs="Times New Roman"/>
          <w:color w:val="000000"/>
        </w:rPr>
        <w:tab/>
      </w:r>
      <w:r w:rsidRPr="00AE6573">
        <w:rPr>
          <w:rFonts w:ascii="Times New Roman" w:hAnsi="Times New Roman" w:cs="Times New Roman"/>
          <w:color w:val="000000"/>
        </w:rPr>
        <w:tab/>
        <w:t>19</w:t>
      </w:r>
    </w:p>
    <w:p w:rsidR="003C6DF1" w:rsidRPr="00AE6573" w:rsidRDefault="003C6DF1" w:rsidP="0024733A">
      <w:pPr>
        <w:tabs>
          <w:tab w:val="left" w:pos="1418"/>
        </w:tabs>
        <w:spacing w:after="20" w:line="240" w:lineRule="auto"/>
        <w:jc w:val="both"/>
        <w:rPr>
          <w:rFonts w:ascii="Times New Roman" w:hAnsi="Times New Roman" w:cs="Times New Roman"/>
          <w:b/>
        </w:rPr>
      </w:pPr>
      <w:r w:rsidRPr="00AE6573">
        <w:rPr>
          <w:rFonts w:ascii="Times New Roman" w:hAnsi="Times New Roman" w:cs="Times New Roman"/>
          <w:b/>
        </w:rPr>
        <w:t>1.6</w:t>
      </w:r>
      <w:r w:rsidRPr="00AE6573">
        <w:rPr>
          <w:rFonts w:ascii="Times New Roman" w:hAnsi="Times New Roman" w:cs="Times New Roman"/>
          <w:b/>
        </w:rPr>
        <w:tab/>
        <w:t>Penicillin-binding proteins</w:t>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t>20</w:t>
      </w:r>
    </w:p>
    <w:p w:rsidR="003C6DF1" w:rsidRPr="00AE6573" w:rsidRDefault="003C6DF1" w:rsidP="0024733A">
      <w:pPr>
        <w:tabs>
          <w:tab w:val="left" w:pos="1418"/>
        </w:tabs>
        <w:autoSpaceDE w:val="0"/>
        <w:autoSpaceDN w:val="0"/>
        <w:adjustRightInd w:val="0"/>
        <w:spacing w:after="20" w:line="240" w:lineRule="auto"/>
        <w:jc w:val="both"/>
        <w:rPr>
          <w:rFonts w:ascii="Times New Roman" w:hAnsi="Times New Roman" w:cs="Times New Roman"/>
          <w:b/>
          <w:color w:val="000000"/>
        </w:rPr>
      </w:pPr>
      <w:r w:rsidRPr="00AE6573">
        <w:rPr>
          <w:rFonts w:ascii="Times New Roman" w:hAnsi="Times New Roman" w:cs="Times New Roman"/>
          <w:b/>
          <w:color w:val="000000"/>
        </w:rPr>
        <w:t>1.7</w:t>
      </w:r>
      <w:r w:rsidRPr="00AE6573">
        <w:rPr>
          <w:rFonts w:ascii="Times New Roman" w:hAnsi="Times New Roman" w:cs="Times New Roman"/>
          <w:b/>
          <w:color w:val="000000"/>
        </w:rPr>
        <w:tab/>
        <w:t>Peptidoglycan hydrolases</w:t>
      </w:r>
      <w:r w:rsidRPr="00AE6573">
        <w:rPr>
          <w:rFonts w:ascii="Times New Roman" w:hAnsi="Times New Roman" w:cs="Times New Roman"/>
          <w:b/>
          <w:color w:val="000000"/>
        </w:rPr>
        <w:tab/>
      </w:r>
      <w:r w:rsidRPr="00AE6573">
        <w:rPr>
          <w:rFonts w:ascii="Times New Roman" w:hAnsi="Times New Roman" w:cs="Times New Roman"/>
          <w:b/>
          <w:color w:val="000000"/>
        </w:rPr>
        <w:tab/>
      </w:r>
      <w:r w:rsidRPr="00AE6573">
        <w:rPr>
          <w:rFonts w:ascii="Times New Roman" w:hAnsi="Times New Roman" w:cs="Times New Roman"/>
          <w:b/>
          <w:color w:val="000000"/>
        </w:rPr>
        <w:tab/>
      </w:r>
      <w:r w:rsidRPr="00AE6573">
        <w:rPr>
          <w:rFonts w:ascii="Times New Roman" w:hAnsi="Times New Roman" w:cs="Times New Roman"/>
          <w:b/>
          <w:color w:val="000000"/>
        </w:rPr>
        <w:tab/>
      </w:r>
      <w:r w:rsidRPr="00AE6573">
        <w:rPr>
          <w:rFonts w:ascii="Times New Roman" w:hAnsi="Times New Roman" w:cs="Times New Roman"/>
          <w:b/>
          <w:color w:val="000000"/>
        </w:rPr>
        <w:tab/>
      </w:r>
      <w:r w:rsidRPr="00AE6573">
        <w:rPr>
          <w:rFonts w:ascii="Times New Roman" w:hAnsi="Times New Roman" w:cs="Times New Roman"/>
          <w:b/>
          <w:color w:val="000000"/>
        </w:rPr>
        <w:tab/>
        <w:t>21</w:t>
      </w:r>
    </w:p>
    <w:p w:rsidR="003C6DF1" w:rsidRPr="00AE6573" w:rsidRDefault="0024733A" w:rsidP="0024733A">
      <w:pPr>
        <w:tabs>
          <w:tab w:val="left" w:pos="142"/>
          <w:tab w:val="left" w:pos="1418"/>
        </w:tabs>
        <w:autoSpaceDE w:val="0"/>
        <w:autoSpaceDN w:val="0"/>
        <w:adjustRightInd w:val="0"/>
        <w:spacing w:after="20" w:line="240" w:lineRule="auto"/>
        <w:jc w:val="both"/>
        <w:rPr>
          <w:rFonts w:ascii="Times New Roman" w:hAnsi="Times New Roman" w:cs="Times New Roman"/>
          <w:color w:val="000000"/>
        </w:rPr>
      </w:pPr>
      <w:r>
        <w:rPr>
          <w:rFonts w:ascii="Times New Roman" w:hAnsi="Times New Roman" w:cs="Times New Roman"/>
          <w:color w:val="000000"/>
        </w:rPr>
        <w:tab/>
        <w:t>1.7.1</w:t>
      </w:r>
      <w:r>
        <w:rPr>
          <w:rFonts w:ascii="Times New Roman" w:hAnsi="Times New Roman" w:cs="Times New Roman"/>
          <w:color w:val="000000"/>
        </w:rPr>
        <w:tab/>
        <w:t>Bond specificities</w:t>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sidR="003C6DF1" w:rsidRPr="00AE6573">
        <w:rPr>
          <w:rFonts w:ascii="Times New Roman" w:hAnsi="Times New Roman" w:cs="Times New Roman"/>
          <w:color w:val="000000"/>
        </w:rPr>
        <w:tab/>
      </w:r>
      <w:r w:rsidR="003C6DF1" w:rsidRPr="00AE6573">
        <w:rPr>
          <w:rFonts w:ascii="Times New Roman" w:hAnsi="Times New Roman" w:cs="Times New Roman"/>
          <w:color w:val="000000"/>
        </w:rPr>
        <w:tab/>
      </w:r>
      <w:r w:rsidR="00AE6573">
        <w:rPr>
          <w:rFonts w:ascii="Times New Roman" w:hAnsi="Times New Roman" w:cs="Times New Roman"/>
          <w:color w:val="000000"/>
        </w:rPr>
        <w:tab/>
      </w:r>
      <w:r w:rsidR="003C6DF1" w:rsidRPr="00AE6573">
        <w:rPr>
          <w:rFonts w:ascii="Times New Roman" w:hAnsi="Times New Roman" w:cs="Times New Roman"/>
          <w:color w:val="000000"/>
        </w:rPr>
        <w:tab/>
        <w:t>22</w:t>
      </w:r>
    </w:p>
    <w:p w:rsidR="003C6DF1" w:rsidRPr="00AE6573" w:rsidRDefault="003C6DF1" w:rsidP="0024733A">
      <w:pPr>
        <w:tabs>
          <w:tab w:val="left" w:pos="142"/>
          <w:tab w:val="left" w:pos="1418"/>
        </w:tabs>
        <w:spacing w:after="20" w:line="240" w:lineRule="auto"/>
        <w:jc w:val="both"/>
        <w:rPr>
          <w:rFonts w:ascii="Times New Roman" w:hAnsi="Times New Roman" w:cs="Times New Roman"/>
        </w:rPr>
      </w:pPr>
      <w:r w:rsidRPr="00AE6573">
        <w:rPr>
          <w:rFonts w:ascii="Times New Roman" w:hAnsi="Times New Roman" w:cs="Times New Roman"/>
        </w:rPr>
        <w:tab/>
        <w:t>1.7.2</w:t>
      </w:r>
      <w:r w:rsidRPr="00AE6573">
        <w:rPr>
          <w:rFonts w:ascii="Times New Roman" w:hAnsi="Times New Roman" w:cs="Times New Roman"/>
        </w:rPr>
        <w:tab/>
        <w:t>The physiological role of peptidoglycan hydrolases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24</w:t>
      </w:r>
    </w:p>
    <w:p w:rsidR="003C6DF1" w:rsidRPr="00AE6573" w:rsidRDefault="003C6DF1" w:rsidP="0024733A">
      <w:pPr>
        <w:tabs>
          <w:tab w:val="left" w:pos="284"/>
          <w:tab w:val="left" w:pos="1418"/>
        </w:tabs>
        <w:spacing w:after="20" w:line="240" w:lineRule="auto"/>
        <w:jc w:val="both"/>
        <w:rPr>
          <w:rFonts w:ascii="Times New Roman" w:hAnsi="Times New Roman" w:cs="Times New Roman"/>
          <w:color w:val="000000"/>
        </w:rPr>
      </w:pPr>
      <w:r w:rsidRPr="00AE6573">
        <w:rPr>
          <w:rFonts w:ascii="Times New Roman" w:hAnsi="Times New Roman" w:cs="Times New Roman"/>
          <w:color w:val="000000"/>
        </w:rPr>
        <w:tab/>
        <w:t>1.7.2.1</w:t>
      </w:r>
      <w:r w:rsidRPr="00AE6573">
        <w:rPr>
          <w:rFonts w:ascii="Times New Roman" w:hAnsi="Times New Roman" w:cs="Times New Roman"/>
          <w:color w:val="000000"/>
        </w:rPr>
        <w:tab/>
        <w:t>Peptidoglycan hydrolysis in vegetative growth and division</w:t>
      </w:r>
      <w:r w:rsidRPr="00AE6573">
        <w:rPr>
          <w:rFonts w:ascii="Times New Roman" w:hAnsi="Times New Roman" w:cs="Times New Roman"/>
          <w:color w:val="000000"/>
        </w:rPr>
        <w:tab/>
      </w:r>
      <w:r w:rsidRPr="00AE6573">
        <w:rPr>
          <w:rFonts w:ascii="Times New Roman" w:hAnsi="Times New Roman" w:cs="Times New Roman"/>
          <w:color w:val="000000"/>
        </w:rPr>
        <w:tab/>
        <w:t>24</w:t>
      </w:r>
    </w:p>
    <w:p w:rsidR="003C6DF1" w:rsidRPr="00AE6573" w:rsidRDefault="003C6DF1" w:rsidP="0024733A">
      <w:pPr>
        <w:tabs>
          <w:tab w:val="left" w:pos="284"/>
          <w:tab w:val="left" w:pos="1418"/>
        </w:tabs>
        <w:spacing w:after="20" w:line="240" w:lineRule="auto"/>
        <w:jc w:val="both"/>
        <w:rPr>
          <w:rFonts w:ascii="Times New Roman" w:hAnsi="Times New Roman" w:cs="Times New Roman"/>
          <w:color w:val="000000"/>
        </w:rPr>
      </w:pPr>
      <w:r w:rsidRPr="00AE6573">
        <w:rPr>
          <w:rFonts w:ascii="Times New Roman" w:hAnsi="Times New Roman" w:cs="Times New Roman"/>
          <w:color w:val="000000"/>
        </w:rPr>
        <w:tab/>
        <w:t>1.7.2.2</w:t>
      </w:r>
      <w:r w:rsidRPr="00AE6573">
        <w:rPr>
          <w:rFonts w:ascii="Times New Roman" w:hAnsi="Times New Roman" w:cs="Times New Roman"/>
          <w:color w:val="000000"/>
        </w:rPr>
        <w:tab/>
        <w:t>Regulation of growth by DD-carboxypeptidases</w:t>
      </w:r>
      <w:r w:rsidRPr="00AE6573">
        <w:rPr>
          <w:rFonts w:ascii="Times New Roman" w:hAnsi="Times New Roman" w:cs="Times New Roman"/>
          <w:color w:val="000000"/>
        </w:rPr>
        <w:tab/>
      </w:r>
      <w:r w:rsidRPr="00AE6573">
        <w:rPr>
          <w:rFonts w:ascii="Times New Roman" w:hAnsi="Times New Roman" w:cs="Times New Roman"/>
          <w:color w:val="000000"/>
        </w:rPr>
        <w:tab/>
      </w:r>
      <w:r w:rsidR="00AE6573">
        <w:rPr>
          <w:rFonts w:ascii="Times New Roman" w:hAnsi="Times New Roman" w:cs="Times New Roman"/>
          <w:color w:val="000000"/>
        </w:rPr>
        <w:tab/>
      </w:r>
      <w:r w:rsidRPr="00AE6573">
        <w:rPr>
          <w:rFonts w:ascii="Times New Roman" w:hAnsi="Times New Roman" w:cs="Times New Roman"/>
          <w:color w:val="000000"/>
        </w:rPr>
        <w:tab/>
        <w:t>25</w:t>
      </w:r>
    </w:p>
    <w:p w:rsidR="003C6DF1" w:rsidRPr="00AE6573" w:rsidRDefault="003C6DF1" w:rsidP="0024733A">
      <w:pPr>
        <w:tabs>
          <w:tab w:val="left" w:pos="284"/>
          <w:tab w:val="left" w:pos="1418"/>
        </w:tabs>
        <w:spacing w:after="20" w:line="240" w:lineRule="auto"/>
        <w:jc w:val="both"/>
        <w:rPr>
          <w:rFonts w:ascii="Times New Roman" w:hAnsi="Times New Roman" w:cs="Times New Roman"/>
          <w:color w:val="000000"/>
        </w:rPr>
      </w:pPr>
      <w:r w:rsidRPr="00AE6573">
        <w:rPr>
          <w:rFonts w:ascii="Times New Roman" w:hAnsi="Times New Roman" w:cs="Times New Roman"/>
          <w:color w:val="000000"/>
        </w:rPr>
        <w:tab/>
        <w:t>1.7.2.3</w:t>
      </w:r>
      <w:r w:rsidRPr="00AE6573">
        <w:rPr>
          <w:rFonts w:ascii="Times New Roman" w:hAnsi="Times New Roman" w:cs="Times New Roman"/>
          <w:color w:val="000000"/>
        </w:rPr>
        <w:tab/>
        <w:t>Cell separation</w:t>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t>26</w:t>
      </w:r>
    </w:p>
    <w:p w:rsidR="003C6DF1" w:rsidRPr="00AE6573" w:rsidRDefault="003C6DF1" w:rsidP="0024733A">
      <w:pPr>
        <w:tabs>
          <w:tab w:val="left" w:pos="284"/>
          <w:tab w:val="left" w:pos="1418"/>
        </w:tabs>
        <w:spacing w:after="20" w:line="240" w:lineRule="auto"/>
        <w:jc w:val="both"/>
        <w:rPr>
          <w:rFonts w:ascii="Times New Roman" w:hAnsi="Times New Roman" w:cs="Times New Roman"/>
          <w:color w:val="000000"/>
        </w:rPr>
      </w:pPr>
      <w:r w:rsidRPr="00AE6573">
        <w:rPr>
          <w:rFonts w:ascii="Times New Roman" w:hAnsi="Times New Roman" w:cs="Times New Roman"/>
          <w:color w:val="000000"/>
        </w:rPr>
        <w:tab/>
        <w:t>1.7.2.4</w:t>
      </w:r>
      <w:r w:rsidRPr="00AE6573">
        <w:rPr>
          <w:rFonts w:ascii="Times New Roman" w:hAnsi="Times New Roman" w:cs="Times New Roman"/>
          <w:color w:val="000000"/>
        </w:rPr>
        <w:tab/>
        <w:t>Differentiation to produce endospores</w:t>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t>26</w:t>
      </w:r>
    </w:p>
    <w:p w:rsidR="003C6DF1" w:rsidRPr="00AE6573" w:rsidRDefault="003C6DF1" w:rsidP="0024733A">
      <w:pPr>
        <w:tabs>
          <w:tab w:val="left" w:pos="284"/>
          <w:tab w:val="left" w:pos="1418"/>
        </w:tabs>
        <w:autoSpaceDE w:val="0"/>
        <w:autoSpaceDN w:val="0"/>
        <w:adjustRightInd w:val="0"/>
        <w:spacing w:after="20" w:line="240" w:lineRule="auto"/>
        <w:jc w:val="both"/>
        <w:rPr>
          <w:rFonts w:ascii="Times New Roman" w:hAnsi="Times New Roman" w:cs="Times New Roman"/>
          <w:color w:val="000000"/>
        </w:rPr>
      </w:pPr>
      <w:r w:rsidRPr="00AE6573">
        <w:rPr>
          <w:rFonts w:ascii="Times New Roman" w:hAnsi="Times New Roman" w:cs="Times New Roman"/>
          <w:color w:val="000000"/>
        </w:rPr>
        <w:tab/>
        <w:t>1.7.2.5</w:t>
      </w:r>
      <w:r w:rsidRPr="00AE6573">
        <w:rPr>
          <w:rFonts w:ascii="Times New Roman" w:hAnsi="Times New Roman" w:cs="Times New Roman"/>
          <w:color w:val="000000"/>
        </w:rPr>
        <w:tab/>
        <w:t>Assembly of trans-envelope structures</w:t>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t>28</w:t>
      </w:r>
    </w:p>
    <w:p w:rsidR="003C6DF1" w:rsidRPr="00AE6573" w:rsidRDefault="003C6DF1" w:rsidP="0024733A">
      <w:pPr>
        <w:tabs>
          <w:tab w:val="left" w:pos="284"/>
          <w:tab w:val="left" w:pos="426"/>
          <w:tab w:val="left" w:pos="1418"/>
        </w:tabs>
        <w:autoSpaceDE w:val="0"/>
        <w:autoSpaceDN w:val="0"/>
        <w:adjustRightInd w:val="0"/>
        <w:spacing w:after="20" w:line="240" w:lineRule="auto"/>
        <w:jc w:val="both"/>
        <w:rPr>
          <w:rFonts w:ascii="Times New Roman" w:hAnsi="Times New Roman" w:cs="Times New Roman"/>
          <w:color w:val="000000"/>
        </w:rPr>
      </w:pPr>
      <w:r w:rsidRPr="00AE6573">
        <w:rPr>
          <w:rFonts w:ascii="Times New Roman" w:hAnsi="Times New Roman" w:cs="Times New Roman"/>
          <w:color w:val="000000"/>
        </w:rPr>
        <w:tab/>
        <w:t>1.7.2.6</w:t>
      </w:r>
      <w:r w:rsidRPr="00AE6573">
        <w:rPr>
          <w:rFonts w:ascii="Times New Roman" w:hAnsi="Times New Roman" w:cs="Times New Roman"/>
          <w:color w:val="000000"/>
        </w:rPr>
        <w:tab/>
        <w:t>Competition</w:t>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t>29</w:t>
      </w:r>
    </w:p>
    <w:p w:rsidR="003C6DF1" w:rsidRPr="00AE6573" w:rsidRDefault="003C6DF1" w:rsidP="0024733A">
      <w:pPr>
        <w:tabs>
          <w:tab w:val="left" w:pos="284"/>
          <w:tab w:val="left" w:pos="1418"/>
        </w:tabs>
        <w:autoSpaceDE w:val="0"/>
        <w:autoSpaceDN w:val="0"/>
        <w:adjustRightInd w:val="0"/>
        <w:spacing w:after="20" w:line="240" w:lineRule="auto"/>
        <w:jc w:val="both"/>
        <w:rPr>
          <w:rFonts w:ascii="Times New Roman" w:hAnsi="Times New Roman" w:cs="Times New Roman"/>
          <w:color w:val="000000"/>
        </w:rPr>
      </w:pPr>
      <w:r w:rsidRPr="00AE6573">
        <w:rPr>
          <w:rFonts w:ascii="Times New Roman" w:hAnsi="Times New Roman" w:cs="Times New Roman"/>
          <w:color w:val="000000"/>
        </w:rPr>
        <w:tab/>
        <w:t>1.7.2.7</w:t>
      </w:r>
      <w:r w:rsidRPr="00AE6573">
        <w:rPr>
          <w:rFonts w:ascii="Times New Roman" w:hAnsi="Times New Roman" w:cs="Times New Roman"/>
          <w:color w:val="000000"/>
        </w:rPr>
        <w:tab/>
        <w:t>Competence</w:t>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t>29</w:t>
      </w:r>
    </w:p>
    <w:p w:rsidR="003C6DF1" w:rsidRPr="00AE6573" w:rsidRDefault="003C6DF1" w:rsidP="0024733A">
      <w:pPr>
        <w:tabs>
          <w:tab w:val="left" w:pos="284"/>
          <w:tab w:val="left" w:pos="1418"/>
        </w:tabs>
        <w:autoSpaceDE w:val="0"/>
        <w:autoSpaceDN w:val="0"/>
        <w:adjustRightInd w:val="0"/>
        <w:spacing w:after="20" w:line="240" w:lineRule="auto"/>
        <w:jc w:val="both"/>
        <w:rPr>
          <w:rFonts w:ascii="Times New Roman" w:hAnsi="Times New Roman" w:cs="Times New Roman"/>
          <w:color w:val="000000"/>
        </w:rPr>
      </w:pPr>
      <w:r w:rsidRPr="00AE6573">
        <w:rPr>
          <w:rFonts w:ascii="Times New Roman" w:hAnsi="Times New Roman" w:cs="Times New Roman"/>
          <w:color w:val="000000"/>
        </w:rPr>
        <w:tab/>
        <w:t>1.7.2.8</w:t>
      </w:r>
      <w:r w:rsidRPr="00AE6573">
        <w:rPr>
          <w:rFonts w:ascii="Times New Roman" w:hAnsi="Times New Roman" w:cs="Times New Roman"/>
          <w:color w:val="000000"/>
        </w:rPr>
        <w:tab/>
        <w:t>Biofilm formation</w:t>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t>30</w:t>
      </w:r>
    </w:p>
    <w:p w:rsidR="003C6DF1" w:rsidRPr="00AE6573" w:rsidRDefault="003C6DF1" w:rsidP="0024733A">
      <w:pPr>
        <w:tabs>
          <w:tab w:val="left" w:pos="142"/>
          <w:tab w:val="left" w:pos="1418"/>
        </w:tabs>
        <w:autoSpaceDE w:val="0"/>
        <w:autoSpaceDN w:val="0"/>
        <w:adjustRightInd w:val="0"/>
        <w:spacing w:after="20" w:line="240" w:lineRule="auto"/>
        <w:jc w:val="both"/>
        <w:rPr>
          <w:rFonts w:ascii="Times New Roman" w:hAnsi="Times New Roman" w:cs="Times New Roman"/>
          <w:color w:val="000000"/>
        </w:rPr>
      </w:pPr>
      <w:r w:rsidRPr="00AE6573">
        <w:rPr>
          <w:rFonts w:ascii="Times New Roman" w:hAnsi="Times New Roman" w:cs="Times New Roman"/>
          <w:color w:val="000000"/>
        </w:rPr>
        <w:tab/>
      </w:r>
      <w:r w:rsidR="00AE6573">
        <w:rPr>
          <w:rFonts w:ascii="Times New Roman" w:hAnsi="Times New Roman" w:cs="Times New Roman"/>
          <w:color w:val="000000"/>
        </w:rPr>
        <w:t>1.7.3</w:t>
      </w:r>
      <w:r w:rsidR="00AE6573">
        <w:rPr>
          <w:rFonts w:ascii="Times New Roman" w:hAnsi="Times New Roman" w:cs="Times New Roman"/>
          <w:color w:val="000000"/>
        </w:rPr>
        <w:tab/>
      </w:r>
      <w:r w:rsidRPr="00AE6573">
        <w:rPr>
          <w:rFonts w:ascii="Times New Roman" w:hAnsi="Times New Roman" w:cs="Times New Roman"/>
          <w:color w:val="000000"/>
        </w:rPr>
        <w:t>Regulation of peptidoglycan hydrolases</w:t>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00AE6573">
        <w:rPr>
          <w:rFonts w:ascii="Times New Roman" w:hAnsi="Times New Roman" w:cs="Times New Roman"/>
          <w:color w:val="000000"/>
        </w:rPr>
        <w:tab/>
      </w:r>
      <w:r w:rsidRPr="00AE6573">
        <w:rPr>
          <w:rFonts w:ascii="Times New Roman" w:hAnsi="Times New Roman" w:cs="Times New Roman"/>
          <w:color w:val="000000"/>
        </w:rPr>
        <w:tab/>
        <w:t>30</w:t>
      </w:r>
    </w:p>
    <w:p w:rsidR="003C6DF1" w:rsidRPr="00AE6573" w:rsidRDefault="003C6DF1" w:rsidP="0024733A">
      <w:pPr>
        <w:tabs>
          <w:tab w:val="left" w:pos="284"/>
          <w:tab w:val="left" w:pos="1418"/>
        </w:tabs>
        <w:autoSpaceDE w:val="0"/>
        <w:autoSpaceDN w:val="0"/>
        <w:adjustRightInd w:val="0"/>
        <w:spacing w:after="20" w:line="240" w:lineRule="auto"/>
        <w:jc w:val="both"/>
        <w:rPr>
          <w:rFonts w:ascii="Times New Roman" w:hAnsi="Times New Roman" w:cs="Times New Roman"/>
          <w:color w:val="000000"/>
        </w:rPr>
      </w:pPr>
      <w:r w:rsidRPr="00AE6573">
        <w:rPr>
          <w:rFonts w:ascii="Times New Roman" w:hAnsi="Times New Roman" w:cs="Times New Roman"/>
          <w:color w:val="000000"/>
        </w:rPr>
        <w:tab/>
        <w:t>1.7.3.1</w:t>
      </w:r>
      <w:r w:rsidRPr="00AE6573">
        <w:rPr>
          <w:rFonts w:ascii="Times New Roman" w:hAnsi="Times New Roman" w:cs="Times New Roman"/>
          <w:color w:val="000000"/>
        </w:rPr>
        <w:tab/>
        <w:t>Transcriptional regulation of peptidoglycan hydrolases</w:t>
      </w:r>
      <w:r w:rsidRPr="00AE6573">
        <w:rPr>
          <w:rFonts w:ascii="Times New Roman" w:hAnsi="Times New Roman" w:cs="Times New Roman"/>
          <w:color w:val="000000"/>
        </w:rPr>
        <w:tab/>
      </w:r>
      <w:r w:rsidR="00AE6573">
        <w:rPr>
          <w:rFonts w:ascii="Times New Roman" w:hAnsi="Times New Roman" w:cs="Times New Roman"/>
          <w:color w:val="000000"/>
        </w:rPr>
        <w:tab/>
      </w:r>
      <w:r w:rsidRPr="00AE6573">
        <w:rPr>
          <w:rFonts w:ascii="Times New Roman" w:hAnsi="Times New Roman" w:cs="Times New Roman"/>
          <w:color w:val="000000"/>
        </w:rPr>
        <w:tab/>
        <w:t>31</w:t>
      </w:r>
    </w:p>
    <w:p w:rsidR="003C6DF1" w:rsidRPr="00AE6573" w:rsidRDefault="003C6DF1" w:rsidP="0024733A">
      <w:pPr>
        <w:tabs>
          <w:tab w:val="left" w:pos="426"/>
          <w:tab w:val="left" w:pos="1418"/>
        </w:tabs>
        <w:autoSpaceDE w:val="0"/>
        <w:autoSpaceDN w:val="0"/>
        <w:adjustRightInd w:val="0"/>
        <w:spacing w:after="20" w:line="240" w:lineRule="auto"/>
        <w:jc w:val="both"/>
        <w:rPr>
          <w:rFonts w:ascii="Times New Roman" w:hAnsi="Times New Roman" w:cs="Times New Roman"/>
          <w:color w:val="000000"/>
        </w:rPr>
      </w:pPr>
      <w:r w:rsidRPr="00AE6573">
        <w:rPr>
          <w:rFonts w:ascii="Times New Roman" w:hAnsi="Times New Roman" w:cs="Times New Roman"/>
          <w:color w:val="000000"/>
        </w:rPr>
        <w:tab/>
        <w:t>1.7.3.1.1</w:t>
      </w:r>
      <w:r w:rsidRPr="00AE6573">
        <w:rPr>
          <w:rFonts w:ascii="Times New Roman" w:hAnsi="Times New Roman" w:cs="Times New Roman"/>
          <w:color w:val="000000"/>
        </w:rPr>
        <w:tab/>
        <w:t>Sigma factors</w:t>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t>31</w:t>
      </w:r>
    </w:p>
    <w:p w:rsidR="003C6DF1" w:rsidRPr="00AE6573" w:rsidRDefault="003C6DF1" w:rsidP="0024733A">
      <w:pPr>
        <w:tabs>
          <w:tab w:val="left" w:pos="426"/>
          <w:tab w:val="left" w:pos="1418"/>
          <w:tab w:val="left" w:pos="7423"/>
        </w:tabs>
        <w:autoSpaceDE w:val="0"/>
        <w:autoSpaceDN w:val="0"/>
        <w:adjustRightInd w:val="0"/>
        <w:spacing w:after="20" w:line="240" w:lineRule="auto"/>
        <w:jc w:val="both"/>
        <w:rPr>
          <w:rFonts w:ascii="Times New Roman" w:hAnsi="Times New Roman" w:cs="Times New Roman"/>
          <w:color w:val="000000"/>
        </w:rPr>
      </w:pPr>
      <w:r w:rsidRPr="00AE6573">
        <w:rPr>
          <w:rFonts w:ascii="Times New Roman" w:hAnsi="Times New Roman" w:cs="Times New Roman"/>
          <w:color w:val="000000"/>
        </w:rPr>
        <w:tab/>
        <w:t>1.7.3.1.2</w:t>
      </w:r>
      <w:r w:rsidRPr="00AE6573">
        <w:rPr>
          <w:rFonts w:ascii="Times New Roman" w:hAnsi="Times New Roman" w:cs="Times New Roman"/>
          <w:color w:val="000000"/>
        </w:rPr>
        <w:tab/>
        <w:t>Two component signal transduction</w:t>
      </w:r>
      <w:r w:rsidRPr="00AE6573">
        <w:rPr>
          <w:rFonts w:ascii="Times New Roman" w:hAnsi="Times New Roman" w:cs="Times New Roman"/>
          <w:color w:val="000000"/>
        </w:rPr>
        <w:tab/>
      </w:r>
      <w:r w:rsidRPr="00AE6573">
        <w:rPr>
          <w:rFonts w:ascii="Times New Roman" w:hAnsi="Times New Roman" w:cs="Times New Roman"/>
          <w:color w:val="000000"/>
        </w:rPr>
        <w:tab/>
        <w:t>31</w:t>
      </w:r>
    </w:p>
    <w:p w:rsidR="003C6DF1" w:rsidRPr="00AE6573" w:rsidRDefault="003C6DF1" w:rsidP="0024733A">
      <w:pPr>
        <w:tabs>
          <w:tab w:val="left" w:pos="284"/>
          <w:tab w:val="left" w:pos="1418"/>
        </w:tabs>
        <w:autoSpaceDE w:val="0"/>
        <w:autoSpaceDN w:val="0"/>
        <w:adjustRightInd w:val="0"/>
        <w:spacing w:after="20" w:line="240" w:lineRule="auto"/>
        <w:jc w:val="both"/>
        <w:rPr>
          <w:rFonts w:ascii="Times New Roman" w:hAnsi="Times New Roman" w:cs="Times New Roman"/>
          <w:color w:val="000000"/>
        </w:rPr>
      </w:pPr>
      <w:r w:rsidRPr="00AE6573">
        <w:rPr>
          <w:rFonts w:ascii="Times New Roman" w:hAnsi="Times New Roman" w:cs="Times New Roman"/>
          <w:color w:val="000000"/>
        </w:rPr>
        <w:tab/>
        <w:t>1.7.3.2</w:t>
      </w:r>
      <w:r w:rsidRPr="00AE6573">
        <w:rPr>
          <w:rFonts w:ascii="Times New Roman" w:hAnsi="Times New Roman" w:cs="Times New Roman"/>
          <w:color w:val="000000"/>
        </w:rPr>
        <w:tab/>
        <w:t>Post-translational regulation of peptidoglycan hydrolases</w:t>
      </w:r>
      <w:r w:rsidRPr="00AE6573">
        <w:rPr>
          <w:rFonts w:ascii="Times New Roman" w:hAnsi="Times New Roman" w:cs="Times New Roman"/>
          <w:color w:val="000000"/>
        </w:rPr>
        <w:tab/>
      </w:r>
      <w:r w:rsidRPr="00AE6573">
        <w:rPr>
          <w:rFonts w:ascii="Times New Roman" w:hAnsi="Times New Roman" w:cs="Times New Roman"/>
          <w:color w:val="000000"/>
        </w:rPr>
        <w:tab/>
      </w:r>
      <w:r w:rsidR="00AE6573">
        <w:rPr>
          <w:rFonts w:ascii="Times New Roman" w:hAnsi="Times New Roman" w:cs="Times New Roman"/>
          <w:color w:val="000000"/>
        </w:rPr>
        <w:tab/>
      </w:r>
      <w:r w:rsidRPr="00AE6573">
        <w:rPr>
          <w:rFonts w:ascii="Times New Roman" w:hAnsi="Times New Roman" w:cs="Times New Roman"/>
          <w:color w:val="000000"/>
        </w:rPr>
        <w:t>32</w:t>
      </w:r>
    </w:p>
    <w:p w:rsidR="003C6DF1" w:rsidRPr="00AE6573" w:rsidRDefault="003C6DF1" w:rsidP="0024733A">
      <w:pPr>
        <w:tabs>
          <w:tab w:val="left" w:pos="426"/>
          <w:tab w:val="left" w:pos="1418"/>
        </w:tabs>
        <w:autoSpaceDE w:val="0"/>
        <w:autoSpaceDN w:val="0"/>
        <w:adjustRightInd w:val="0"/>
        <w:spacing w:after="20" w:line="240" w:lineRule="auto"/>
        <w:jc w:val="both"/>
        <w:rPr>
          <w:rFonts w:ascii="Times New Roman" w:hAnsi="Times New Roman" w:cs="Times New Roman"/>
          <w:color w:val="000000"/>
        </w:rPr>
      </w:pPr>
      <w:r w:rsidRPr="00AE6573">
        <w:rPr>
          <w:rFonts w:ascii="Times New Roman" w:hAnsi="Times New Roman" w:cs="Times New Roman"/>
          <w:color w:val="000000"/>
        </w:rPr>
        <w:tab/>
        <w:t>1.7.3.2.1</w:t>
      </w:r>
      <w:r w:rsidRPr="00AE6573">
        <w:rPr>
          <w:rFonts w:ascii="Times New Roman" w:hAnsi="Times New Roman" w:cs="Times New Roman"/>
          <w:color w:val="000000"/>
        </w:rPr>
        <w:tab/>
        <w:t>Protein-protein interaction</w:t>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t>32</w:t>
      </w:r>
    </w:p>
    <w:p w:rsidR="003C6DF1" w:rsidRPr="00AE6573" w:rsidRDefault="003C6DF1" w:rsidP="0024733A">
      <w:pPr>
        <w:tabs>
          <w:tab w:val="left" w:pos="426"/>
          <w:tab w:val="left" w:pos="1418"/>
          <w:tab w:val="left" w:pos="6530"/>
        </w:tabs>
        <w:autoSpaceDE w:val="0"/>
        <w:autoSpaceDN w:val="0"/>
        <w:adjustRightInd w:val="0"/>
        <w:spacing w:after="20" w:line="240" w:lineRule="auto"/>
        <w:jc w:val="both"/>
        <w:rPr>
          <w:rFonts w:ascii="Times New Roman" w:hAnsi="Times New Roman" w:cs="Times New Roman"/>
          <w:color w:val="000000"/>
        </w:rPr>
      </w:pPr>
      <w:r w:rsidRPr="00AE6573">
        <w:rPr>
          <w:rFonts w:ascii="Times New Roman" w:hAnsi="Times New Roman" w:cs="Times New Roman"/>
          <w:color w:val="000000"/>
        </w:rPr>
        <w:lastRenderedPageBreak/>
        <w:tab/>
        <w:t>1.7.3.2.2</w:t>
      </w:r>
      <w:r w:rsidRPr="00AE6573">
        <w:rPr>
          <w:rFonts w:ascii="Times New Roman" w:hAnsi="Times New Roman" w:cs="Times New Roman"/>
          <w:color w:val="000000"/>
        </w:rPr>
        <w:tab/>
        <w:t>Proteolytic processing</w:t>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t>33</w:t>
      </w:r>
    </w:p>
    <w:p w:rsidR="003C6DF1" w:rsidRPr="00AE6573" w:rsidRDefault="003C6DF1" w:rsidP="0024733A">
      <w:pPr>
        <w:tabs>
          <w:tab w:val="left" w:pos="426"/>
          <w:tab w:val="left" w:pos="1418"/>
        </w:tabs>
        <w:autoSpaceDE w:val="0"/>
        <w:autoSpaceDN w:val="0"/>
        <w:adjustRightInd w:val="0"/>
        <w:spacing w:after="20" w:line="240" w:lineRule="auto"/>
        <w:jc w:val="both"/>
        <w:rPr>
          <w:rFonts w:ascii="Times New Roman" w:hAnsi="Times New Roman" w:cs="Times New Roman"/>
          <w:color w:val="000000"/>
        </w:rPr>
      </w:pPr>
      <w:r w:rsidRPr="00AE6573">
        <w:rPr>
          <w:rFonts w:ascii="Times New Roman" w:hAnsi="Times New Roman" w:cs="Times New Roman"/>
          <w:color w:val="000000"/>
        </w:rPr>
        <w:tab/>
        <w:t>1.7.3.2.3</w:t>
      </w:r>
      <w:r w:rsidRPr="00AE6573">
        <w:rPr>
          <w:rFonts w:ascii="Times New Roman" w:hAnsi="Times New Roman" w:cs="Times New Roman"/>
          <w:color w:val="000000"/>
        </w:rPr>
        <w:tab/>
        <w:t>Regulation by teichoic acids</w:t>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t>34</w:t>
      </w:r>
    </w:p>
    <w:p w:rsidR="003C6DF1" w:rsidRPr="00AE6573" w:rsidRDefault="003C6DF1" w:rsidP="0024733A">
      <w:pPr>
        <w:tabs>
          <w:tab w:val="left" w:pos="426"/>
          <w:tab w:val="left" w:pos="1418"/>
        </w:tabs>
        <w:spacing w:after="20" w:line="240" w:lineRule="auto"/>
        <w:rPr>
          <w:rFonts w:ascii="Times New Roman" w:hAnsi="Times New Roman" w:cs="Times New Roman"/>
        </w:rPr>
      </w:pPr>
      <w:r w:rsidRPr="00AE6573">
        <w:rPr>
          <w:rFonts w:ascii="Times New Roman" w:hAnsi="Times New Roman" w:cs="Times New Roman"/>
          <w:color w:val="000000"/>
        </w:rPr>
        <w:tab/>
        <w:t>1.7.3.2.4</w:t>
      </w:r>
      <w:r w:rsidR="0024733A">
        <w:rPr>
          <w:rFonts w:ascii="Times New Roman" w:hAnsi="Times New Roman" w:cs="Times New Roman"/>
        </w:rPr>
        <w:tab/>
        <w:t>Modification of substrate</w:t>
      </w:r>
      <w:r w:rsidR="0024733A">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AE6573">
        <w:rPr>
          <w:rFonts w:ascii="Times New Roman" w:hAnsi="Times New Roman" w:cs="Times New Roman"/>
        </w:rPr>
        <w:tab/>
      </w:r>
      <w:r w:rsidRPr="00AE6573">
        <w:rPr>
          <w:rFonts w:ascii="Times New Roman" w:hAnsi="Times New Roman" w:cs="Times New Roman"/>
        </w:rPr>
        <w:tab/>
        <w:t>35</w:t>
      </w:r>
    </w:p>
    <w:p w:rsidR="003C6DF1" w:rsidRPr="00AE6573" w:rsidRDefault="003C6DF1" w:rsidP="0024733A">
      <w:pPr>
        <w:tabs>
          <w:tab w:val="left" w:pos="1418"/>
        </w:tabs>
        <w:autoSpaceDE w:val="0"/>
        <w:autoSpaceDN w:val="0"/>
        <w:adjustRightInd w:val="0"/>
        <w:spacing w:after="20" w:line="240" w:lineRule="auto"/>
        <w:jc w:val="both"/>
        <w:rPr>
          <w:rFonts w:ascii="Times New Roman" w:hAnsi="Times New Roman" w:cs="Times New Roman"/>
          <w:b/>
          <w:color w:val="000000"/>
        </w:rPr>
      </w:pPr>
      <w:r w:rsidRPr="00AE6573">
        <w:rPr>
          <w:rFonts w:ascii="Times New Roman" w:hAnsi="Times New Roman" w:cs="Times New Roman"/>
          <w:b/>
          <w:color w:val="000000"/>
        </w:rPr>
        <w:t>1.8</w:t>
      </w:r>
      <w:r w:rsidRPr="00AE6573">
        <w:rPr>
          <w:rFonts w:ascii="Times New Roman" w:hAnsi="Times New Roman" w:cs="Times New Roman"/>
          <w:b/>
          <w:color w:val="000000"/>
        </w:rPr>
        <w:tab/>
        <w:t>Models of peptidoglycan architecture</w:t>
      </w:r>
      <w:r w:rsidRPr="00AE6573">
        <w:rPr>
          <w:rFonts w:ascii="Times New Roman" w:hAnsi="Times New Roman" w:cs="Times New Roman"/>
          <w:b/>
          <w:color w:val="000000"/>
        </w:rPr>
        <w:tab/>
      </w:r>
      <w:r w:rsidRPr="00AE6573">
        <w:rPr>
          <w:rFonts w:ascii="Times New Roman" w:hAnsi="Times New Roman" w:cs="Times New Roman"/>
          <w:b/>
          <w:color w:val="000000"/>
        </w:rPr>
        <w:tab/>
      </w:r>
      <w:r w:rsidRPr="00AE6573">
        <w:rPr>
          <w:rFonts w:ascii="Times New Roman" w:hAnsi="Times New Roman" w:cs="Times New Roman"/>
          <w:b/>
          <w:color w:val="000000"/>
        </w:rPr>
        <w:tab/>
      </w:r>
      <w:r w:rsidRPr="00AE6573">
        <w:rPr>
          <w:rFonts w:ascii="Times New Roman" w:hAnsi="Times New Roman" w:cs="Times New Roman"/>
          <w:b/>
          <w:color w:val="000000"/>
        </w:rPr>
        <w:tab/>
      </w:r>
      <w:r w:rsidRPr="00AE6573">
        <w:rPr>
          <w:rFonts w:ascii="Times New Roman" w:hAnsi="Times New Roman" w:cs="Times New Roman"/>
          <w:b/>
          <w:color w:val="000000"/>
        </w:rPr>
        <w:tab/>
        <w:t>36</w:t>
      </w:r>
    </w:p>
    <w:p w:rsidR="003C6DF1" w:rsidRPr="00AE6573" w:rsidRDefault="003C6DF1" w:rsidP="0024733A">
      <w:pPr>
        <w:tabs>
          <w:tab w:val="left" w:pos="142"/>
          <w:tab w:val="left" w:pos="1418"/>
        </w:tabs>
        <w:spacing w:after="20" w:line="240" w:lineRule="auto"/>
        <w:jc w:val="both"/>
        <w:rPr>
          <w:rFonts w:ascii="Times New Roman" w:hAnsi="Times New Roman" w:cs="Times New Roman"/>
        </w:rPr>
      </w:pPr>
      <w:r w:rsidRPr="00AE6573">
        <w:rPr>
          <w:rFonts w:ascii="Times New Roman" w:hAnsi="Times New Roman" w:cs="Times New Roman"/>
        </w:rPr>
        <w:tab/>
        <w:t>1.8.1</w:t>
      </w:r>
      <w:r w:rsidRPr="00AE6573">
        <w:rPr>
          <w:rFonts w:ascii="Times New Roman" w:hAnsi="Times New Roman" w:cs="Times New Roman"/>
        </w:rPr>
        <w:tab/>
        <w:t>Orientation of the glycan strands – planar vs. scaffold model</w:t>
      </w:r>
      <w:r w:rsidRPr="00AE6573">
        <w:rPr>
          <w:rFonts w:ascii="Times New Roman" w:hAnsi="Times New Roman" w:cs="Times New Roman"/>
        </w:rPr>
        <w:tab/>
      </w:r>
      <w:r w:rsidRPr="00AE6573">
        <w:rPr>
          <w:rFonts w:ascii="Times New Roman" w:hAnsi="Times New Roman" w:cs="Times New Roman"/>
        </w:rPr>
        <w:tab/>
        <w:t>36</w:t>
      </w:r>
    </w:p>
    <w:p w:rsidR="003C6DF1" w:rsidRPr="00AE6573" w:rsidRDefault="003C6DF1" w:rsidP="0024733A">
      <w:pPr>
        <w:tabs>
          <w:tab w:val="left" w:pos="142"/>
          <w:tab w:val="left" w:pos="1418"/>
        </w:tabs>
        <w:spacing w:after="20" w:line="240" w:lineRule="auto"/>
        <w:jc w:val="both"/>
        <w:rPr>
          <w:rFonts w:ascii="Times New Roman" w:hAnsi="Times New Roman" w:cs="Times New Roman"/>
        </w:rPr>
      </w:pPr>
      <w:r w:rsidRPr="00AE6573">
        <w:rPr>
          <w:rFonts w:ascii="Times New Roman" w:hAnsi="Times New Roman" w:cs="Times New Roman"/>
        </w:rPr>
        <w:tab/>
        <w:t>1.8.2</w:t>
      </w:r>
      <w:r w:rsidRPr="00AE6573">
        <w:rPr>
          <w:rFonts w:ascii="Times New Roman" w:hAnsi="Times New Roman" w:cs="Times New Roman"/>
        </w:rPr>
        <w:tab/>
      </w:r>
      <w:r w:rsidRPr="00AE6573">
        <w:rPr>
          <w:rFonts w:ascii="Times New Roman" w:hAnsi="Times New Roman" w:cs="Times New Roman"/>
          <w:i/>
        </w:rPr>
        <w:t xml:space="preserve">In situ </w:t>
      </w:r>
      <w:r w:rsidRPr="00AE6573">
        <w:rPr>
          <w:rFonts w:ascii="Times New Roman" w:hAnsi="Times New Roman" w:cs="Times New Roman"/>
        </w:rPr>
        <w:t>architecture of the peptidoglycan network</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AE6573">
        <w:rPr>
          <w:rFonts w:ascii="Times New Roman" w:hAnsi="Times New Roman" w:cs="Times New Roman"/>
        </w:rPr>
        <w:tab/>
      </w:r>
      <w:r w:rsidRPr="00AE6573">
        <w:rPr>
          <w:rFonts w:ascii="Times New Roman" w:hAnsi="Times New Roman" w:cs="Times New Roman"/>
        </w:rPr>
        <w:t>39</w:t>
      </w:r>
    </w:p>
    <w:p w:rsidR="003C6DF1" w:rsidRPr="00AE6573" w:rsidRDefault="003C6DF1" w:rsidP="0024733A">
      <w:pPr>
        <w:tabs>
          <w:tab w:val="left" w:pos="142"/>
          <w:tab w:val="left" w:pos="1418"/>
          <w:tab w:val="left" w:pos="7938"/>
          <w:tab w:val="right" w:pos="8504"/>
        </w:tabs>
        <w:spacing w:after="20" w:line="240" w:lineRule="auto"/>
        <w:jc w:val="both"/>
        <w:rPr>
          <w:rFonts w:ascii="Times New Roman" w:hAnsi="Times New Roman" w:cs="Times New Roman"/>
        </w:rPr>
      </w:pPr>
      <w:r w:rsidRPr="00AE6573">
        <w:rPr>
          <w:rFonts w:ascii="Times New Roman" w:hAnsi="Times New Roman" w:cs="Times New Roman"/>
        </w:rPr>
        <w:tab/>
        <w:t>1.8.3</w:t>
      </w:r>
      <w:r w:rsidRPr="00AE6573">
        <w:rPr>
          <w:rFonts w:ascii="Times New Roman" w:hAnsi="Times New Roman" w:cs="Times New Roman"/>
        </w:rPr>
        <w:tab/>
        <w:t>Models of peptidoglycan architecture in rod shaped bacteria</w:t>
      </w:r>
      <w:r w:rsidRPr="00AE6573">
        <w:rPr>
          <w:rFonts w:ascii="Times New Roman" w:hAnsi="Times New Roman" w:cs="Times New Roman"/>
        </w:rPr>
        <w:tab/>
        <w:t>39</w:t>
      </w:r>
    </w:p>
    <w:p w:rsidR="003C6DF1" w:rsidRPr="00AE6573" w:rsidRDefault="003C6DF1" w:rsidP="0024733A">
      <w:pPr>
        <w:tabs>
          <w:tab w:val="left" w:pos="142"/>
          <w:tab w:val="left" w:pos="993"/>
          <w:tab w:val="left" w:pos="1418"/>
          <w:tab w:val="left" w:pos="7938"/>
        </w:tabs>
        <w:spacing w:after="20" w:line="240" w:lineRule="auto"/>
        <w:ind w:left="993" w:right="566" w:hanging="993"/>
        <w:jc w:val="both"/>
        <w:rPr>
          <w:rFonts w:ascii="Times New Roman" w:hAnsi="Times New Roman" w:cs="Times New Roman"/>
          <w:color w:val="000000"/>
        </w:rPr>
      </w:pPr>
      <w:r w:rsidRPr="00AE6573">
        <w:rPr>
          <w:rFonts w:ascii="Times New Roman" w:hAnsi="Times New Roman" w:cs="Times New Roman"/>
        </w:rPr>
        <w:tab/>
        <w:t>1.8.4</w:t>
      </w:r>
      <w:r w:rsidRPr="00AE6573">
        <w:rPr>
          <w:rFonts w:ascii="Times New Roman" w:hAnsi="Times New Roman" w:cs="Times New Roman"/>
        </w:rPr>
        <w:tab/>
      </w:r>
      <w:r w:rsidRPr="00AE6573">
        <w:rPr>
          <w:rFonts w:ascii="Times New Roman" w:hAnsi="Times New Roman" w:cs="Times New Roman"/>
        </w:rPr>
        <w:tab/>
        <w:t xml:space="preserve">New models of </w:t>
      </w:r>
      <w:r w:rsidRPr="00AE6573">
        <w:rPr>
          <w:rFonts w:ascii="Times New Roman" w:hAnsi="Times New Roman" w:cs="Times New Roman"/>
          <w:color w:val="000000"/>
        </w:rPr>
        <w:t>peptidoglycan architecture</w:t>
      </w:r>
      <w:r w:rsidRPr="00AE6573">
        <w:rPr>
          <w:rFonts w:ascii="Times New Roman" w:hAnsi="Times New Roman" w:cs="Times New Roman"/>
        </w:rPr>
        <w:t xml:space="preserve"> </w:t>
      </w:r>
      <w:r w:rsidRPr="00AE6573">
        <w:rPr>
          <w:rFonts w:ascii="Times New Roman" w:hAnsi="Times New Roman" w:cs="Times New Roman"/>
          <w:color w:val="000000"/>
        </w:rPr>
        <w:t>in rod-shaped bacteria</w:t>
      </w:r>
      <w:r w:rsidRPr="00AE6573">
        <w:rPr>
          <w:rFonts w:ascii="Times New Roman" w:hAnsi="Times New Roman" w:cs="Times New Roman"/>
          <w:color w:val="000000"/>
        </w:rPr>
        <w:tab/>
        <w:t>42</w:t>
      </w:r>
    </w:p>
    <w:p w:rsidR="003C6DF1" w:rsidRPr="00AE6573" w:rsidRDefault="003C6DF1" w:rsidP="0024733A">
      <w:pPr>
        <w:tabs>
          <w:tab w:val="left" w:pos="284"/>
          <w:tab w:val="left" w:pos="993"/>
          <w:tab w:val="left" w:pos="1418"/>
        </w:tabs>
        <w:spacing w:after="20" w:line="240" w:lineRule="auto"/>
        <w:ind w:left="993" w:hanging="993"/>
        <w:jc w:val="both"/>
        <w:rPr>
          <w:rFonts w:ascii="Times New Roman" w:hAnsi="Times New Roman" w:cs="Times New Roman"/>
        </w:rPr>
      </w:pPr>
      <w:r w:rsidRPr="00AE6573">
        <w:rPr>
          <w:rFonts w:ascii="Times New Roman" w:hAnsi="Times New Roman" w:cs="Times New Roman"/>
        </w:rPr>
        <w:tab/>
        <w:t>1.8.4.1</w:t>
      </w:r>
      <w:r w:rsidRPr="00AE6573">
        <w:rPr>
          <w:rFonts w:ascii="Times New Roman" w:hAnsi="Times New Roman" w:cs="Times New Roman"/>
        </w:rPr>
        <w:tab/>
      </w:r>
      <w:r w:rsidRPr="00AE6573">
        <w:rPr>
          <w:rFonts w:ascii="Times New Roman" w:hAnsi="Times New Roman" w:cs="Times New Roman"/>
        </w:rPr>
        <w:tab/>
        <w:t>Architecture of Gram-negative rods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42</w:t>
      </w:r>
    </w:p>
    <w:p w:rsidR="003C6DF1" w:rsidRPr="00AE6573" w:rsidRDefault="003C6DF1" w:rsidP="0024733A">
      <w:pPr>
        <w:tabs>
          <w:tab w:val="left" w:pos="284"/>
          <w:tab w:val="left" w:pos="993"/>
          <w:tab w:val="left" w:pos="1418"/>
        </w:tabs>
        <w:spacing w:after="20" w:line="240" w:lineRule="auto"/>
        <w:ind w:left="993" w:hanging="993"/>
        <w:jc w:val="both"/>
        <w:rPr>
          <w:rFonts w:ascii="Times New Roman" w:hAnsi="Times New Roman" w:cs="Times New Roman"/>
        </w:rPr>
      </w:pPr>
      <w:r w:rsidRPr="00AE6573">
        <w:rPr>
          <w:rFonts w:ascii="Times New Roman" w:hAnsi="Times New Roman" w:cs="Times New Roman"/>
        </w:rPr>
        <w:tab/>
        <w:t>1.8.4.2</w:t>
      </w:r>
      <w:r w:rsidRPr="00AE6573">
        <w:rPr>
          <w:rFonts w:ascii="Times New Roman" w:hAnsi="Times New Roman" w:cs="Times New Roman"/>
        </w:rPr>
        <w:tab/>
      </w:r>
      <w:r w:rsidRPr="00AE6573">
        <w:rPr>
          <w:rFonts w:ascii="Times New Roman" w:hAnsi="Times New Roman" w:cs="Times New Roman"/>
        </w:rPr>
        <w:tab/>
        <w:t>Architecture of Gram-positive rods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43</w:t>
      </w:r>
    </w:p>
    <w:p w:rsidR="003C6DF1" w:rsidRPr="00AE6573" w:rsidRDefault="003C6DF1" w:rsidP="0024733A">
      <w:pPr>
        <w:tabs>
          <w:tab w:val="left" w:pos="142"/>
          <w:tab w:val="left" w:pos="1418"/>
        </w:tabs>
        <w:spacing w:after="20" w:line="240" w:lineRule="auto"/>
        <w:jc w:val="both"/>
        <w:rPr>
          <w:rFonts w:ascii="Times New Roman" w:hAnsi="Times New Roman" w:cs="Times New Roman"/>
          <w:color w:val="000000"/>
        </w:rPr>
      </w:pPr>
      <w:r w:rsidRPr="00AE6573">
        <w:rPr>
          <w:rFonts w:ascii="Times New Roman" w:hAnsi="Times New Roman" w:cs="Times New Roman"/>
          <w:color w:val="000000"/>
        </w:rPr>
        <w:tab/>
        <w:t>1.8.5</w:t>
      </w:r>
      <w:r w:rsidRPr="00AE6573">
        <w:rPr>
          <w:rFonts w:ascii="Times New Roman" w:hAnsi="Times New Roman" w:cs="Times New Roman"/>
          <w:color w:val="000000"/>
        </w:rPr>
        <w:tab/>
        <w:t>Cell wall architecture in coccoid-shaped bacteria</w:t>
      </w:r>
      <w:r w:rsidRPr="00AE6573">
        <w:rPr>
          <w:rFonts w:ascii="Times New Roman" w:hAnsi="Times New Roman" w:cs="Times New Roman"/>
          <w:color w:val="000000"/>
        </w:rPr>
        <w:tab/>
      </w:r>
      <w:r w:rsidRPr="00AE6573">
        <w:rPr>
          <w:rFonts w:ascii="Times New Roman" w:hAnsi="Times New Roman" w:cs="Times New Roman"/>
          <w:color w:val="000000"/>
        </w:rPr>
        <w:tab/>
      </w:r>
      <w:r w:rsidRPr="00AE6573">
        <w:rPr>
          <w:rFonts w:ascii="Times New Roman" w:hAnsi="Times New Roman" w:cs="Times New Roman"/>
          <w:color w:val="000000"/>
        </w:rPr>
        <w:tab/>
      </w:r>
      <w:r w:rsidR="00AE6573">
        <w:rPr>
          <w:rFonts w:ascii="Times New Roman" w:hAnsi="Times New Roman" w:cs="Times New Roman"/>
          <w:color w:val="000000"/>
        </w:rPr>
        <w:tab/>
      </w:r>
      <w:r w:rsidRPr="00AE6573">
        <w:rPr>
          <w:rFonts w:ascii="Times New Roman" w:hAnsi="Times New Roman" w:cs="Times New Roman"/>
          <w:color w:val="000000"/>
        </w:rPr>
        <w:t>44</w:t>
      </w:r>
    </w:p>
    <w:p w:rsidR="003C6DF1" w:rsidRPr="00AE6573" w:rsidRDefault="003C6DF1" w:rsidP="0024733A">
      <w:pPr>
        <w:tabs>
          <w:tab w:val="left" w:pos="284"/>
          <w:tab w:val="left" w:pos="1418"/>
        </w:tabs>
        <w:spacing w:after="20" w:line="240" w:lineRule="auto"/>
        <w:jc w:val="both"/>
        <w:rPr>
          <w:rFonts w:ascii="Times New Roman" w:hAnsi="Times New Roman" w:cs="Times New Roman"/>
        </w:rPr>
      </w:pPr>
      <w:r w:rsidRPr="00AE6573">
        <w:rPr>
          <w:rFonts w:ascii="Times New Roman" w:hAnsi="Times New Roman" w:cs="Times New Roman"/>
        </w:rPr>
        <w:tab/>
        <w:t>1.8.5.1</w:t>
      </w:r>
      <w:r w:rsidRPr="00AE6573">
        <w:rPr>
          <w:rFonts w:ascii="Times New Roman" w:hAnsi="Times New Roman" w:cs="Times New Roman"/>
        </w:rPr>
        <w:tab/>
        <w:t>Architecture of the new cell wall hemisphere</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44</w:t>
      </w:r>
    </w:p>
    <w:p w:rsidR="003C6DF1" w:rsidRPr="00AE6573" w:rsidRDefault="003C6DF1" w:rsidP="0024733A">
      <w:pPr>
        <w:tabs>
          <w:tab w:val="left" w:pos="284"/>
          <w:tab w:val="left" w:pos="1418"/>
        </w:tabs>
        <w:spacing w:after="20" w:line="240" w:lineRule="auto"/>
        <w:jc w:val="both"/>
        <w:rPr>
          <w:rFonts w:ascii="Times New Roman" w:hAnsi="Times New Roman" w:cs="Times New Roman"/>
        </w:rPr>
      </w:pPr>
      <w:r w:rsidRPr="00AE6573">
        <w:rPr>
          <w:rFonts w:ascii="Times New Roman" w:hAnsi="Times New Roman" w:cs="Times New Roman"/>
        </w:rPr>
        <w:tab/>
        <w:t>1.8.5.2</w:t>
      </w:r>
      <w:r w:rsidRPr="00AE6573">
        <w:rPr>
          <w:rFonts w:ascii="Times New Roman" w:hAnsi="Times New Roman" w:cs="Times New Roman"/>
        </w:rPr>
        <w:tab/>
        <w:t>Architecture of the old cell wall hemisphere</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47</w:t>
      </w:r>
    </w:p>
    <w:p w:rsidR="003C6DF1" w:rsidRPr="00AE6573" w:rsidRDefault="003C6DF1" w:rsidP="0024733A">
      <w:pPr>
        <w:tabs>
          <w:tab w:val="left" w:pos="142"/>
          <w:tab w:val="left" w:pos="1418"/>
        </w:tabs>
        <w:spacing w:after="20" w:line="240" w:lineRule="auto"/>
        <w:jc w:val="both"/>
        <w:rPr>
          <w:rFonts w:ascii="Times New Roman" w:hAnsi="Times New Roman" w:cs="Times New Roman"/>
        </w:rPr>
      </w:pPr>
      <w:r w:rsidRPr="00AE6573">
        <w:rPr>
          <w:rFonts w:ascii="Times New Roman" w:hAnsi="Times New Roman" w:cs="Times New Roman"/>
        </w:rPr>
        <w:tab/>
        <w:t>1.8.6</w:t>
      </w:r>
      <w:r w:rsidRPr="00AE6573">
        <w:rPr>
          <w:rFonts w:ascii="Times New Roman" w:hAnsi="Times New Roman" w:cs="Times New Roman"/>
        </w:rPr>
        <w:tab/>
        <w:t>Peptidoglycan architecture in ovoc</w:t>
      </w:r>
      <w:r w:rsidR="0024733A">
        <w:rPr>
          <w:rFonts w:ascii="Times New Roman" w:hAnsi="Times New Roman" w:cs="Times New Roman"/>
        </w:rPr>
        <w:t>oc</w:t>
      </w:r>
      <w:r w:rsidRPr="00AE6573">
        <w:rPr>
          <w:rFonts w:ascii="Times New Roman" w:hAnsi="Times New Roman" w:cs="Times New Roman"/>
        </w:rPr>
        <w:t>ci</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47</w:t>
      </w:r>
    </w:p>
    <w:p w:rsidR="003C6DF1" w:rsidRPr="00AE6573" w:rsidRDefault="003C6DF1" w:rsidP="0024733A">
      <w:pPr>
        <w:tabs>
          <w:tab w:val="left" w:pos="1418"/>
        </w:tabs>
        <w:autoSpaceDE w:val="0"/>
        <w:autoSpaceDN w:val="0"/>
        <w:adjustRightInd w:val="0"/>
        <w:spacing w:after="20" w:line="240" w:lineRule="auto"/>
        <w:jc w:val="both"/>
        <w:rPr>
          <w:rFonts w:ascii="Times New Roman" w:hAnsi="Times New Roman" w:cs="Times New Roman"/>
          <w:b/>
        </w:rPr>
      </w:pPr>
      <w:r w:rsidRPr="00AE6573">
        <w:rPr>
          <w:rFonts w:ascii="Times New Roman" w:hAnsi="Times New Roman" w:cs="Times New Roman"/>
          <w:b/>
        </w:rPr>
        <w:t>1.9</w:t>
      </w:r>
      <w:r w:rsidRPr="00AE6573">
        <w:rPr>
          <w:rFonts w:ascii="Times New Roman" w:hAnsi="Times New Roman" w:cs="Times New Roman"/>
          <w:b/>
        </w:rPr>
        <w:tab/>
        <w:t>Project aims</w:t>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t>51</w:t>
      </w:r>
    </w:p>
    <w:p w:rsidR="003C6DF1" w:rsidRDefault="003C6DF1" w:rsidP="0024733A">
      <w:pPr>
        <w:autoSpaceDE w:val="0"/>
        <w:autoSpaceDN w:val="0"/>
        <w:adjustRightInd w:val="0"/>
        <w:spacing w:after="20" w:line="240" w:lineRule="auto"/>
        <w:jc w:val="both"/>
        <w:rPr>
          <w:rFonts w:ascii="Times New Roman" w:hAnsi="Times New Roman" w:cs="Times New Roman"/>
        </w:rPr>
      </w:pPr>
    </w:p>
    <w:p w:rsidR="0024733A" w:rsidRPr="00AE6573" w:rsidRDefault="0024733A" w:rsidP="0024733A">
      <w:pPr>
        <w:autoSpaceDE w:val="0"/>
        <w:autoSpaceDN w:val="0"/>
        <w:adjustRightInd w:val="0"/>
        <w:spacing w:after="20" w:line="240" w:lineRule="auto"/>
        <w:jc w:val="both"/>
        <w:rPr>
          <w:rFonts w:ascii="Times New Roman" w:hAnsi="Times New Roman" w:cs="Times New Roman"/>
        </w:rPr>
      </w:pPr>
    </w:p>
    <w:p w:rsidR="003C6DF1" w:rsidRPr="00AE6573" w:rsidRDefault="003C6DF1" w:rsidP="0024733A">
      <w:pPr>
        <w:spacing w:after="20" w:line="240" w:lineRule="auto"/>
        <w:rPr>
          <w:rFonts w:ascii="Times New Roman" w:hAnsi="Times New Roman" w:cs="Times New Roman"/>
          <w:b/>
        </w:rPr>
      </w:pPr>
      <w:r w:rsidRPr="00AE6573">
        <w:rPr>
          <w:rFonts w:ascii="Times New Roman" w:hAnsi="Times New Roman" w:cs="Times New Roman"/>
          <w:b/>
        </w:rPr>
        <w:t>Chapt</w:t>
      </w:r>
      <w:r w:rsidR="00733EBA" w:rsidRPr="00AE6573">
        <w:rPr>
          <w:rFonts w:ascii="Times New Roman" w:hAnsi="Times New Roman" w:cs="Times New Roman"/>
          <w:b/>
        </w:rPr>
        <w:t>er 2</w:t>
      </w:r>
      <w:r w:rsidR="00733EBA" w:rsidRPr="00AE6573">
        <w:rPr>
          <w:rFonts w:ascii="Times New Roman" w:hAnsi="Times New Roman" w:cs="Times New Roman"/>
          <w:b/>
        </w:rPr>
        <w:tab/>
        <w:t>Materials and Methods</w:t>
      </w:r>
      <w:r w:rsidR="00733EBA" w:rsidRPr="00AE6573">
        <w:rPr>
          <w:rFonts w:ascii="Times New Roman" w:hAnsi="Times New Roman" w:cs="Times New Roman"/>
          <w:b/>
        </w:rPr>
        <w:tab/>
      </w:r>
      <w:r w:rsidR="00733EBA" w:rsidRPr="00AE6573">
        <w:rPr>
          <w:rFonts w:ascii="Times New Roman" w:hAnsi="Times New Roman" w:cs="Times New Roman"/>
          <w:b/>
        </w:rPr>
        <w:tab/>
      </w:r>
      <w:r w:rsidR="00733EBA" w:rsidRPr="00AE6573">
        <w:rPr>
          <w:rFonts w:ascii="Times New Roman" w:hAnsi="Times New Roman" w:cs="Times New Roman"/>
          <w:b/>
        </w:rPr>
        <w:tab/>
      </w:r>
      <w:r w:rsidR="00733EBA" w:rsidRPr="00AE6573">
        <w:rPr>
          <w:rFonts w:ascii="Times New Roman" w:hAnsi="Times New Roman" w:cs="Times New Roman"/>
          <w:b/>
        </w:rPr>
        <w:tab/>
      </w:r>
      <w:r w:rsidR="00733EBA" w:rsidRPr="00AE6573">
        <w:rPr>
          <w:rFonts w:ascii="Times New Roman" w:hAnsi="Times New Roman" w:cs="Times New Roman"/>
          <w:b/>
        </w:rPr>
        <w:tab/>
      </w:r>
      <w:r w:rsidRPr="00AE6573">
        <w:rPr>
          <w:rFonts w:ascii="Times New Roman" w:hAnsi="Times New Roman" w:cs="Times New Roman"/>
          <w:b/>
        </w:rPr>
        <w:t>52</w:t>
      </w:r>
      <w:r w:rsidR="00733EBA" w:rsidRPr="00AE6573">
        <w:rPr>
          <w:rFonts w:ascii="Times New Roman" w:hAnsi="Times New Roman" w:cs="Times New Roman"/>
          <w:b/>
        </w:rPr>
        <w:t>-103</w:t>
      </w:r>
    </w:p>
    <w:p w:rsidR="003C6DF1" w:rsidRPr="00AE6573" w:rsidRDefault="003C6DF1" w:rsidP="0024733A">
      <w:pPr>
        <w:spacing w:after="20" w:line="240" w:lineRule="auto"/>
        <w:jc w:val="center"/>
        <w:rPr>
          <w:rFonts w:ascii="Times New Roman" w:hAnsi="Times New Roman" w:cs="Times New Roman"/>
        </w:rPr>
      </w:pPr>
    </w:p>
    <w:p w:rsidR="003C6DF1" w:rsidRPr="00AE6573" w:rsidRDefault="003C6DF1" w:rsidP="0024733A">
      <w:pPr>
        <w:spacing w:after="20" w:line="240" w:lineRule="auto"/>
        <w:jc w:val="both"/>
        <w:rPr>
          <w:rFonts w:ascii="Times New Roman" w:hAnsi="Times New Roman" w:cs="Times New Roman"/>
          <w:b/>
        </w:rPr>
      </w:pPr>
      <w:r w:rsidRPr="00AE6573">
        <w:rPr>
          <w:rFonts w:ascii="Times New Roman" w:hAnsi="Times New Roman" w:cs="Times New Roman"/>
          <w:b/>
        </w:rPr>
        <w:t>2.1</w:t>
      </w:r>
      <w:r w:rsidRPr="00AE6573">
        <w:rPr>
          <w:rFonts w:ascii="Times New Roman" w:hAnsi="Times New Roman" w:cs="Times New Roman"/>
          <w:b/>
        </w:rPr>
        <w:tab/>
      </w:r>
      <w:r w:rsidRPr="00AE6573">
        <w:rPr>
          <w:rFonts w:ascii="Times New Roman" w:hAnsi="Times New Roman" w:cs="Times New Roman"/>
          <w:b/>
        </w:rPr>
        <w:tab/>
        <w:t>Growth media</w:t>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t>52</w:t>
      </w:r>
    </w:p>
    <w:p w:rsidR="003C6DF1" w:rsidRPr="00AE6573" w:rsidRDefault="003C6DF1" w:rsidP="0024733A">
      <w:pPr>
        <w:tabs>
          <w:tab w:val="left" w:pos="142"/>
          <w:tab w:val="left" w:pos="720"/>
          <w:tab w:val="left" w:pos="1440"/>
          <w:tab w:val="left" w:pos="2160"/>
          <w:tab w:val="left" w:pos="2880"/>
          <w:tab w:val="left" w:pos="3600"/>
          <w:tab w:val="left" w:pos="6845"/>
        </w:tabs>
        <w:spacing w:after="20" w:line="240" w:lineRule="auto"/>
        <w:jc w:val="both"/>
        <w:rPr>
          <w:rFonts w:ascii="Times New Roman" w:hAnsi="Times New Roman" w:cs="Times New Roman"/>
        </w:rPr>
      </w:pPr>
      <w:r w:rsidRPr="00AE6573">
        <w:rPr>
          <w:rFonts w:ascii="Times New Roman" w:hAnsi="Times New Roman" w:cs="Times New Roman"/>
        </w:rPr>
        <w:tab/>
        <w:t>2.1.1</w:t>
      </w:r>
      <w:r w:rsidRPr="00AE6573">
        <w:rPr>
          <w:rFonts w:ascii="Times New Roman" w:hAnsi="Times New Roman" w:cs="Times New Roman"/>
        </w:rPr>
        <w:tab/>
      </w:r>
      <w:r w:rsidRPr="00AE6573">
        <w:rPr>
          <w:rFonts w:ascii="Times New Roman" w:hAnsi="Times New Roman" w:cs="Times New Roman"/>
        </w:rPr>
        <w:tab/>
        <w:t>Tryptone soy broth (TSB)</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52</w:t>
      </w:r>
    </w:p>
    <w:p w:rsidR="003C6DF1" w:rsidRPr="00AE6573" w:rsidRDefault="003C6DF1" w:rsidP="0024733A">
      <w:pPr>
        <w:tabs>
          <w:tab w:val="left" w:pos="142"/>
        </w:tabs>
        <w:spacing w:after="20" w:line="240" w:lineRule="auto"/>
        <w:jc w:val="both"/>
        <w:rPr>
          <w:rFonts w:ascii="Times New Roman" w:hAnsi="Times New Roman" w:cs="Times New Roman"/>
        </w:rPr>
      </w:pPr>
      <w:r w:rsidRPr="00AE6573">
        <w:rPr>
          <w:rFonts w:ascii="Times New Roman" w:hAnsi="Times New Roman" w:cs="Times New Roman"/>
        </w:rPr>
        <w:tab/>
        <w:t>2.1.2</w:t>
      </w:r>
      <w:r w:rsidRPr="00AE6573">
        <w:rPr>
          <w:rFonts w:ascii="Times New Roman" w:hAnsi="Times New Roman" w:cs="Times New Roman"/>
        </w:rPr>
        <w:tab/>
      </w:r>
      <w:r w:rsidRPr="00AE6573">
        <w:rPr>
          <w:rFonts w:ascii="Times New Roman" w:hAnsi="Times New Roman" w:cs="Times New Roman"/>
        </w:rPr>
        <w:tab/>
        <w:t>Todd Hewitt broth supplemented with yeast extract (THY)</w:t>
      </w:r>
      <w:r w:rsidRPr="00AE6573">
        <w:rPr>
          <w:rFonts w:ascii="Times New Roman" w:hAnsi="Times New Roman" w:cs="Times New Roman"/>
        </w:rPr>
        <w:tab/>
      </w:r>
      <w:r w:rsidRPr="00AE6573">
        <w:rPr>
          <w:rFonts w:ascii="Times New Roman" w:hAnsi="Times New Roman" w:cs="Times New Roman"/>
        </w:rPr>
        <w:tab/>
        <w:t>52</w:t>
      </w:r>
    </w:p>
    <w:p w:rsidR="003C6DF1" w:rsidRPr="00AE6573" w:rsidRDefault="003C6DF1" w:rsidP="0024733A">
      <w:pPr>
        <w:tabs>
          <w:tab w:val="left" w:pos="142"/>
        </w:tabs>
        <w:spacing w:after="20" w:line="240" w:lineRule="auto"/>
        <w:jc w:val="both"/>
        <w:rPr>
          <w:rFonts w:ascii="Times New Roman" w:hAnsi="Times New Roman" w:cs="Times New Roman"/>
        </w:rPr>
      </w:pPr>
      <w:r w:rsidRPr="00AE6573">
        <w:rPr>
          <w:rFonts w:ascii="Times New Roman" w:hAnsi="Times New Roman" w:cs="Times New Roman"/>
        </w:rPr>
        <w:tab/>
        <w:t>2.1.3</w:t>
      </w:r>
      <w:r w:rsidRPr="00AE6573">
        <w:rPr>
          <w:rFonts w:ascii="Times New Roman" w:hAnsi="Times New Roman" w:cs="Times New Roman"/>
        </w:rPr>
        <w:tab/>
      </w:r>
      <w:r w:rsidRPr="00AE6573">
        <w:rPr>
          <w:rFonts w:ascii="Times New Roman" w:hAnsi="Times New Roman" w:cs="Times New Roman"/>
        </w:rPr>
        <w:tab/>
        <w:t>THY blood agar</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52</w:t>
      </w:r>
    </w:p>
    <w:p w:rsidR="003C6DF1" w:rsidRPr="00AE6573" w:rsidRDefault="003C6DF1" w:rsidP="0024733A">
      <w:pPr>
        <w:spacing w:after="20" w:line="240" w:lineRule="auto"/>
        <w:ind w:left="142"/>
        <w:jc w:val="both"/>
        <w:rPr>
          <w:rFonts w:ascii="Times New Roman" w:hAnsi="Times New Roman" w:cs="Times New Roman"/>
        </w:rPr>
      </w:pPr>
      <w:r w:rsidRPr="00AE6573">
        <w:rPr>
          <w:rFonts w:ascii="Times New Roman" w:hAnsi="Times New Roman" w:cs="Times New Roman"/>
        </w:rPr>
        <w:t>2.1.4</w:t>
      </w:r>
      <w:r w:rsidRPr="00AE6573">
        <w:rPr>
          <w:rFonts w:ascii="Times New Roman" w:hAnsi="Times New Roman" w:cs="Times New Roman"/>
        </w:rPr>
        <w:tab/>
      </w:r>
      <w:r w:rsidRPr="00AE6573">
        <w:rPr>
          <w:rFonts w:ascii="Times New Roman" w:hAnsi="Times New Roman" w:cs="Times New Roman"/>
        </w:rPr>
        <w:tab/>
        <w:t>Brain Heart Infusion (BHI)</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53</w:t>
      </w:r>
    </w:p>
    <w:p w:rsidR="003C6DF1" w:rsidRPr="00AE6573" w:rsidRDefault="003C6DF1" w:rsidP="0024733A">
      <w:pPr>
        <w:spacing w:after="20" w:line="240" w:lineRule="auto"/>
        <w:ind w:left="142"/>
        <w:jc w:val="both"/>
        <w:rPr>
          <w:rFonts w:ascii="Times New Roman" w:hAnsi="Times New Roman" w:cs="Times New Roman"/>
        </w:rPr>
      </w:pPr>
      <w:r w:rsidRPr="00AE6573">
        <w:rPr>
          <w:rFonts w:ascii="Times New Roman" w:hAnsi="Times New Roman" w:cs="Times New Roman"/>
        </w:rPr>
        <w:t>2.1.5</w:t>
      </w:r>
      <w:r w:rsidRPr="00AE6573">
        <w:rPr>
          <w:rFonts w:ascii="Times New Roman" w:hAnsi="Times New Roman" w:cs="Times New Roman"/>
        </w:rPr>
        <w:tab/>
      </w:r>
      <w:r w:rsidRPr="00AE6573">
        <w:rPr>
          <w:rFonts w:ascii="Times New Roman" w:hAnsi="Times New Roman" w:cs="Times New Roman"/>
        </w:rPr>
        <w:tab/>
        <w:t>Luria-Bertani (LB)</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53</w:t>
      </w:r>
    </w:p>
    <w:p w:rsidR="003C6DF1" w:rsidRPr="00AE6573" w:rsidRDefault="003C6DF1" w:rsidP="0024733A">
      <w:pPr>
        <w:spacing w:after="20" w:line="240" w:lineRule="auto"/>
        <w:ind w:left="142"/>
        <w:jc w:val="both"/>
        <w:rPr>
          <w:rFonts w:ascii="Times New Roman" w:hAnsi="Times New Roman" w:cs="Times New Roman"/>
        </w:rPr>
      </w:pPr>
      <w:r w:rsidRPr="00AE6573">
        <w:rPr>
          <w:rFonts w:ascii="Times New Roman" w:hAnsi="Times New Roman" w:cs="Times New Roman"/>
        </w:rPr>
        <w:t>2.1.6</w:t>
      </w:r>
      <w:r w:rsidRPr="00AE6573">
        <w:rPr>
          <w:rFonts w:ascii="Times New Roman" w:hAnsi="Times New Roman" w:cs="Times New Roman"/>
        </w:rPr>
        <w:tab/>
      </w:r>
      <w:r w:rsidRPr="00AE6573">
        <w:rPr>
          <w:rFonts w:ascii="Times New Roman" w:hAnsi="Times New Roman" w:cs="Times New Roman"/>
        </w:rPr>
        <w:tab/>
        <w:t>LK</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53</w:t>
      </w:r>
    </w:p>
    <w:p w:rsidR="003C6DF1" w:rsidRPr="00AE6573" w:rsidRDefault="003C6DF1" w:rsidP="0024733A">
      <w:pPr>
        <w:spacing w:after="20" w:line="240" w:lineRule="auto"/>
        <w:ind w:left="142"/>
        <w:jc w:val="both"/>
        <w:rPr>
          <w:rFonts w:ascii="Times New Roman" w:hAnsi="Times New Roman" w:cs="Times New Roman"/>
        </w:rPr>
      </w:pPr>
      <w:r w:rsidRPr="00AE6573">
        <w:rPr>
          <w:rFonts w:ascii="Times New Roman" w:hAnsi="Times New Roman" w:cs="Times New Roman"/>
        </w:rPr>
        <w:t>2.1.7</w:t>
      </w:r>
      <w:r w:rsidRPr="00AE6573">
        <w:rPr>
          <w:rFonts w:ascii="Times New Roman" w:hAnsi="Times New Roman" w:cs="Times New Roman"/>
        </w:rPr>
        <w:tab/>
      </w:r>
      <w:r w:rsidRPr="00AE6573">
        <w:rPr>
          <w:rFonts w:ascii="Times New Roman" w:hAnsi="Times New Roman" w:cs="Times New Roman"/>
        </w:rPr>
        <w:tab/>
        <w:t>M17</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53</w:t>
      </w:r>
    </w:p>
    <w:p w:rsidR="003C6DF1" w:rsidRPr="00AE6573" w:rsidRDefault="003C6DF1" w:rsidP="0024733A">
      <w:pPr>
        <w:spacing w:after="20" w:line="240" w:lineRule="auto"/>
        <w:ind w:left="142"/>
        <w:jc w:val="both"/>
        <w:rPr>
          <w:rFonts w:ascii="Times New Roman" w:hAnsi="Times New Roman" w:cs="Times New Roman"/>
        </w:rPr>
      </w:pPr>
      <w:r w:rsidRPr="00AE6573">
        <w:rPr>
          <w:rFonts w:ascii="Times New Roman" w:hAnsi="Times New Roman" w:cs="Times New Roman"/>
        </w:rPr>
        <w:t>2.1.8</w:t>
      </w:r>
      <w:r w:rsidRPr="00AE6573">
        <w:rPr>
          <w:rFonts w:ascii="Times New Roman" w:hAnsi="Times New Roman" w:cs="Times New Roman"/>
        </w:rPr>
        <w:tab/>
      </w:r>
      <w:r w:rsidRPr="00AE6573">
        <w:rPr>
          <w:rFonts w:ascii="Times New Roman" w:hAnsi="Times New Roman" w:cs="Times New Roman"/>
        </w:rPr>
        <w:tab/>
        <w:t>Nutrient broth (NB)</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54</w:t>
      </w:r>
    </w:p>
    <w:p w:rsidR="003C6DF1" w:rsidRPr="00AE6573" w:rsidRDefault="003C6DF1" w:rsidP="0024733A">
      <w:pPr>
        <w:spacing w:after="20" w:line="240" w:lineRule="auto"/>
        <w:ind w:left="142"/>
        <w:jc w:val="both"/>
        <w:rPr>
          <w:rFonts w:ascii="Times New Roman" w:hAnsi="Times New Roman" w:cs="Times New Roman"/>
        </w:rPr>
      </w:pPr>
      <w:r w:rsidRPr="00AE6573">
        <w:rPr>
          <w:rFonts w:ascii="Times New Roman" w:hAnsi="Times New Roman" w:cs="Times New Roman"/>
        </w:rPr>
        <w:t>2.1.9</w:t>
      </w:r>
      <w:r w:rsidRPr="00AE6573">
        <w:rPr>
          <w:rFonts w:ascii="Times New Roman" w:hAnsi="Times New Roman" w:cs="Times New Roman"/>
        </w:rPr>
        <w:tab/>
      </w:r>
      <w:r w:rsidRPr="00AE6573">
        <w:rPr>
          <w:rFonts w:ascii="Times New Roman" w:hAnsi="Times New Roman" w:cs="Times New Roman"/>
        </w:rPr>
        <w:tab/>
        <w:t>Nutrient agar (NA)</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54</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2.1.10</w:t>
      </w:r>
      <w:r w:rsidRPr="00AE6573">
        <w:rPr>
          <w:rFonts w:ascii="Times New Roman" w:hAnsi="Times New Roman" w:cs="Times New Roman"/>
        </w:rPr>
        <w:tab/>
      </w:r>
      <w:r w:rsidR="00AE6573">
        <w:rPr>
          <w:rFonts w:ascii="Times New Roman" w:hAnsi="Times New Roman" w:cs="Times New Roman"/>
        </w:rPr>
        <w:tab/>
      </w:r>
      <w:r w:rsidRPr="00AE6573">
        <w:rPr>
          <w:rFonts w:ascii="Times New Roman" w:hAnsi="Times New Roman" w:cs="Times New Roman"/>
        </w:rPr>
        <w:t>Phage agar</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54</w:t>
      </w:r>
    </w:p>
    <w:p w:rsidR="003C6DF1" w:rsidRPr="00AE6573" w:rsidRDefault="00B20A2E"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w:t>
      </w:r>
      <w:r w:rsidR="003C6DF1" w:rsidRPr="00AE6573">
        <w:rPr>
          <w:rFonts w:ascii="Times New Roman" w:hAnsi="Times New Roman" w:cs="Times New Roman"/>
        </w:rPr>
        <w:t>.1.11</w:t>
      </w:r>
      <w:r w:rsidR="003C6DF1" w:rsidRPr="00AE6573">
        <w:rPr>
          <w:rFonts w:ascii="Times New Roman" w:hAnsi="Times New Roman" w:cs="Times New Roman"/>
        </w:rPr>
        <w:tab/>
      </w:r>
      <w:r w:rsidR="00AE6573">
        <w:rPr>
          <w:rFonts w:ascii="Times New Roman" w:hAnsi="Times New Roman" w:cs="Times New Roman"/>
        </w:rPr>
        <w:tab/>
      </w:r>
      <w:r w:rsidR="003C6DF1" w:rsidRPr="00AE6573">
        <w:rPr>
          <w:rFonts w:ascii="Times New Roman" w:hAnsi="Times New Roman" w:cs="Times New Roman"/>
        </w:rPr>
        <w:t>Hydrolysis assay plates</w:t>
      </w:r>
      <w:r w:rsidR="003C6DF1" w:rsidRPr="00AE6573">
        <w:rPr>
          <w:rFonts w:ascii="Times New Roman" w:hAnsi="Times New Roman" w:cs="Times New Roman"/>
        </w:rPr>
        <w:tab/>
      </w:r>
      <w:r w:rsidR="003C6DF1" w:rsidRPr="00AE6573">
        <w:rPr>
          <w:rFonts w:ascii="Times New Roman" w:hAnsi="Times New Roman" w:cs="Times New Roman"/>
        </w:rPr>
        <w:tab/>
      </w:r>
      <w:r w:rsidR="003C6DF1" w:rsidRPr="00AE6573">
        <w:rPr>
          <w:rFonts w:ascii="Times New Roman" w:hAnsi="Times New Roman" w:cs="Times New Roman"/>
        </w:rPr>
        <w:tab/>
      </w:r>
      <w:r w:rsidR="003C6DF1" w:rsidRPr="00AE6573">
        <w:rPr>
          <w:rFonts w:ascii="Times New Roman" w:hAnsi="Times New Roman" w:cs="Times New Roman"/>
        </w:rPr>
        <w:tab/>
      </w:r>
      <w:r w:rsidR="003C6DF1" w:rsidRPr="00AE6573">
        <w:rPr>
          <w:rFonts w:ascii="Times New Roman" w:hAnsi="Times New Roman" w:cs="Times New Roman"/>
        </w:rPr>
        <w:tab/>
      </w:r>
      <w:r w:rsidR="00AE6573">
        <w:rPr>
          <w:rFonts w:ascii="Times New Roman" w:hAnsi="Times New Roman" w:cs="Times New Roman"/>
        </w:rPr>
        <w:tab/>
      </w:r>
      <w:r w:rsidR="003C6DF1" w:rsidRPr="00AE6573">
        <w:rPr>
          <w:rFonts w:ascii="Times New Roman" w:hAnsi="Times New Roman" w:cs="Times New Roman"/>
        </w:rPr>
        <w:tab/>
        <w:t>54</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2.1.12</w:t>
      </w:r>
      <w:r w:rsidRPr="00AE6573">
        <w:rPr>
          <w:rFonts w:ascii="Times New Roman" w:hAnsi="Times New Roman" w:cs="Times New Roman"/>
        </w:rPr>
        <w:tab/>
      </w:r>
      <w:r w:rsidR="00AE6573">
        <w:rPr>
          <w:rFonts w:ascii="Times New Roman" w:hAnsi="Times New Roman" w:cs="Times New Roman"/>
        </w:rPr>
        <w:tab/>
      </w:r>
      <w:r w:rsidRPr="00AE6573">
        <w:rPr>
          <w:rFonts w:ascii="Times New Roman" w:hAnsi="Times New Roman" w:cs="Times New Roman"/>
        </w:rPr>
        <w:t>Blue-white colony selection on X-gal plates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55</w:t>
      </w:r>
    </w:p>
    <w:p w:rsidR="003C6DF1" w:rsidRPr="0024733A" w:rsidRDefault="003C6DF1" w:rsidP="0024733A">
      <w:pPr>
        <w:spacing w:after="20" w:line="240" w:lineRule="auto"/>
        <w:jc w:val="both"/>
        <w:rPr>
          <w:rFonts w:ascii="Times New Roman" w:hAnsi="Times New Roman" w:cs="Times New Roman"/>
          <w:b/>
        </w:rPr>
      </w:pPr>
      <w:r w:rsidRPr="0024733A">
        <w:rPr>
          <w:rFonts w:ascii="Times New Roman" w:hAnsi="Times New Roman" w:cs="Times New Roman"/>
          <w:b/>
        </w:rPr>
        <w:t>2.2</w:t>
      </w:r>
      <w:r w:rsidRPr="0024733A">
        <w:rPr>
          <w:rFonts w:ascii="Times New Roman" w:hAnsi="Times New Roman" w:cs="Times New Roman"/>
          <w:b/>
        </w:rPr>
        <w:tab/>
      </w:r>
      <w:r w:rsidRPr="0024733A">
        <w:rPr>
          <w:rFonts w:ascii="Times New Roman" w:hAnsi="Times New Roman" w:cs="Times New Roman"/>
          <w:b/>
        </w:rPr>
        <w:tab/>
        <w:t>Antibiotics</w:t>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t>55</w:t>
      </w:r>
    </w:p>
    <w:p w:rsidR="003C6DF1" w:rsidRPr="0024733A" w:rsidRDefault="003C6DF1" w:rsidP="0024733A">
      <w:pPr>
        <w:spacing w:after="20" w:line="240" w:lineRule="auto"/>
        <w:jc w:val="both"/>
        <w:rPr>
          <w:rFonts w:ascii="Times New Roman" w:hAnsi="Times New Roman" w:cs="Times New Roman"/>
          <w:b/>
        </w:rPr>
      </w:pPr>
      <w:r w:rsidRPr="0024733A">
        <w:rPr>
          <w:rFonts w:ascii="Times New Roman" w:hAnsi="Times New Roman" w:cs="Times New Roman"/>
          <w:b/>
        </w:rPr>
        <w:t xml:space="preserve">2.3 </w:t>
      </w:r>
      <w:r w:rsidRPr="0024733A">
        <w:rPr>
          <w:rFonts w:ascii="Times New Roman" w:hAnsi="Times New Roman" w:cs="Times New Roman"/>
          <w:b/>
        </w:rPr>
        <w:tab/>
      </w:r>
      <w:r w:rsidRPr="0024733A">
        <w:rPr>
          <w:rFonts w:ascii="Times New Roman" w:hAnsi="Times New Roman" w:cs="Times New Roman"/>
          <w:b/>
        </w:rPr>
        <w:tab/>
        <w:t>Buffers and stock solutions</w:t>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t>55</w:t>
      </w:r>
    </w:p>
    <w:p w:rsidR="003C6DF1" w:rsidRPr="00AE6573" w:rsidRDefault="003C6DF1" w:rsidP="0024733A">
      <w:pPr>
        <w:spacing w:after="20" w:line="240" w:lineRule="auto"/>
        <w:ind w:left="142"/>
        <w:jc w:val="both"/>
        <w:rPr>
          <w:rFonts w:ascii="Times New Roman" w:hAnsi="Times New Roman" w:cs="Times New Roman"/>
        </w:rPr>
      </w:pPr>
      <w:r w:rsidRPr="00AE6573">
        <w:rPr>
          <w:rFonts w:ascii="Times New Roman" w:hAnsi="Times New Roman" w:cs="Times New Roman"/>
        </w:rPr>
        <w:t>2.3.1</w:t>
      </w:r>
      <w:r w:rsidRPr="00AE6573">
        <w:rPr>
          <w:rFonts w:ascii="Times New Roman" w:hAnsi="Times New Roman" w:cs="Times New Roman"/>
        </w:rPr>
        <w:tab/>
      </w:r>
      <w:r w:rsidRPr="00AE6573">
        <w:rPr>
          <w:rFonts w:ascii="Times New Roman" w:hAnsi="Times New Roman" w:cs="Times New Roman"/>
        </w:rPr>
        <w:tab/>
        <w:t>Phosphate buffered saline (PBS)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55</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2.3.2</w:t>
      </w:r>
      <w:r w:rsidRPr="00AE6573">
        <w:rPr>
          <w:rFonts w:ascii="Times New Roman" w:hAnsi="Times New Roman" w:cs="Times New Roman"/>
        </w:rPr>
        <w:tab/>
      </w:r>
      <w:r w:rsidRPr="00AE6573">
        <w:rPr>
          <w:rFonts w:ascii="Times New Roman" w:hAnsi="Times New Roman" w:cs="Times New Roman"/>
        </w:rPr>
        <w:tab/>
        <w:t>Tris/Acetate/EDTA buffer (TAE) (50x)</w:t>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56</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2.3.3</w:t>
      </w:r>
      <w:r w:rsidRPr="00AE6573">
        <w:rPr>
          <w:rFonts w:ascii="Times New Roman" w:hAnsi="Times New Roman" w:cs="Times New Roman"/>
        </w:rPr>
        <w:tab/>
      </w:r>
      <w:r w:rsidRPr="00AE6573">
        <w:rPr>
          <w:rFonts w:ascii="Times New Roman" w:hAnsi="Times New Roman" w:cs="Times New Roman"/>
        </w:rPr>
        <w:tab/>
        <w:t>Tris/EDTA/NaCl buffer (TES)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56</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2.3.4</w:t>
      </w:r>
      <w:r w:rsidRPr="00AE6573">
        <w:rPr>
          <w:rFonts w:ascii="Times New Roman" w:hAnsi="Times New Roman" w:cs="Times New Roman"/>
        </w:rPr>
        <w:tab/>
      </w:r>
      <w:r w:rsidRPr="00AE6573">
        <w:rPr>
          <w:rFonts w:ascii="Times New Roman" w:hAnsi="Times New Roman" w:cs="Times New Roman"/>
        </w:rPr>
        <w:tab/>
        <w:t>Boric acid buffer</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56</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2.3.5</w:t>
      </w:r>
      <w:r w:rsidRPr="00AE6573">
        <w:rPr>
          <w:rFonts w:ascii="Times New Roman" w:hAnsi="Times New Roman" w:cs="Times New Roman"/>
        </w:rPr>
        <w:tab/>
      </w:r>
      <w:r w:rsidRPr="00AE6573">
        <w:rPr>
          <w:rFonts w:ascii="Times New Roman" w:hAnsi="Times New Roman" w:cs="Times New Roman"/>
        </w:rPr>
        <w:tab/>
        <w:t>Phage buffer</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58</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2.3.6</w:t>
      </w:r>
      <w:r w:rsidRPr="00AE6573">
        <w:rPr>
          <w:rFonts w:ascii="Times New Roman" w:hAnsi="Times New Roman" w:cs="Times New Roman"/>
        </w:rPr>
        <w:tab/>
      </w:r>
      <w:r w:rsidRPr="00AE6573">
        <w:rPr>
          <w:rFonts w:ascii="Times New Roman" w:hAnsi="Times New Roman" w:cs="Times New Roman"/>
        </w:rPr>
        <w:tab/>
        <w:t>SDS-PAGE solutions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58</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2.3.6.1</w:t>
      </w:r>
      <w:r w:rsidRPr="00AE6573">
        <w:rPr>
          <w:rFonts w:ascii="Times New Roman" w:hAnsi="Times New Roman" w:cs="Times New Roman"/>
        </w:rPr>
        <w:tab/>
        <w:t>SDS-PAGE reservoir buffer (10x)</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58</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2.3.6.2</w:t>
      </w:r>
      <w:r w:rsidRPr="00AE6573">
        <w:rPr>
          <w:rFonts w:ascii="Times New Roman" w:hAnsi="Times New Roman" w:cs="Times New Roman"/>
        </w:rPr>
        <w:tab/>
        <w:t>Laemmli SDS-PAGE sample buffer (2x)</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t>58</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2.3.6.3</w:t>
      </w:r>
      <w:r w:rsidRPr="00AE6573">
        <w:rPr>
          <w:rFonts w:ascii="Times New Roman" w:hAnsi="Times New Roman" w:cs="Times New Roman"/>
        </w:rPr>
        <w:tab/>
        <w:t>Coomassie blue staining solution</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59</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2.3.6.4</w:t>
      </w:r>
      <w:r w:rsidRPr="00AE6573">
        <w:rPr>
          <w:rFonts w:ascii="Times New Roman" w:hAnsi="Times New Roman" w:cs="Times New Roman"/>
        </w:rPr>
        <w:tab/>
        <w:t>Destain solution</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t>59</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2.3.6.5</w:t>
      </w:r>
      <w:r w:rsidRPr="00AE6573">
        <w:rPr>
          <w:rFonts w:ascii="Times New Roman" w:hAnsi="Times New Roman" w:cs="Times New Roman"/>
        </w:rPr>
        <w:tab/>
        <w:t>Renaturing solution</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59</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2.3.6.6</w:t>
      </w:r>
      <w:r w:rsidRPr="00AE6573">
        <w:rPr>
          <w:rFonts w:ascii="Times New Roman" w:hAnsi="Times New Roman" w:cs="Times New Roman"/>
        </w:rPr>
        <w:tab/>
        <w:t>10x SDS-PAGE reservoir buffer</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59</w:t>
      </w:r>
    </w:p>
    <w:p w:rsidR="003C6DF1" w:rsidRPr="00AE6573" w:rsidRDefault="003C6DF1" w:rsidP="0024733A">
      <w:pPr>
        <w:tabs>
          <w:tab w:val="left" w:pos="720"/>
          <w:tab w:val="left" w:pos="1440"/>
          <w:tab w:val="left" w:pos="2160"/>
          <w:tab w:val="left" w:pos="2880"/>
          <w:tab w:val="left" w:pos="3600"/>
          <w:tab w:val="left" w:pos="4320"/>
          <w:tab w:val="left" w:pos="5040"/>
          <w:tab w:val="left" w:pos="6415"/>
        </w:tabs>
        <w:spacing w:after="20" w:line="240" w:lineRule="auto"/>
        <w:ind w:firstLine="142"/>
        <w:jc w:val="both"/>
        <w:rPr>
          <w:rFonts w:ascii="Times New Roman" w:hAnsi="Times New Roman" w:cs="Times New Roman"/>
        </w:rPr>
      </w:pPr>
      <w:r w:rsidRPr="00AE6573">
        <w:rPr>
          <w:rFonts w:ascii="Times New Roman" w:hAnsi="Times New Roman" w:cs="Times New Roman"/>
        </w:rPr>
        <w:t>2.3.7</w:t>
      </w:r>
      <w:r w:rsidRPr="00AE6573">
        <w:rPr>
          <w:rFonts w:ascii="Times New Roman" w:hAnsi="Times New Roman" w:cs="Times New Roman"/>
        </w:rPr>
        <w:tab/>
      </w:r>
      <w:r w:rsidRPr="00AE6573">
        <w:rPr>
          <w:rFonts w:ascii="Times New Roman" w:hAnsi="Times New Roman" w:cs="Times New Roman"/>
        </w:rPr>
        <w:tab/>
        <w:t>HiTrap protein purification buffers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60</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2.3.7.1</w:t>
      </w:r>
      <w:r w:rsidRPr="00AE6573">
        <w:rPr>
          <w:rFonts w:ascii="Times New Roman" w:hAnsi="Times New Roman" w:cs="Times New Roman"/>
        </w:rPr>
        <w:tab/>
        <w:t>0.1M Sodium phosphate buffer (pH 7.2)</w:t>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60</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2.3.7.2</w:t>
      </w:r>
      <w:r w:rsidRPr="00AE6573">
        <w:rPr>
          <w:rFonts w:ascii="Times New Roman" w:hAnsi="Times New Roman" w:cs="Times New Roman"/>
        </w:rPr>
        <w:tab/>
        <w:t>START buffer</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60</w:t>
      </w:r>
    </w:p>
    <w:p w:rsidR="003C6DF1" w:rsidRPr="00AE6573" w:rsidRDefault="003C6DF1" w:rsidP="0024733A">
      <w:pPr>
        <w:spacing w:after="20" w:line="240" w:lineRule="auto"/>
        <w:ind w:firstLine="284"/>
        <w:rPr>
          <w:rFonts w:ascii="Times New Roman" w:hAnsi="Times New Roman" w:cs="Times New Roman"/>
        </w:rPr>
      </w:pPr>
      <w:r w:rsidRPr="00AE6573">
        <w:rPr>
          <w:rFonts w:ascii="Times New Roman" w:hAnsi="Times New Roman" w:cs="Times New Roman"/>
        </w:rPr>
        <w:t>2.3.7.3</w:t>
      </w:r>
      <w:r w:rsidRPr="00AE6573">
        <w:rPr>
          <w:rFonts w:ascii="Times New Roman" w:hAnsi="Times New Roman" w:cs="Times New Roman"/>
        </w:rPr>
        <w:tab/>
        <w:t>Elution buffer</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60</w:t>
      </w:r>
    </w:p>
    <w:p w:rsidR="003C6DF1" w:rsidRPr="00AE6573" w:rsidRDefault="003C6DF1" w:rsidP="0024733A">
      <w:pPr>
        <w:spacing w:after="20" w:line="240" w:lineRule="auto"/>
        <w:ind w:firstLine="142"/>
        <w:rPr>
          <w:rFonts w:ascii="Times New Roman" w:hAnsi="Times New Roman" w:cs="Times New Roman"/>
        </w:rPr>
      </w:pPr>
      <w:r w:rsidRPr="00AE6573">
        <w:rPr>
          <w:rFonts w:ascii="Times New Roman" w:hAnsi="Times New Roman" w:cs="Times New Roman"/>
        </w:rPr>
        <w:t>2.3.8</w:t>
      </w:r>
      <w:r w:rsidRPr="00AE6573">
        <w:rPr>
          <w:rFonts w:ascii="Times New Roman" w:hAnsi="Times New Roman" w:cs="Times New Roman"/>
        </w:rPr>
        <w:tab/>
      </w:r>
      <w:r w:rsidRPr="00AE6573">
        <w:rPr>
          <w:rFonts w:ascii="Times New Roman" w:hAnsi="Times New Roman" w:cs="Times New Roman"/>
        </w:rPr>
        <w:tab/>
        <w:t>HPLC and FPLC buffers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60</w:t>
      </w:r>
    </w:p>
    <w:p w:rsidR="003C6DF1" w:rsidRPr="00AE6573" w:rsidRDefault="003C6DF1" w:rsidP="0024733A">
      <w:pPr>
        <w:tabs>
          <w:tab w:val="left" w:pos="720"/>
          <w:tab w:val="left" w:pos="1440"/>
          <w:tab w:val="left" w:pos="2160"/>
          <w:tab w:val="left" w:pos="2880"/>
          <w:tab w:val="left" w:pos="3600"/>
          <w:tab w:val="left" w:pos="6957"/>
        </w:tabs>
        <w:spacing w:after="20" w:line="240" w:lineRule="auto"/>
        <w:ind w:firstLine="284"/>
        <w:rPr>
          <w:rFonts w:ascii="Times New Roman" w:hAnsi="Times New Roman" w:cs="Times New Roman"/>
        </w:rPr>
      </w:pPr>
      <w:r w:rsidRPr="00AE6573">
        <w:rPr>
          <w:rFonts w:ascii="Times New Roman" w:hAnsi="Times New Roman" w:cs="Times New Roman"/>
        </w:rPr>
        <w:lastRenderedPageBreak/>
        <w:t>2.3.8.1</w:t>
      </w:r>
      <w:r w:rsidRPr="00AE6573">
        <w:rPr>
          <w:rFonts w:ascii="Times New Roman" w:hAnsi="Times New Roman" w:cs="Times New Roman"/>
        </w:rPr>
        <w:tab/>
        <w:t>Muropeptide analysis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61</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2.3.8.2.</w:t>
      </w:r>
      <w:r w:rsidRPr="00AE6573">
        <w:rPr>
          <w:rFonts w:ascii="Times New Roman" w:hAnsi="Times New Roman" w:cs="Times New Roman"/>
        </w:rPr>
        <w:tab/>
        <w:t>Cation exchange (FPLC) buffers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61</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2.3.8.3</w:t>
      </w:r>
      <w:r w:rsidRPr="00AE6573">
        <w:rPr>
          <w:rFonts w:ascii="Times New Roman" w:hAnsi="Times New Roman" w:cs="Times New Roman"/>
        </w:rPr>
        <w:tab/>
        <w:t>Size exclusion chromatography</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62</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2.3.9</w:t>
      </w:r>
      <w:r w:rsidRPr="00AE6573">
        <w:rPr>
          <w:rFonts w:ascii="Times New Roman" w:hAnsi="Times New Roman" w:cs="Times New Roman"/>
        </w:rPr>
        <w:tab/>
      </w:r>
      <w:r w:rsidRPr="00AE6573">
        <w:rPr>
          <w:rFonts w:ascii="Times New Roman" w:hAnsi="Times New Roman" w:cs="Times New Roman"/>
        </w:rPr>
        <w:tab/>
        <w:t>Fixative preparation</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62</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 xml:space="preserve">2.3.9.1 </w:t>
      </w:r>
      <w:r w:rsidRPr="00AE6573">
        <w:rPr>
          <w:rFonts w:ascii="Times New Roman" w:hAnsi="Times New Roman" w:cs="Times New Roman"/>
        </w:rPr>
        <w:tab/>
        <w:t>Preparation of 16% (w/v) paraformaldehyde</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62</w:t>
      </w:r>
    </w:p>
    <w:p w:rsidR="003C6DF1" w:rsidRPr="00AE6573" w:rsidRDefault="003C6DF1" w:rsidP="0024733A">
      <w:pPr>
        <w:spacing w:after="20" w:line="240" w:lineRule="auto"/>
        <w:ind w:firstLine="284"/>
        <w:rPr>
          <w:rFonts w:ascii="Times New Roman" w:hAnsi="Times New Roman" w:cs="Times New Roman"/>
        </w:rPr>
      </w:pPr>
      <w:r w:rsidRPr="00AE6573">
        <w:rPr>
          <w:rFonts w:ascii="Times New Roman" w:hAnsi="Times New Roman" w:cs="Times New Roman"/>
        </w:rPr>
        <w:t>2.3.9.2.</w:t>
      </w:r>
      <w:r w:rsidRPr="00AE6573">
        <w:rPr>
          <w:rFonts w:ascii="Times New Roman" w:hAnsi="Times New Roman" w:cs="Times New Roman"/>
        </w:rPr>
        <w:tab/>
        <w:t>Fixative</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63</w:t>
      </w:r>
    </w:p>
    <w:p w:rsidR="003C6DF1" w:rsidRPr="0024733A" w:rsidRDefault="003C6DF1" w:rsidP="0024733A">
      <w:pPr>
        <w:spacing w:after="20" w:line="240" w:lineRule="auto"/>
        <w:jc w:val="both"/>
        <w:rPr>
          <w:rFonts w:ascii="Times New Roman" w:hAnsi="Times New Roman" w:cs="Times New Roman"/>
          <w:b/>
        </w:rPr>
      </w:pPr>
      <w:r w:rsidRPr="0024733A">
        <w:rPr>
          <w:rFonts w:ascii="Times New Roman" w:hAnsi="Times New Roman" w:cs="Times New Roman"/>
          <w:b/>
        </w:rPr>
        <w:t>2.4</w:t>
      </w:r>
      <w:r w:rsidRPr="0024733A">
        <w:rPr>
          <w:rFonts w:ascii="Times New Roman" w:hAnsi="Times New Roman" w:cs="Times New Roman"/>
          <w:b/>
        </w:rPr>
        <w:tab/>
      </w:r>
      <w:r w:rsidRPr="0024733A">
        <w:rPr>
          <w:rFonts w:ascii="Times New Roman" w:hAnsi="Times New Roman" w:cs="Times New Roman"/>
          <w:b/>
        </w:rPr>
        <w:tab/>
        <w:t>Bacterial strains and plasmids</w:t>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t>63</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2.4.1</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i/>
        </w:rPr>
        <w:t>Bacillus subtilis</w:t>
      </w:r>
      <w:r w:rsidRPr="00AE6573">
        <w:rPr>
          <w:rFonts w:ascii="Times New Roman" w:hAnsi="Times New Roman" w:cs="Times New Roman"/>
        </w:rPr>
        <w:t xml:space="preserve"> strains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63</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2.4.2</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i/>
        </w:rPr>
        <w:t>Enterococcus faecalis</w:t>
      </w:r>
      <w:r w:rsidRPr="00AE6573">
        <w:rPr>
          <w:rFonts w:ascii="Times New Roman" w:hAnsi="Times New Roman" w:cs="Times New Roman"/>
        </w:rPr>
        <w:t xml:space="preserve"> strains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64</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2.4.3</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i/>
        </w:rPr>
        <w:t>Escherichia coli</w:t>
      </w:r>
      <w:r w:rsidRPr="00AE6573">
        <w:rPr>
          <w:rFonts w:ascii="Times New Roman" w:hAnsi="Times New Roman" w:cs="Times New Roman"/>
        </w:rPr>
        <w:t xml:space="preserve"> strains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64</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2.4.4</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i/>
        </w:rPr>
        <w:t>Lactococcus lactis</w:t>
      </w:r>
      <w:r w:rsidRPr="00AE6573">
        <w:rPr>
          <w:rFonts w:ascii="Times New Roman" w:hAnsi="Times New Roman" w:cs="Times New Roman"/>
        </w:rPr>
        <w:t xml:space="preserve"> strains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64</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2.4.5</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i/>
        </w:rPr>
        <w:t>Streptococcus pneumoniae</w:t>
      </w:r>
      <w:r w:rsidRPr="00AE6573">
        <w:rPr>
          <w:rFonts w:ascii="Times New Roman" w:hAnsi="Times New Roman" w:cs="Times New Roman"/>
        </w:rPr>
        <w:t xml:space="preserve"> strains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65</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2.4.6</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i/>
        </w:rPr>
        <w:t>Staphylococcus aureus</w:t>
      </w:r>
      <w:r w:rsidRPr="00AE6573">
        <w:rPr>
          <w:rFonts w:ascii="Times New Roman" w:hAnsi="Times New Roman" w:cs="Times New Roman"/>
        </w:rPr>
        <w:t xml:space="preserve"> strains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65</w:t>
      </w:r>
    </w:p>
    <w:p w:rsidR="003C6DF1" w:rsidRPr="00AE6573" w:rsidRDefault="0024733A" w:rsidP="0024733A">
      <w:pPr>
        <w:spacing w:after="20" w:line="240" w:lineRule="auto"/>
        <w:ind w:firstLine="142"/>
        <w:jc w:val="both"/>
        <w:rPr>
          <w:rFonts w:ascii="Times New Roman" w:hAnsi="Times New Roman" w:cs="Times New Roman"/>
        </w:rPr>
      </w:pPr>
      <w:r>
        <w:rPr>
          <w:rFonts w:ascii="Times New Roman" w:hAnsi="Times New Roman" w:cs="Times New Roman"/>
        </w:rPr>
        <w:t>2.4.7</w:t>
      </w:r>
      <w:r>
        <w:rPr>
          <w:rFonts w:ascii="Times New Roman" w:hAnsi="Times New Roman" w:cs="Times New Roman"/>
        </w:rPr>
        <w:tab/>
      </w:r>
      <w:r>
        <w:rPr>
          <w:rFonts w:ascii="Times New Roman" w:hAnsi="Times New Roman" w:cs="Times New Roman"/>
        </w:rPr>
        <w:tab/>
      </w:r>
      <w:r w:rsidR="003C6DF1" w:rsidRPr="00AE6573">
        <w:rPr>
          <w:rFonts w:ascii="Times New Roman" w:hAnsi="Times New Roman" w:cs="Times New Roman"/>
        </w:rPr>
        <w:t>Plasmids</w:t>
      </w:r>
      <w:r w:rsidR="003C6DF1" w:rsidRPr="00AE6573">
        <w:rPr>
          <w:rFonts w:ascii="Times New Roman" w:hAnsi="Times New Roman" w:cs="Times New Roman"/>
        </w:rPr>
        <w:tab/>
      </w:r>
      <w:r w:rsidR="003C6DF1" w:rsidRPr="00AE6573">
        <w:rPr>
          <w:rFonts w:ascii="Times New Roman" w:hAnsi="Times New Roman" w:cs="Times New Roman"/>
        </w:rPr>
        <w:tab/>
      </w:r>
      <w:r w:rsidR="003C6DF1" w:rsidRPr="00AE6573">
        <w:rPr>
          <w:rFonts w:ascii="Times New Roman" w:hAnsi="Times New Roman" w:cs="Times New Roman"/>
        </w:rPr>
        <w:tab/>
      </w:r>
      <w:r w:rsidR="003C6DF1" w:rsidRPr="00AE6573">
        <w:rPr>
          <w:rFonts w:ascii="Times New Roman" w:hAnsi="Times New Roman" w:cs="Times New Roman"/>
        </w:rPr>
        <w:tab/>
      </w:r>
      <w:r w:rsidR="003C6DF1" w:rsidRPr="00AE6573">
        <w:rPr>
          <w:rFonts w:ascii="Times New Roman" w:hAnsi="Times New Roman" w:cs="Times New Roman"/>
        </w:rPr>
        <w:tab/>
      </w:r>
      <w:r w:rsidR="003C6DF1" w:rsidRPr="00AE6573">
        <w:rPr>
          <w:rFonts w:ascii="Times New Roman" w:hAnsi="Times New Roman" w:cs="Times New Roman"/>
        </w:rPr>
        <w:tab/>
      </w:r>
      <w:r w:rsidR="003C6DF1" w:rsidRPr="00AE6573">
        <w:rPr>
          <w:rFonts w:ascii="Times New Roman" w:hAnsi="Times New Roman" w:cs="Times New Roman"/>
        </w:rPr>
        <w:tab/>
      </w:r>
      <w:r w:rsidR="003C6DF1" w:rsidRPr="00AE6573">
        <w:rPr>
          <w:rFonts w:ascii="Times New Roman" w:hAnsi="Times New Roman" w:cs="Times New Roman"/>
        </w:rPr>
        <w:tab/>
        <w:t>65</w:t>
      </w:r>
    </w:p>
    <w:p w:rsidR="003C6DF1" w:rsidRPr="0024733A" w:rsidRDefault="003C6DF1" w:rsidP="0024733A">
      <w:pPr>
        <w:spacing w:after="20" w:line="240" w:lineRule="auto"/>
        <w:jc w:val="both"/>
        <w:rPr>
          <w:rFonts w:ascii="Times New Roman" w:hAnsi="Times New Roman" w:cs="Times New Roman"/>
          <w:b/>
        </w:rPr>
      </w:pPr>
      <w:r w:rsidRPr="0024733A">
        <w:rPr>
          <w:rFonts w:ascii="Times New Roman" w:hAnsi="Times New Roman" w:cs="Times New Roman"/>
          <w:b/>
        </w:rPr>
        <w:t>2.5</w:t>
      </w:r>
      <w:r w:rsidRPr="0024733A">
        <w:rPr>
          <w:rFonts w:ascii="Times New Roman" w:hAnsi="Times New Roman" w:cs="Times New Roman"/>
          <w:b/>
        </w:rPr>
        <w:tab/>
      </w:r>
      <w:r w:rsidRPr="0024733A">
        <w:rPr>
          <w:rFonts w:ascii="Times New Roman" w:hAnsi="Times New Roman" w:cs="Times New Roman"/>
          <w:b/>
        </w:rPr>
        <w:tab/>
        <w:t>Chemicals and enzymes</w:t>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t>68</w:t>
      </w:r>
    </w:p>
    <w:p w:rsidR="003C6DF1" w:rsidRPr="0024733A" w:rsidRDefault="003C6DF1" w:rsidP="0024733A">
      <w:pPr>
        <w:spacing w:after="20" w:line="240" w:lineRule="auto"/>
        <w:jc w:val="both"/>
        <w:rPr>
          <w:rFonts w:ascii="Times New Roman" w:hAnsi="Times New Roman" w:cs="Times New Roman"/>
          <w:b/>
        </w:rPr>
      </w:pPr>
      <w:r w:rsidRPr="0024733A">
        <w:rPr>
          <w:rFonts w:ascii="Times New Roman" w:hAnsi="Times New Roman" w:cs="Times New Roman"/>
          <w:b/>
        </w:rPr>
        <w:t>2.6</w:t>
      </w:r>
      <w:r w:rsidRPr="0024733A">
        <w:rPr>
          <w:rFonts w:ascii="Times New Roman" w:hAnsi="Times New Roman" w:cs="Times New Roman"/>
          <w:b/>
        </w:rPr>
        <w:tab/>
      </w:r>
      <w:r w:rsidRPr="0024733A">
        <w:rPr>
          <w:rFonts w:ascii="Times New Roman" w:hAnsi="Times New Roman" w:cs="Times New Roman"/>
          <w:b/>
        </w:rPr>
        <w:tab/>
        <w:t>Centrifugation</w:t>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t>68</w:t>
      </w:r>
    </w:p>
    <w:p w:rsidR="003C6DF1" w:rsidRPr="0024733A" w:rsidRDefault="003C6DF1" w:rsidP="0024733A">
      <w:pPr>
        <w:spacing w:after="20" w:line="240" w:lineRule="auto"/>
        <w:jc w:val="both"/>
        <w:rPr>
          <w:rFonts w:ascii="Times New Roman" w:hAnsi="Times New Roman" w:cs="Times New Roman"/>
          <w:b/>
        </w:rPr>
      </w:pPr>
      <w:r w:rsidRPr="0024733A">
        <w:rPr>
          <w:rFonts w:ascii="Times New Roman" w:hAnsi="Times New Roman" w:cs="Times New Roman"/>
          <w:b/>
        </w:rPr>
        <w:t>2.7</w:t>
      </w:r>
      <w:r w:rsidRPr="0024733A">
        <w:rPr>
          <w:rFonts w:ascii="Times New Roman" w:hAnsi="Times New Roman" w:cs="Times New Roman"/>
          <w:b/>
        </w:rPr>
        <w:tab/>
      </w:r>
      <w:r w:rsidRPr="0024733A">
        <w:rPr>
          <w:rFonts w:ascii="Times New Roman" w:hAnsi="Times New Roman" w:cs="Times New Roman"/>
          <w:b/>
        </w:rPr>
        <w:tab/>
        <w:t>Determination of bacterial cell density</w:t>
      </w:r>
      <w:r w:rsidRPr="0024733A">
        <w:rPr>
          <w:rFonts w:ascii="Times New Roman" w:hAnsi="Times New Roman" w:cs="Times New Roman"/>
          <w:b/>
        </w:rPr>
        <w:tab/>
      </w:r>
      <w:r w:rsidRPr="0024733A">
        <w:rPr>
          <w:rFonts w:ascii="Times New Roman" w:hAnsi="Times New Roman" w:cs="Times New Roman"/>
          <w:b/>
        </w:rPr>
        <w:tab/>
      </w:r>
      <w:r w:rsid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t>73</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2.7.1</w:t>
      </w:r>
      <w:r w:rsidRPr="00AE6573">
        <w:rPr>
          <w:rFonts w:ascii="Times New Roman" w:hAnsi="Times New Roman" w:cs="Times New Roman"/>
        </w:rPr>
        <w:tab/>
      </w:r>
      <w:r w:rsidRPr="00AE6573">
        <w:rPr>
          <w:rFonts w:ascii="Times New Roman" w:hAnsi="Times New Roman" w:cs="Times New Roman"/>
        </w:rPr>
        <w:tab/>
        <w:t>Measurement by spectrophotometry (OD</w:t>
      </w:r>
      <w:r w:rsidRPr="00AE6573">
        <w:rPr>
          <w:rFonts w:ascii="Times New Roman" w:hAnsi="Times New Roman" w:cs="Times New Roman"/>
          <w:vertAlign w:val="subscript"/>
        </w:rPr>
        <w:t>600</w:t>
      </w:r>
      <w:r w:rsidRPr="00AE6573">
        <w:rPr>
          <w:rFonts w:ascii="Times New Roman" w:hAnsi="Times New Roman" w:cs="Times New Roman"/>
        </w:rPr>
        <w:t>)</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73</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2.7.2</w:t>
      </w:r>
      <w:r w:rsidRPr="00AE6573">
        <w:rPr>
          <w:rFonts w:ascii="Times New Roman" w:hAnsi="Times New Roman" w:cs="Times New Roman"/>
        </w:rPr>
        <w:tab/>
      </w:r>
      <w:r w:rsidRPr="00AE6573">
        <w:rPr>
          <w:rFonts w:ascii="Times New Roman" w:hAnsi="Times New Roman" w:cs="Times New Roman"/>
        </w:rPr>
        <w:tab/>
        <w:t>Measurement by direct cell counts (cfu ml</w:t>
      </w:r>
      <w:r w:rsidRPr="00AE6573">
        <w:rPr>
          <w:rFonts w:ascii="Times New Roman" w:hAnsi="Times New Roman" w:cs="Times New Roman"/>
          <w:vertAlign w:val="superscript"/>
        </w:rPr>
        <w:t>-1</w:t>
      </w:r>
      <w:r w:rsidRPr="00AE6573">
        <w:rPr>
          <w:rFonts w:ascii="Times New Roman" w:hAnsi="Times New Roman" w:cs="Times New Roman"/>
        </w:rPr>
        <w:t>)</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73</w:t>
      </w:r>
    </w:p>
    <w:p w:rsidR="003C6DF1" w:rsidRPr="0024733A" w:rsidRDefault="003C6DF1" w:rsidP="0024733A">
      <w:pPr>
        <w:spacing w:after="20" w:line="240" w:lineRule="auto"/>
        <w:jc w:val="both"/>
        <w:rPr>
          <w:rFonts w:ascii="Times New Roman" w:hAnsi="Times New Roman" w:cs="Times New Roman"/>
          <w:b/>
        </w:rPr>
      </w:pPr>
      <w:r w:rsidRPr="0024733A">
        <w:rPr>
          <w:rFonts w:ascii="Times New Roman" w:hAnsi="Times New Roman" w:cs="Times New Roman"/>
          <w:b/>
        </w:rPr>
        <w:t>2.8</w:t>
      </w:r>
      <w:r w:rsidRPr="0024733A">
        <w:rPr>
          <w:rFonts w:ascii="Times New Roman" w:hAnsi="Times New Roman" w:cs="Times New Roman"/>
          <w:b/>
        </w:rPr>
        <w:tab/>
      </w:r>
      <w:r w:rsidRPr="0024733A">
        <w:rPr>
          <w:rFonts w:ascii="Times New Roman" w:hAnsi="Times New Roman" w:cs="Times New Roman"/>
          <w:b/>
        </w:rPr>
        <w:tab/>
        <w:t>DNA purification techniques</w:t>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t>74</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2.8.1</w:t>
      </w:r>
      <w:r w:rsidRPr="00AE6573">
        <w:rPr>
          <w:rFonts w:ascii="Times New Roman" w:hAnsi="Times New Roman" w:cs="Times New Roman"/>
        </w:rPr>
        <w:tab/>
      </w:r>
      <w:r w:rsidRPr="00AE6573">
        <w:rPr>
          <w:rFonts w:ascii="Times New Roman" w:hAnsi="Times New Roman" w:cs="Times New Roman"/>
        </w:rPr>
        <w:tab/>
        <w:t>Genomic DNA extraction</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74</w:t>
      </w:r>
    </w:p>
    <w:p w:rsidR="003C6DF1" w:rsidRPr="00AE6573" w:rsidRDefault="003C6DF1" w:rsidP="0024733A">
      <w:pPr>
        <w:spacing w:after="20" w:line="240" w:lineRule="auto"/>
        <w:ind w:firstLine="142"/>
        <w:jc w:val="both"/>
        <w:rPr>
          <w:rFonts w:ascii="Times New Roman" w:hAnsi="Times New Roman" w:cs="Times New Roman"/>
          <w:i/>
        </w:rPr>
      </w:pPr>
      <w:r w:rsidRPr="00AE6573">
        <w:rPr>
          <w:rFonts w:ascii="Times New Roman" w:hAnsi="Times New Roman" w:cs="Times New Roman"/>
        </w:rPr>
        <w:t>2.8.2</w:t>
      </w:r>
      <w:r w:rsidRPr="00AE6573">
        <w:rPr>
          <w:rFonts w:ascii="Times New Roman" w:hAnsi="Times New Roman" w:cs="Times New Roman"/>
        </w:rPr>
        <w:tab/>
      </w:r>
      <w:r w:rsidRPr="00AE6573">
        <w:rPr>
          <w:rFonts w:ascii="Times New Roman" w:hAnsi="Times New Roman" w:cs="Times New Roman"/>
        </w:rPr>
        <w:tab/>
        <w:t xml:space="preserve">Small scale plasmid preparation from </w:t>
      </w:r>
      <w:r w:rsidRPr="00AE6573">
        <w:rPr>
          <w:rFonts w:ascii="Times New Roman" w:hAnsi="Times New Roman" w:cs="Times New Roman"/>
          <w:i/>
        </w:rPr>
        <w:t>E. coli</w:t>
      </w:r>
      <w:r w:rsidRPr="00AE6573">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rPr>
        <w:t>74</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2.8.3</w:t>
      </w:r>
      <w:r w:rsidRPr="00AE6573">
        <w:rPr>
          <w:rFonts w:ascii="Times New Roman" w:hAnsi="Times New Roman" w:cs="Times New Roman"/>
        </w:rPr>
        <w:tab/>
      </w:r>
      <w:r w:rsidRPr="00AE6573">
        <w:rPr>
          <w:rFonts w:ascii="Times New Roman" w:hAnsi="Times New Roman" w:cs="Times New Roman"/>
        </w:rPr>
        <w:tab/>
        <w:t xml:space="preserve">Gel extraction of DNA </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75</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2.8.4</w:t>
      </w:r>
      <w:r w:rsidRPr="00AE6573">
        <w:rPr>
          <w:rFonts w:ascii="Times New Roman" w:hAnsi="Times New Roman" w:cs="Times New Roman"/>
        </w:rPr>
        <w:tab/>
      </w:r>
      <w:r w:rsidRPr="00AE6573">
        <w:rPr>
          <w:rFonts w:ascii="Times New Roman" w:hAnsi="Times New Roman" w:cs="Times New Roman"/>
        </w:rPr>
        <w:tab/>
        <w:t>Purification of PCR products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76</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2.8.5</w:t>
      </w:r>
      <w:r w:rsidRPr="00AE6573">
        <w:rPr>
          <w:rFonts w:ascii="Times New Roman" w:hAnsi="Times New Roman" w:cs="Times New Roman"/>
        </w:rPr>
        <w:tab/>
      </w:r>
      <w:r w:rsidRPr="00AE6573">
        <w:rPr>
          <w:rFonts w:ascii="Times New Roman" w:hAnsi="Times New Roman" w:cs="Times New Roman"/>
        </w:rPr>
        <w:tab/>
        <w:t>Ethanol precipitation of DNA</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76</w:t>
      </w:r>
    </w:p>
    <w:p w:rsidR="003C6DF1" w:rsidRPr="0024733A" w:rsidRDefault="003C6DF1" w:rsidP="0024733A">
      <w:pPr>
        <w:spacing w:after="20" w:line="240" w:lineRule="auto"/>
        <w:jc w:val="both"/>
        <w:rPr>
          <w:rFonts w:ascii="Times New Roman" w:hAnsi="Times New Roman" w:cs="Times New Roman"/>
          <w:b/>
        </w:rPr>
      </w:pPr>
      <w:r w:rsidRPr="0024733A">
        <w:rPr>
          <w:rFonts w:ascii="Times New Roman" w:hAnsi="Times New Roman" w:cs="Times New Roman"/>
          <w:b/>
        </w:rPr>
        <w:t>2.9</w:t>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i/>
        </w:rPr>
        <w:t xml:space="preserve">In vitro </w:t>
      </w:r>
      <w:r w:rsidRPr="0024733A">
        <w:rPr>
          <w:rFonts w:ascii="Times New Roman" w:hAnsi="Times New Roman" w:cs="Times New Roman"/>
          <w:b/>
        </w:rPr>
        <w:t>DNA manipulation techniques</w:t>
      </w:r>
      <w:r w:rsidRPr="0024733A">
        <w:rPr>
          <w:rFonts w:ascii="Times New Roman" w:hAnsi="Times New Roman" w:cs="Times New Roman"/>
          <w:b/>
        </w:rPr>
        <w:tab/>
      </w:r>
      <w:r w:rsidRPr="0024733A">
        <w:rPr>
          <w:rFonts w:ascii="Times New Roman" w:hAnsi="Times New Roman" w:cs="Times New Roman"/>
          <w:b/>
        </w:rPr>
        <w:tab/>
      </w:r>
      <w:r w:rsid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t>77</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2.9.1</w:t>
      </w:r>
      <w:r w:rsidRPr="00AE6573">
        <w:rPr>
          <w:rFonts w:ascii="Times New Roman" w:hAnsi="Times New Roman" w:cs="Times New Roman"/>
        </w:rPr>
        <w:tab/>
      </w:r>
      <w:r w:rsidRPr="00AE6573">
        <w:rPr>
          <w:rFonts w:ascii="Times New Roman" w:hAnsi="Times New Roman" w:cs="Times New Roman"/>
        </w:rPr>
        <w:tab/>
        <w:t>Polymerase chain reaction (PCR) techniques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77</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2.9.1.1</w:t>
      </w:r>
      <w:r w:rsidRPr="00AE6573">
        <w:rPr>
          <w:rFonts w:ascii="Times New Roman" w:hAnsi="Times New Roman" w:cs="Times New Roman"/>
        </w:rPr>
        <w:tab/>
        <w:t>Primer design</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77</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2.9.1.2</w:t>
      </w:r>
      <w:r w:rsidRPr="00AE6573">
        <w:rPr>
          <w:rFonts w:ascii="Times New Roman" w:hAnsi="Times New Roman" w:cs="Times New Roman"/>
        </w:rPr>
        <w:tab/>
        <w:t>PCR amplification</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77</w:t>
      </w:r>
    </w:p>
    <w:p w:rsidR="003C6DF1" w:rsidRPr="00AE6573" w:rsidRDefault="003C6DF1" w:rsidP="0024733A">
      <w:pPr>
        <w:spacing w:after="20" w:line="240" w:lineRule="auto"/>
        <w:ind w:firstLine="284"/>
        <w:jc w:val="both"/>
        <w:rPr>
          <w:rFonts w:ascii="Times New Roman" w:hAnsi="Times New Roman" w:cs="Times New Roman"/>
          <w:i/>
        </w:rPr>
      </w:pPr>
      <w:r w:rsidRPr="00AE6573">
        <w:rPr>
          <w:rFonts w:ascii="Times New Roman" w:hAnsi="Times New Roman" w:cs="Times New Roman"/>
        </w:rPr>
        <w:t>2.9.1.3</w:t>
      </w:r>
      <w:r w:rsidRPr="00AE6573">
        <w:rPr>
          <w:rFonts w:ascii="Times New Roman" w:hAnsi="Times New Roman" w:cs="Times New Roman"/>
        </w:rPr>
        <w:tab/>
        <w:t xml:space="preserve">Colony PCR screening of </w:t>
      </w:r>
      <w:r w:rsidRPr="00AE6573">
        <w:rPr>
          <w:rFonts w:ascii="Times New Roman" w:hAnsi="Times New Roman" w:cs="Times New Roman"/>
          <w:i/>
        </w:rPr>
        <w:t>E. coli</w:t>
      </w:r>
      <w:r w:rsidRPr="00AE6573">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rPr>
        <w:t>78</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2.9.1.4</w:t>
      </w:r>
      <w:r w:rsidRPr="00AE6573">
        <w:rPr>
          <w:rFonts w:ascii="Times New Roman" w:hAnsi="Times New Roman" w:cs="Times New Roman"/>
        </w:rPr>
        <w:tab/>
        <w:t>Restriction endonuclease digestion</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78</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2.9.1.5</w:t>
      </w:r>
      <w:r w:rsidRPr="00AE6573">
        <w:rPr>
          <w:rFonts w:ascii="Times New Roman" w:hAnsi="Times New Roman" w:cs="Times New Roman"/>
        </w:rPr>
        <w:tab/>
        <w:t>DNA ligation</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79</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2.9.1.6</w:t>
      </w:r>
      <w:r w:rsidRPr="00AE6573">
        <w:rPr>
          <w:rFonts w:ascii="Times New Roman" w:hAnsi="Times New Roman" w:cs="Times New Roman"/>
        </w:rPr>
        <w:tab/>
        <w:t>Agarose gel electrophoresis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79</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2.9.1.7</w:t>
      </w:r>
      <w:r w:rsidRPr="00AE6573">
        <w:rPr>
          <w:rFonts w:ascii="Times New Roman" w:hAnsi="Times New Roman" w:cs="Times New Roman"/>
        </w:rPr>
        <w:tab/>
        <w:t>DNA sequencing</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82</w:t>
      </w:r>
    </w:p>
    <w:p w:rsidR="003C6DF1" w:rsidRPr="0024733A" w:rsidRDefault="003C6DF1" w:rsidP="0024733A">
      <w:pPr>
        <w:spacing w:after="20" w:line="240" w:lineRule="auto"/>
        <w:jc w:val="both"/>
        <w:rPr>
          <w:rFonts w:ascii="Times New Roman" w:hAnsi="Times New Roman" w:cs="Times New Roman"/>
          <w:b/>
        </w:rPr>
      </w:pPr>
      <w:r w:rsidRPr="0024733A">
        <w:rPr>
          <w:rFonts w:ascii="Times New Roman" w:hAnsi="Times New Roman" w:cs="Times New Roman"/>
          <w:b/>
        </w:rPr>
        <w:t>2.10</w:t>
      </w:r>
      <w:r w:rsidRPr="0024733A">
        <w:rPr>
          <w:rFonts w:ascii="Times New Roman" w:hAnsi="Times New Roman" w:cs="Times New Roman"/>
          <w:b/>
        </w:rPr>
        <w:tab/>
      </w:r>
      <w:r w:rsidRPr="0024733A">
        <w:rPr>
          <w:rFonts w:ascii="Times New Roman" w:hAnsi="Times New Roman" w:cs="Times New Roman"/>
          <w:b/>
        </w:rPr>
        <w:tab/>
        <w:t>Transformation techniques</w:t>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t>82</w:t>
      </w:r>
    </w:p>
    <w:p w:rsidR="003C6DF1" w:rsidRPr="00AE6573" w:rsidRDefault="003C6DF1" w:rsidP="0024733A">
      <w:pPr>
        <w:spacing w:after="20" w:line="240" w:lineRule="auto"/>
        <w:ind w:firstLine="142"/>
        <w:jc w:val="both"/>
        <w:rPr>
          <w:rFonts w:ascii="Times New Roman" w:hAnsi="Times New Roman" w:cs="Times New Roman"/>
          <w:i/>
        </w:rPr>
      </w:pPr>
      <w:r w:rsidRPr="00AE6573">
        <w:rPr>
          <w:rFonts w:ascii="Times New Roman" w:hAnsi="Times New Roman" w:cs="Times New Roman"/>
        </w:rPr>
        <w:t>2.10.1</w:t>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 xml:space="preserve">Transformation of </w:t>
      </w:r>
      <w:r w:rsidRPr="00AE6573">
        <w:rPr>
          <w:rFonts w:ascii="Times New Roman" w:hAnsi="Times New Roman" w:cs="Times New Roman"/>
          <w:i/>
        </w:rPr>
        <w:t>E. coli</w:t>
      </w:r>
      <w:r w:rsidRPr="00AE6573">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i/>
        </w:rPr>
        <w:tab/>
      </w:r>
      <w:r w:rsidR="0024733A">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rPr>
        <w:t>82</w:t>
      </w:r>
    </w:p>
    <w:p w:rsidR="003C6DF1" w:rsidRPr="00AE6573" w:rsidRDefault="003C6DF1" w:rsidP="0024733A">
      <w:pPr>
        <w:spacing w:after="20" w:line="240" w:lineRule="auto"/>
        <w:ind w:firstLine="284"/>
        <w:jc w:val="both"/>
        <w:rPr>
          <w:rFonts w:ascii="Times New Roman" w:hAnsi="Times New Roman" w:cs="Times New Roman"/>
          <w:i/>
        </w:rPr>
      </w:pPr>
      <w:r w:rsidRPr="00AE6573">
        <w:rPr>
          <w:rFonts w:ascii="Times New Roman" w:hAnsi="Times New Roman" w:cs="Times New Roman"/>
        </w:rPr>
        <w:t>2.10.1.1</w:t>
      </w:r>
      <w:r w:rsidRPr="00AE6573">
        <w:rPr>
          <w:rFonts w:ascii="Times New Roman" w:hAnsi="Times New Roman" w:cs="Times New Roman"/>
        </w:rPr>
        <w:tab/>
        <w:t xml:space="preserve">Preparation of electrocompetent </w:t>
      </w:r>
      <w:r w:rsidRPr="00AE6573">
        <w:rPr>
          <w:rFonts w:ascii="Times New Roman" w:hAnsi="Times New Roman" w:cs="Times New Roman"/>
          <w:i/>
        </w:rPr>
        <w:t>E. coli</w:t>
      </w:r>
      <w:r w:rsidRPr="00AE6573">
        <w:rPr>
          <w:rFonts w:ascii="Times New Roman" w:hAnsi="Times New Roman" w:cs="Times New Roman"/>
          <w:i/>
        </w:rPr>
        <w:tab/>
      </w:r>
      <w:r w:rsidRPr="00AE6573">
        <w:rPr>
          <w:rFonts w:ascii="Times New Roman" w:hAnsi="Times New Roman" w:cs="Times New Roman"/>
          <w:i/>
        </w:rPr>
        <w:tab/>
      </w:r>
      <w:r w:rsidR="0024733A">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rPr>
        <w:t>82</w:t>
      </w:r>
    </w:p>
    <w:p w:rsidR="003C6DF1" w:rsidRPr="00AE6573" w:rsidRDefault="003C6DF1" w:rsidP="0024733A">
      <w:pPr>
        <w:tabs>
          <w:tab w:val="left" w:pos="720"/>
          <w:tab w:val="left" w:pos="1440"/>
          <w:tab w:val="left" w:pos="2160"/>
          <w:tab w:val="left" w:pos="2880"/>
          <w:tab w:val="left" w:pos="3600"/>
          <w:tab w:val="left" w:pos="4320"/>
          <w:tab w:val="left" w:pos="5040"/>
          <w:tab w:val="left" w:pos="5760"/>
          <w:tab w:val="left" w:pos="6480"/>
          <w:tab w:val="left" w:pos="7798"/>
        </w:tabs>
        <w:spacing w:after="20" w:line="240" w:lineRule="auto"/>
        <w:ind w:firstLine="284"/>
        <w:jc w:val="both"/>
        <w:rPr>
          <w:rFonts w:ascii="Times New Roman" w:hAnsi="Times New Roman" w:cs="Times New Roman"/>
        </w:rPr>
      </w:pPr>
      <w:r w:rsidRPr="00AE6573">
        <w:rPr>
          <w:rFonts w:ascii="Times New Roman" w:hAnsi="Times New Roman" w:cs="Times New Roman"/>
        </w:rPr>
        <w:t>2.10.1.2</w:t>
      </w:r>
      <w:r w:rsidRPr="00AE6573">
        <w:rPr>
          <w:rFonts w:ascii="Times New Roman" w:hAnsi="Times New Roman" w:cs="Times New Roman"/>
        </w:rPr>
        <w:tab/>
        <w:t xml:space="preserve">Transformation of competent </w:t>
      </w:r>
      <w:r w:rsidRPr="00AE6573">
        <w:rPr>
          <w:rFonts w:ascii="Times New Roman" w:hAnsi="Times New Roman" w:cs="Times New Roman"/>
          <w:i/>
        </w:rPr>
        <w:t>E. coli</w:t>
      </w:r>
      <w:r w:rsidRPr="00AE6573">
        <w:rPr>
          <w:rFonts w:ascii="Times New Roman" w:hAnsi="Times New Roman" w:cs="Times New Roman"/>
        </w:rPr>
        <w:t xml:space="preserve"> by electroporation</w:t>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82</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2.10.2</w:t>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 xml:space="preserve">Transformation of </w:t>
      </w:r>
      <w:r w:rsidRPr="00AE6573">
        <w:rPr>
          <w:rFonts w:ascii="Times New Roman" w:hAnsi="Times New Roman" w:cs="Times New Roman"/>
          <w:i/>
        </w:rPr>
        <w:t>S. aureus</w:t>
      </w:r>
      <w:r w:rsidRPr="00AE6573">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rPr>
        <w:t>83</w:t>
      </w:r>
    </w:p>
    <w:p w:rsidR="003C6DF1" w:rsidRPr="00AE6573" w:rsidRDefault="003C6DF1" w:rsidP="0024733A">
      <w:pPr>
        <w:spacing w:after="20" w:line="240" w:lineRule="auto"/>
        <w:ind w:firstLine="284"/>
        <w:jc w:val="both"/>
        <w:rPr>
          <w:rFonts w:ascii="Times New Roman" w:hAnsi="Times New Roman" w:cs="Times New Roman"/>
          <w:i/>
        </w:rPr>
      </w:pPr>
      <w:r w:rsidRPr="00AE6573">
        <w:rPr>
          <w:rFonts w:ascii="Times New Roman" w:hAnsi="Times New Roman" w:cs="Times New Roman"/>
        </w:rPr>
        <w:t>2.10.2.1</w:t>
      </w:r>
      <w:r w:rsidRPr="00AE6573">
        <w:rPr>
          <w:rFonts w:ascii="Times New Roman" w:hAnsi="Times New Roman" w:cs="Times New Roman"/>
        </w:rPr>
        <w:tab/>
        <w:t xml:space="preserve">Preparation of electrocompetent </w:t>
      </w:r>
      <w:r w:rsidRPr="00AE6573">
        <w:rPr>
          <w:rFonts w:ascii="Times New Roman" w:hAnsi="Times New Roman" w:cs="Times New Roman"/>
          <w:i/>
        </w:rPr>
        <w:t>S. aureus</w:t>
      </w:r>
      <w:r w:rsidRPr="00AE6573">
        <w:rPr>
          <w:rFonts w:ascii="Times New Roman" w:hAnsi="Times New Roman" w:cs="Times New Roman"/>
        </w:rPr>
        <w:t xml:space="preserve"> RN4220</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83</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2.10.2.2</w:t>
      </w:r>
      <w:r w:rsidRPr="00AE6573">
        <w:rPr>
          <w:rFonts w:ascii="Times New Roman" w:hAnsi="Times New Roman" w:cs="Times New Roman"/>
        </w:rPr>
        <w:tab/>
        <w:t xml:space="preserve">Transformation of competent </w:t>
      </w:r>
      <w:r w:rsidRPr="00AE6573">
        <w:rPr>
          <w:rFonts w:ascii="Times New Roman" w:hAnsi="Times New Roman" w:cs="Times New Roman"/>
          <w:i/>
        </w:rPr>
        <w:t xml:space="preserve">S. aureus </w:t>
      </w:r>
      <w:r w:rsidR="0024733A">
        <w:rPr>
          <w:rFonts w:ascii="Times New Roman" w:hAnsi="Times New Roman" w:cs="Times New Roman"/>
        </w:rPr>
        <w:t xml:space="preserve">RN4220 by </w:t>
      </w:r>
      <w:r w:rsidRPr="00AE6573">
        <w:rPr>
          <w:rFonts w:ascii="Times New Roman" w:hAnsi="Times New Roman" w:cs="Times New Roman"/>
        </w:rPr>
        <w:t>electroporation</w:t>
      </w:r>
      <w:r w:rsidRPr="00AE6573">
        <w:rPr>
          <w:rFonts w:ascii="Times New Roman" w:hAnsi="Times New Roman" w:cs="Times New Roman"/>
        </w:rPr>
        <w:tab/>
        <w:t>84</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2.10.3</w:t>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Phage techniques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84</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2.10.3.1</w:t>
      </w:r>
      <w:r w:rsidRPr="00AE6573">
        <w:rPr>
          <w:rFonts w:ascii="Times New Roman" w:hAnsi="Times New Roman" w:cs="Times New Roman"/>
        </w:rPr>
        <w:tab/>
        <w:t>Bacteriophage</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84</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2.10.3.2</w:t>
      </w:r>
      <w:r w:rsidRPr="00AE6573">
        <w:rPr>
          <w:rFonts w:ascii="Times New Roman" w:hAnsi="Times New Roman" w:cs="Times New Roman"/>
        </w:rPr>
        <w:tab/>
        <w:t>Preparation of phage lysates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84</w:t>
      </w:r>
    </w:p>
    <w:p w:rsidR="003C6DF1" w:rsidRPr="00AE6573" w:rsidRDefault="003C6DF1" w:rsidP="0024733A">
      <w:pPr>
        <w:spacing w:after="20" w:line="240" w:lineRule="auto"/>
        <w:ind w:firstLine="284"/>
        <w:jc w:val="both"/>
        <w:rPr>
          <w:rFonts w:ascii="Times New Roman" w:hAnsi="Times New Roman" w:cs="Times New Roman"/>
          <w:i/>
        </w:rPr>
      </w:pPr>
      <w:r w:rsidRPr="00AE6573">
        <w:rPr>
          <w:rFonts w:ascii="Times New Roman" w:hAnsi="Times New Roman" w:cs="Times New Roman"/>
        </w:rPr>
        <w:t>2.10.3.3</w:t>
      </w:r>
      <w:r w:rsidRPr="00AE6573">
        <w:rPr>
          <w:rFonts w:ascii="Times New Roman" w:hAnsi="Times New Roman" w:cs="Times New Roman"/>
        </w:rPr>
        <w:tab/>
        <w:t>Determination of phage titre</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85</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2.10.3.4</w:t>
      </w:r>
      <w:r w:rsidRPr="00AE6573">
        <w:rPr>
          <w:rFonts w:ascii="Times New Roman" w:hAnsi="Times New Roman" w:cs="Times New Roman"/>
        </w:rPr>
        <w:tab/>
        <w:t>Phage transduction</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85</w:t>
      </w:r>
    </w:p>
    <w:p w:rsidR="003C6DF1" w:rsidRPr="0024733A" w:rsidRDefault="0024733A" w:rsidP="0024733A">
      <w:pPr>
        <w:spacing w:after="20" w:line="240" w:lineRule="auto"/>
        <w:jc w:val="both"/>
        <w:rPr>
          <w:rFonts w:ascii="Times New Roman" w:hAnsi="Times New Roman" w:cs="Times New Roman"/>
          <w:b/>
        </w:rPr>
      </w:pPr>
      <w:r>
        <w:rPr>
          <w:rFonts w:ascii="Times New Roman" w:hAnsi="Times New Roman" w:cs="Times New Roman"/>
          <w:b/>
        </w:rPr>
        <w:t>2.11</w:t>
      </w:r>
      <w:r>
        <w:rPr>
          <w:rFonts w:ascii="Times New Roman" w:hAnsi="Times New Roman" w:cs="Times New Roman"/>
          <w:b/>
        </w:rPr>
        <w:tab/>
      </w:r>
      <w:r>
        <w:rPr>
          <w:rFonts w:ascii="Times New Roman" w:hAnsi="Times New Roman" w:cs="Times New Roman"/>
          <w:b/>
        </w:rPr>
        <w:tab/>
        <w:t>Protein analysis</w:t>
      </w:r>
      <w:r>
        <w:rPr>
          <w:rFonts w:ascii="Times New Roman" w:hAnsi="Times New Roman" w:cs="Times New Roman"/>
          <w:b/>
        </w:rPr>
        <w:tab/>
      </w:r>
      <w:r>
        <w:rPr>
          <w:rFonts w:ascii="Times New Roman" w:hAnsi="Times New Roman" w:cs="Times New Roman"/>
          <w:b/>
        </w:rPr>
        <w:tab/>
      </w:r>
      <w:r w:rsidR="003C6DF1" w:rsidRPr="0024733A">
        <w:rPr>
          <w:rFonts w:ascii="Times New Roman" w:hAnsi="Times New Roman" w:cs="Times New Roman"/>
          <w:b/>
        </w:rPr>
        <w:tab/>
      </w:r>
      <w:r w:rsidR="003C6DF1" w:rsidRPr="0024733A">
        <w:rPr>
          <w:rFonts w:ascii="Times New Roman" w:hAnsi="Times New Roman" w:cs="Times New Roman"/>
          <w:b/>
        </w:rPr>
        <w:tab/>
      </w:r>
      <w:r w:rsidR="003C6DF1" w:rsidRPr="0024733A">
        <w:rPr>
          <w:rFonts w:ascii="Times New Roman" w:hAnsi="Times New Roman" w:cs="Times New Roman"/>
          <w:b/>
        </w:rPr>
        <w:tab/>
      </w:r>
      <w:r w:rsidRPr="0024733A">
        <w:rPr>
          <w:rFonts w:ascii="Times New Roman" w:hAnsi="Times New Roman" w:cs="Times New Roman"/>
          <w:b/>
        </w:rPr>
        <w:tab/>
      </w:r>
      <w:r w:rsidR="003C6DF1" w:rsidRPr="0024733A">
        <w:rPr>
          <w:rFonts w:ascii="Times New Roman" w:hAnsi="Times New Roman" w:cs="Times New Roman"/>
          <w:b/>
        </w:rPr>
        <w:tab/>
        <w:t>86</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2.11.1</w:t>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SDS-PAGE and renaturing SDS-PAGE</w:t>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86</w:t>
      </w:r>
    </w:p>
    <w:p w:rsidR="003C6DF1" w:rsidRPr="00AE6573" w:rsidRDefault="003C6DF1" w:rsidP="0024733A">
      <w:pPr>
        <w:tabs>
          <w:tab w:val="left" w:pos="720"/>
          <w:tab w:val="left" w:pos="1440"/>
          <w:tab w:val="left" w:pos="2160"/>
          <w:tab w:val="left" w:pos="2880"/>
          <w:tab w:val="left" w:pos="7050"/>
        </w:tabs>
        <w:spacing w:after="20" w:line="240" w:lineRule="auto"/>
        <w:ind w:firstLine="142"/>
        <w:jc w:val="both"/>
        <w:rPr>
          <w:rFonts w:ascii="Times New Roman" w:hAnsi="Times New Roman" w:cs="Times New Roman"/>
        </w:rPr>
      </w:pPr>
      <w:r w:rsidRPr="00AE6573">
        <w:rPr>
          <w:rFonts w:ascii="Times New Roman" w:hAnsi="Times New Roman" w:cs="Times New Roman"/>
        </w:rPr>
        <w:t>2.11.2</w:t>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Coomassie staining</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88</w:t>
      </w:r>
    </w:p>
    <w:p w:rsidR="003C6DF1" w:rsidRPr="0024733A" w:rsidRDefault="003C6DF1" w:rsidP="0024733A">
      <w:pPr>
        <w:spacing w:after="20" w:line="240" w:lineRule="auto"/>
        <w:jc w:val="both"/>
        <w:rPr>
          <w:rFonts w:ascii="Times New Roman" w:hAnsi="Times New Roman" w:cs="Times New Roman"/>
          <w:b/>
        </w:rPr>
      </w:pPr>
      <w:r w:rsidRPr="0024733A">
        <w:rPr>
          <w:rFonts w:ascii="Times New Roman" w:hAnsi="Times New Roman" w:cs="Times New Roman"/>
          <w:b/>
        </w:rPr>
        <w:t xml:space="preserve">2.12 </w:t>
      </w:r>
      <w:r w:rsidRPr="0024733A">
        <w:rPr>
          <w:rFonts w:ascii="Times New Roman" w:hAnsi="Times New Roman" w:cs="Times New Roman"/>
          <w:b/>
        </w:rPr>
        <w:tab/>
      </w:r>
      <w:r w:rsidRPr="0024733A">
        <w:rPr>
          <w:rFonts w:ascii="Times New Roman" w:hAnsi="Times New Roman" w:cs="Times New Roman"/>
          <w:b/>
        </w:rPr>
        <w:tab/>
        <w:t>Production of recombinant proteins</w:t>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t>88</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 xml:space="preserve">2.12.1 </w:t>
      </w:r>
      <w:r w:rsidRPr="00AE6573">
        <w:rPr>
          <w:rFonts w:ascii="Times New Roman" w:hAnsi="Times New Roman" w:cs="Times New Roman"/>
        </w:rPr>
        <w:tab/>
        <w:t xml:space="preserve">Expression of recombinant protein in </w:t>
      </w:r>
      <w:r w:rsidRPr="00AE6573">
        <w:rPr>
          <w:rFonts w:ascii="Times New Roman" w:hAnsi="Times New Roman" w:cs="Times New Roman"/>
          <w:i/>
        </w:rPr>
        <w:t xml:space="preserve">E. coli </w:t>
      </w:r>
      <w:r w:rsidRPr="00AE6573">
        <w:rPr>
          <w:rFonts w:ascii="Times New Roman" w:hAnsi="Times New Roman" w:cs="Times New Roman"/>
        </w:rPr>
        <w:t>Tuner</w:t>
      </w:r>
      <w:r w:rsidRPr="00AE6573">
        <w:rPr>
          <w:rFonts w:ascii="Times New Roman" w:hAnsi="Times New Roman" w:cs="Times New Roman"/>
          <w:vertAlign w:val="superscript"/>
        </w:rPr>
        <w:t>TM</w:t>
      </w:r>
      <w:r w:rsidRPr="00AE6573">
        <w:rPr>
          <w:rFonts w:ascii="Times New Roman" w:hAnsi="Times New Roman" w:cs="Times New Roman"/>
        </w:rPr>
        <w:t xml:space="preserve"> (DE3)</w:t>
      </w:r>
      <w:r w:rsidRPr="00AE6573">
        <w:rPr>
          <w:rFonts w:ascii="Times New Roman" w:hAnsi="Times New Roman" w:cs="Times New Roman"/>
        </w:rPr>
        <w:tab/>
      </w:r>
      <w:r w:rsidRPr="00AE6573">
        <w:rPr>
          <w:rFonts w:ascii="Times New Roman" w:hAnsi="Times New Roman" w:cs="Times New Roman"/>
        </w:rPr>
        <w:tab/>
        <w:t>88</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lastRenderedPageBreak/>
        <w:t>2.12.2</w:t>
      </w:r>
      <w:r w:rsidR="0024733A">
        <w:rPr>
          <w:rFonts w:ascii="Times New Roman" w:hAnsi="Times New Roman" w:cs="Times New Roman"/>
        </w:rPr>
        <w:tab/>
      </w:r>
      <w:r w:rsidRPr="00AE6573">
        <w:rPr>
          <w:rFonts w:ascii="Times New Roman" w:hAnsi="Times New Roman" w:cs="Times New Roman"/>
        </w:rPr>
        <w:tab/>
        <w:t>Determination of recombinant protein solubility</w:t>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89</w:t>
      </w:r>
    </w:p>
    <w:p w:rsidR="003C6DF1" w:rsidRPr="00AE6573" w:rsidRDefault="003C6DF1" w:rsidP="0024733A">
      <w:pPr>
        <w:spacing w:after="20" w:line="240" w:lineRule="auto"/>
        <w:ind w:firstLine="142"/>
        <w:jc w:val="both"/>
        <w:rPr>
          <w:rFonts w:ascii="Times New Roman" w:hAnsi="Times New Roman" w:cs="Times New Roman"/>
          <w:bCs/>
        </w:rPr>
      </w:pPr>
      <w:r w:rsidRPr="00AE6573">
        <w:rPr>
          <w:rFonts w:ascii="Times New Roman" w:hAnsi="Times New Roman" w:cs="Times New Roman"/>
          <w:bCs/>
        </w:rPr>
        <w:t>2.12.3</w:t>
      </w:r>
      <w:r w:rsidR="0024733A">
        <w:rPr>
          <w:rFonts w:ascii="Times New Roman" w:hAnsi="Times New Roman" w:cs="Times New Roman"/>
          <w:bCs/>
        </w:rPr>
        <w:tab/>
      </w:r>
      <w:r w:rsidRPr="00AE6573">
        <w:rPr>
          <w:rFonts w:ascii="Times New Roman" w:hAnsi="Times New Roman" w:cs="Times New Roman"/>
          <w:bCs/>
        </w:rPr>
        <w:tab/>
        <w:t>Preparation of cell lysates for purification</w:t>
      </w:r>
      <w:r w:rsidRPr="00AE6573">
        <w:rPr>
          <w:rFonts w:ascii="Times New Roman" w:hAnsi="Times New Roman" w:cs="Times New Roman"/>
          <w:bCs/>
        </w:rPr>
        <w:tab/>
      </w:r>
      <w:r w:rsidRPr="00AE6573">
        <w:rPr>
          <w:rFonts w:ascii="Times New Roman" w:hAnsi="Times New Roman" w:cs="Times New Roman"/>
          <w:bCs/>
        </w:rPr>
        <w:tab/>
      </w:r>
      <w:r w:rsidR="0024733A">
        <w:rPr>
          <w:rFonts w:ascii="Times New Roman" w:hAnsi="Times New Roman" w:cs="Times New Roman"/>
          <w:bCs/>
        </w:rPr>
        <w:tab/>
      </w:r>
      <w:r w:rsidRPr="00AE6573">
        <w:rPr>
          <w:rFonts w:ascii="Times New Roman" w:hAnsi="Times New Roman" w:cs="Times New Roman"/>
          <w:bCs/>
        </w:rPr>
        <w:tab/>
        <w:t>89</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2.12.4</w:t>
      </w:r>
      <w:r w:rsidR="0024733A">
        <w:rPr>
          <w:rFonts w:ascii="Times New Roman" w:hAnsi="Times New Roman" w:cs="Times New Roman"/>
        </w:rPr>
        <w:tab/>
      </w:r>
      <w:r w:rsidRPr="00AE6573">
        <w:rPr>
          <w:rFonts w:ascii="Times New Roman" w:hAnsi="Times New Roman" w:cs="Times New Roman"/>
        </w:rPr>
        <w:tab/>
        <w:t>Protein purification using a HiTrap column</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89</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 xml:space="preserve">2.12.5 </w:t>
      </w:r>
      <w:r w:rsidRPr="00AE6573">
        <w:rPr>
          <w:rFonts w:ascii="Times New Roman" w:hAnsi="Times New Roman" w:cs="Times New Roman"/>
        </w:rPr>
        <w:tab/>
        <w:t>Protein dialysis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t>90</w:t>
      </w:r>
    </w:p>
    <w:p w:rsidR="003C6DF1" w:rsidRPr="0024733A" w:rsidRDefault="003C6DF1" w:rsidP="0024733A">
      <w:pPr>
        <w:spacing w:after="20" w:line="240" w:lineRule="auto"/>
        <w:jc w:val="both"/>
        <w:rPr>
          <w:rFonts w:ascii="Times New Roman" w:hAnsi="Times New Roman" w:cs="Times New Roman"/>
          <w:b/>
        </w:rPr>
      </w:pPr>
      <w:r w:rsidRPr="0024733A">
        <w:rPr>
          <w:rFonts w:ascii="Times New Roman" w:hAnsi="Times New Roman" w:cs="Times New Roman"/>
          <w:b/>
        </w:rPr>
        <w:t>2.13</w:t>
      </w:r>
      <w:r w:rsidRPr="0024733A">
        <w:rPr>
          <w:rFonts w:ascii="Times New Roman" w:hAnsi="Times New Roman" w:cs="Times New Roman"/>
          <w:b/>
        </w:rPr>
        <w:tab/>
      </w:r>
      <w:r w:rsidRPr="0024733A">
        <w:rPr>
          <w:rFonts w:ascii="Times New Roman" w:hAnsi="Times New Roman" w:cs="Times New Roman"/>
          <w:b/>
        </w:rPr>
        <w:tab/>
        <w:t>Growth experiments</w:t>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t>91</w:t>
      </w:r>
    </w:p>
    <w:p w:rsidR="003C6DF1" w:rsidRPr="00AE6573" w:rsidRDefault="003C6DF1" w:rsidP="0024733A">
      <w:pPr>
        <w:spacing w:after="20" w:line="240" w:lineRule="auto"/>
        <w:ind w:firstLine="142"/>
        <w:jc w:val="both"/>
        <w:rPr>
          <w:rFonts w:ascii="Times New Roman" w:hAnsi="Times New Roman" w:cs="Times New Roman"/>
          <w:i/>
        </w:rPr>
      </w:pPr>
      <w:r w:rsidRPr="00AE6573">
        <w:rPr>
          <w:rFonts w:ascii="Times New Roman" w:hAnsi="Times New Roman" w:cs="Times New Roman"/>
        </w:rPr>
        <w:t>2.13.1</w:t>
      </w:r>
      <w:r w:rsidR="0024733A">
        <w:rPr>
          <w:rFonts w:ascii="Times New Roman" w:hAnsi="Times New Roman" w:cs="Times New Roman"/>
        </w:rPr>
        <w:tab/>
      </w:r>
      <w:r w:rsidRPr="00AE6573">
        <w:rPr>
          <w:rFonts w:ascii="Times New Roman" w:hAnsi="Times New Roman" w:cs="Times New Roman"/>
        </w:rPr>
        <w:tab/>
        <w:t>Pulse-chase labelling of nascent cell wall synthesis in</w:t>
      </w:r>
      <w:r w:rsidR="0024733A">
        <w:rPr>
          <w:rFonts w:ascii="Times New Roman" w:hAnsi="Times New Roman" w:cs="Times New Roman"/>
        </w:rPr>
        <w:t xml:space="preserve"> </w:t>
      </w:r>
      <w:r w:rsidRPr="00AE6573">
        <w:rPr>
          <w:rFonts w:ascii="Times New Roman" w:hAnsi="Times New Roman" w:cs="Times New Roman"/>
          <w:i/>
        </w:rPr>
        <w:t>S. aureus</w:t>
      </w:r>
      <w:r w:rsidRPr="00AE6573">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rPr>
        <w:t>91</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2.13.2</w:t>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 xml:space="preserve">Growth of an IPTG-inducible conditional </w:t>
      </w:r>
      <w:r w:rsidRPr="00AE6573">
        <w:rPr>
          <w:rFonts w:ascii="Times New Roman" w:hAnsi="Times New Roman" w:cs="Times New Roman"/>
          <w:i/>
        </w:rPr>
        <w:t>S. aureus</w:t>
      </w:r>
      <w:r w:rsidR="0024733A">
        <w:rPr>
          <w:rFonts w:ascii="Times New Roman" w:hAnsi="Times New Roman" w:cs="Times New Roman"/>
          <w:i/>
        </w:rPr>
        <w:t xml:space="preserve"> </w:t>
      </w:r>
      <w:r w:rsidRPr="00AE6573">
        <w:rPr>
          <w:rFonts w:ascii="Times New Roman" w:hAnsi="Times New Roman" w:cs="Times New Roman"/>
        </w:rPr>
        <w:t xml:space="preserve">mutant </w:t>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91</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2.13.3</w:t>
      </w:r>
      <w:r w:rsidR="0024733A">
        <w:rPr>
          <w:rFonts w:ascii="Times New Roman" w:hAnsi="Times New Roman" w:cs="Times New Roman"/>
        </w:rPr>
        <w:tab/>
      </w:r>
      <w:r w:rsidRPr="00AE6573">
        <w:rPr>
          <w:rFonts w:ascii="Times New Roman" w:hAnsi="Times New Roman" w:cs="Times New Roman"/>
        </w:rPr>
        <w:tab/>
        <w:t>Growth at high salt concentration</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92</w:t>
      </w:r>
    </w:p>
    <w:p w:rsidR="003C6DF1" w:rsidRPr="0024733A" w:rsidRDefault="003C6DF1" w:rsidP="0024733A">
      <w:pPr>
        <w:spacing w:after="20" w:line="240" w:lineRule="auto"/>
        <w:jc w:val="both"/>
        <w:rPr>
          <w:rFonts w:ascii="Times New Roman" w:hAnsi="Times New Roman" w:cs="Times New Roman"/>
          <w:b/>
        </w:rPr>
      </w:pPr>
      <w:r w:rsidRPr="0024733A">
        <w:rPr>
          <w:rFonts w:ascii="Times New Roman" w:hAnsi="Times New Roman" w:cs="Times New Roman"/>
          <w:b/>
        </w:rPr>
        <w:t xml:space="preserve">2.14 </w:t>
      </w:r>
      <w:r w:rsidRPr="0024733A">
        <w:rPr>
          <w:rFonts w:ascii="Times New Roman" w:hAnsi="Times New Roman" w:cs="Times New Roman"/>
          <w:b/>
        </w:rPr>
        <w:tab/>
      </w:r>
      <w:r w:rsidRPr="0024733A">
        <w:rPr>
          <w:rFonts w:ascii="Times New Roman" w:hAnsi="Times New Roman" w:cs="Times New Roman"/>
          <w:b/>
        </w:rPr>
        <w:tab/>
        <w:t>Preparation of purified cell walls and sacculi</w:t>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t>92</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 xml:space="preserve">2.14.1 </w:t>
      </w:r>
      <w:r w:rsidRPr="00AE6573">
        <w:rPr>
          <w:rFonts w:ascii="Times New Roman" w:hAnsi="Times New Roman" w:cs="Times New Roman"/>
        </w:rPr>
        <w:tab/>
        <w:t>Breakage of cell walls for imaging</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92</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2.14.2</w:t>
      </w:r>
      <w:r w:rsidR="0024733A">
        <w:rPr>
          <w:rFonts w:ascii="Times New Roman" w:hAnsi="Times New Roman" w:cs="Times New Roman"/>
        </w:rPr>
        <w:tab/>
      </w:r>
      <w:r w:rsidRPr="00AE6573">
        <w:rPr>
          <w:rFonts w:ascii="Times New Roman" w:hAnsi="Times New Roman" w:cs="Times New Roman"/>
        </w:rPr>
        <w:tab/>
        <w:t>Extraction of cell walls for fluorescence microscopy</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93</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2.14.3</w:t>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Extraction of cell walls for AFM</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93</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 xml:space="preserve">2.14.4 </w:t>
      </w:r>
      <w:r w:rsidRPr="00AE6573">
        <w:rPr>
          <w:rFonts w:ascii="Times New Roman" w:hAnsi="Times New Roman" w:cs="Times New Roman"/>
        </w:rPr>
        <w:tab/>
        <w:t>Chemical purification of sacculi</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t>94</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2.14.5</w:t>
      </w:r>
      <w:r w:rsidR="0024733A">
        <w:rPr>
          <w:rFonts w:ascii="Times New Roman" w:hAnsi="Times New Roman" w:cs="Times New Roman"/>
        </w:rPr>
        <w:tab/>
      </w:r>
      <w:r w:rsidRPr="00AE6573">
        <w:rPr>
          <w:rFonts w:ascii="Times New Roman" w:hAnsi="Times New Roman" w:cs="Times New Roman"/>
        </w:rPr>
        <w:tab/>
        <w:t>Preparation of cell walls and sacculi for AFM imaging</w:t>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t>94</w:t>
      </w:r>
    </w:p>
    <w:p w:rsidR="003C6DF1" w:rsidRPr="0024733A" w:rsidRDefault="003C6DF1" w:rsidP="0024733A">
      <w:pPr>
        <w:spacing w:after="20" w:line="240" w:lineRule="auto"/>
        <w:jc w:val="both"/>
        <w:rPr>
          <w:rFonts w:ascii="Times New Roman" w:hAnsi="Times New Roman" w:cs="Times New Roman"/>
          <w:b/>
        </w:rPr>
      </w:pPr>
      <w:r w:rsidRPr="0024733A">
        <w:rPr>
          <w:rFonts w:ascii="Times New Roman" w:hAnsi="Times New Roman" w:cs="Times New Roman"/>
          <w:b/>
        </w:rPr>
        <w:t>2.15</w:t>
      </w:r>
      <w:r w:rsidRPr="0024733A">
        <w:rPr>
          <w:rFonts w:ascii="Times New Roman" w:hAnsi="Times New Roman" w:cs="Times New Roman"/>
          <w:b/>
        </w:rPr>
        <w:tab/>
      </w:r>
      <w:r w:rsidRPr="0024733A">
        <w:rPr>
          <w:rFonts w:ascii="Times New Roman" w:hAnsi="Times New Roman" w:cs="Times New Roman"/>
          <w:b/>
        </w:rPr>
        <w:tab/>
        <w:t>Microscopy</w:t>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t>95</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2.15.1</w:t>
      </w:r>
      <w:r w:rsidR="0024733A">
        <w:rPr>
          <w:rFonts w:ascii="Times New Roman" w:hAnsi="Times New Roman" w:cs="Times New Roman"/>
        </w:rPr>
        <w:tab/>
      </w:r>
      <w:r w:rsidRPr="00AE6573">
        <w:rPr>
          <w:rFonts w:ascii="Times New Roman" w:hAnsi="Times New Roman" w:cs="Times New Roman"/>
        </w:rPr>
        <w:tab/>
        <w:t>Fixing of cells for microscopy</w:t>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95</w:t>
      </w:r>
    </w:p>
    <w:p w:rsidR="003C6DF1" w:rsidRPr="00AE6573" w:rsidRDefault="003C6DF1" w:rsidP="0024733A">
      <w:pPr>
        <w:spacing w:after="20" w:line="240" w:lineRule="auto"/>
        <w:ind w:left="1440" w:hanging="1298"/>
        <w:jc w:val="both"/>
        <w:rPr>
          <w:rFonts w:ascii="Times New Roman" w:hAnsi="Times New Roman" w:cs="Times New Roman"/>
        </w:rPr>
      </w:pPr>
      <w:r w:rsidRPr="00AE6573">
        <w:rPr>
          <w:rFonts w:ascii="Times New Roman" w:hAnsi="Times New Roman" w:cs="Times New Roman"/>
        </w:rPr>
        <w:t>2.15.2</w:t>
      </w:r>
      <w:r w:rsidRPr="00AE6573">
        <w:rPr>
          <w:rFonts w:ascii="Times New Roman" w:hAnsi="Times New Roman" w:cs="Times New Roman"/>
        </w:rPr>
        <w:tab/>
        <w:t>Fluorescent vancomycin labelling of nascent cell wall synthesis</w:t>
      </w:r>
      <w:r w:rsidR="0024733A">
        <w:rPr>
          <w:rFonts w:ascii="Times New Roman" w:hAnsi="Times New Roman" w:cs="Times New Roman"/>
        </w:rPr>
        <w:tab/>
      </w:r>
      <w:r w:rsidRPr="00AE6573">
        <w:rPr>
          <w:rFonts w:ascii="Times New Roman" w:hAnsi="Times New Roman" w:cs="Times New Roman"/>
        </w:rPr>
        <w:tab/>
        <w:t>95</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2.15.3</w:t>
      </w:r>
      <w:r w:rsidR="0024733A">
        <w:rPr>
          <w:rFonts w:ascii="Times New Roman" w:hAnsi="Times New Roman" w:cs="Times New Roman"/>
        </w:rPr>
        <w:tab/>
      </w:r>
      <w:r w:rsidRPr="00AE6573">
        <w:rPr>
          <w:rFonts w:ascii="Times New Roman" w:hAnsi="Times New Roman" w:cs="Times New Roman"/>
        </w:rPr>
        <w:tab/>
        <w:t xml:space="preserve">Labelling of cell </w:t>
      </w:r>
      <w:r w:rsidR="0024733A">
        <w:rPr>
          <w:rFonts w:ascii="Times New Roman" w:hAnsi="Times New Roman" w:cs="Times New Roman"/>
        </w:rPr>
        <w:t>walls with fluorescent lectins</w:t>
      </w:r>
      <w:r w:rsidR="0024733A">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95</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2.15.4</w:t>
      </w:r>
      <w:r w:rsidRPr="00AE6573">
        <w:rPr>
          <w:rFonts w:ascii="Times New Roman" w:hAnsi="Times New Roman" w:cs="Times New Roman"/>
        </w:rPr>
        <w:tab/>
      </w:r>
      <w:r w:rsidR="0024733A">
        <w:rPr>
          <w:rFonts w:ascii="Times New Roman" w:hAnsi="Times New Roman" w:cs="Times New Roman"/>
        </w:rPr>
        <w:tab/>
      </w:r>
      <w:proofErr w:type="gramStart"/>
      <w:r w:rsidRPr="00AE6573">
        <w:rPr>
          <w:rFonts w:ascii="Times New Roman" w:hAnsi="Times New Roman" w:cs="Times New Roman"/>
        </w:rPr>
        <w:t>Labelling</w:t>
      </w:r>
      <w:proofErr w:type="gramEnd"/>
      <w:r w:rsidRPr="00AE6573">
        <w:rPr>
          <w:rFonts w:ascii="Times New Roman" w:hAnsi="Times New Roman" w:cs="Times New Roman"/>
        </w:rPr>
        <w:t xml:space="preserve"> of cell walls with chemical probes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96</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2.15.5</w:t>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Slide preparation for light microscopy</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t>96</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2.15.6</w:t>
      </w:r>
      <w:r w:rsidRPr="00AE6573">
        <w:rPr>
          <w:rFonts w:ascii="Times New Roman" w:hAnsi="Times New Roman" w:cs="Times New Roman"/>
        </w:rPr>
        <w:tab/>
      </w:r>
      <w:r w:rsidR="0024733A">
        <w:rPr>
          <w:rFonts w:ascii="Times New Roman" w:hAnsi="Times New Roman" w:cs="Times New Roman"/>
        </w:rPr>
        <w:tab/>
        <w:t>Fluorescence microscopy</w:t>
      </w:r>
      <w:r w:rsidR="0024733A">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96</w:t>
      </w:r>
    </w:p>
    <w:p w:rsidR="003C6DF1" w:rsidRPr="00AE6573" w:rsidRDefault="003C6DF1" w:rsidP="0024733A">
      <w:pPr>
        <w:spacing w:after="20" w:line="240" w:lineRule="auto"/>
        <w:ind w:left="1440" w:hanging="1298"/>
        <w:jc w:val="both"/>
        <w:rPr>
          <w:rFonts w:ascii="Times New Roman" w:hAnsi="Times New Roman" w:cs="Times New Roman"/>
        </w:rPr>
      </w:pPr>
      <w:r w:rsidRPr="00AE6573">
        <w:rPr>
          <w:rFonts w:ascii="Times New Roman" w:hAnsi="Times New Roman" w:cs="Times New Roman"/>
        </w:rPr>
        <w:t>2.15.7</w:t>
      </w:r>
      <w:r w:rsidRPr="00AE6573">
        <w:rPr>
          <w:rFonts w:ascii="Times New Roman" w:hAnsi="Times New Roman" w:cs="Times New Roman"/>
        </w:rPr>
        <w:tab/>
        <w:t>Three dimensional structured illumination microscopy (3D-SIM)</w:t>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97</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2.15.8</w:t>
      </w:r>
      <w:r w:rsidR="0024733A">
        <w:rPr>
          <w:rFonts w:ascii="Times New Roman" w:hAnsi="Times New Roman" w:cs="Times New Roman"/>
        </w:rPr>
        <w:tab/>
      </w:r>
      <w:r w:rsidRPr="00AE6573">
        <w:rPr>
          <w:rFonts w:ascii="Times New Roman" w:hAnsi="Times New Roman" w:cs="Times New Roman"/>
        </w:rPr>
        <w:tab/>
        <w:t xml:space="preserve">Imaging </w:t>
      </w:r>
      <w:r w:rsidR="0024733A">
        <w:rPr>
          <w:rFonts w:ascii="Times New Roman" w:hAnsi="Times New Roman" w:cs="Times New Roman"/>
        </w:rPr>
        <w:t>of purified cell walls by AFM</w:t>
      </w:r>
      <w:r w:rsidR="0024733A">
        <w:rPr>
          <w:rFonts w:ascii="Times New Roman" w:hAnsi="Times New Roman" w:cs="Times New Roman"/>
        </w:rPr>
        <w:tab/>
      </w:r>
      <w:r w:rsidR="0024733A">
        <w:rPr>
          <w:rFonts w:ascii="Times New Roman" w:hAnsi="Times New Roman" w:cs="Times New Roman"/>
        </w:rPr>
        <w:tab/>
      </w:r>
      <w:r w:rsidR="0024733A">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t>97</w:t>
      </w:r>
    </w:p>
    <w:p w:rsidR="003C6DF1" w:rsidRPr="00AE6573" w:rsidRDefault="003C6DF1" w:rsidP="0024733A">
      <w:pPr>
        <w:autoSpaceDE w:val="0"/>
        <w:autoSpaceDN w:val="0"/>
        <w:adjustRightInd w:val="0"/>
        <w:spacing w:after="20" w:line="240" w:lineRule="auto"/>
        <w:ind w:firstLine="142"/>
        <w:jc w:val="both"/>
        <w:rPr>
          <w:rFonts w:ascii="Times New Roman" w:hAnsi="Times New Roman" w:cs="Times New Roman"/>
        </w:rPr>
      </w:pPr>
      <w:r w:rsidRPr="00AE6573">
        <w:rPr>
          <w:rFonts w:ascii="Times New Roman" w:hAnsi="Times New Roman" w:cs="Times New Roman"/>
        </w:rPr>
        <w:t>2.15.9</w:t>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Electron microscopy</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97</w:t>
      </w:r>
    </w:p>
    <w:p w:rsidR="003C6DF1" w:rsidRPr="0024733A" w:rsidRDefault="003C6DF1" w:rsidP="0024733A">
      <w:pPr>
        <w:spacing w:after="20" w:line="240" w:lineRule="auto"/>
        <w:jc w:val="both"/>
        <w:rPr>
          <w:rStyle w:val="apple-style-span"/>
          <w:rFonts w:ascii="Times New Roman" w:hAnsi="Times New Roman" w:cs="Times New Roman"/>
          <w:b/>
          <w:bCs/>
          <w:lang w:val="en-US"/>
        </w:rPr>
      </w:pPr>
      <w:r w:rsidRPr="0024733A">
        <w:rPr>
          <w:rStyle w:val="apple-style-span"/>
          <w:rFonts w:ascii="Times New Roman" w:hAnsi="Times New Roman" w:cs="Times New Roman"/>
          <w:b/>
          <w:bCs/>
          <w:lang w:val="en-US"/>
        </w:rPr>
        <w:t>2.16</w:t>
      </w:r>
      <w:r w:rsidRPr="0024733A">
        <w:rPr>
          <w:rStyle w:val="apple-style-span"/>
          <w:rFonts w:ascii="Times New Roman" w:hAnsi="Times New Roman" w:cs="Times New Roman"/>
          <w:b/>
          <w:bCs/>
          <w:lang w:val="en-US"/>
        </w:rPr>
        <w:tab/>
      </w:r>
      <w:r w:rsidRPr="0024733A">
        <w:rPr>
          <w:rStyle w:val="apple-style-span"/>
          <w:rFonts w:ascii="Times New Roman" w:hAnsi="Times New Roman" w:cs="Times New Roman"/>
          <w:b/>
          <w:bCs/>
          <w:lang w:val="en-US"/>
        </w:rPr>
        <w:tab/>
        <w:t>Preparation of cell walls for biochemical analysis</w:t>
      </w:r>
      <w:r w:rsidRPr="0024733A">
        <w:rPr>
          <w:rStyle w:val="apple-style-span"/>
          <w:rFonts w:ascii="Times New Roman" w:hAnsi="Times New Roman" w:cs="Times New Roman"/>
          <w:b/>
          <w:bCs/>
          <w:lang w:val="en-US"/>
        </w:rPr>
        <w:tab/>
      </w:r>
      <w:r w:rsidRPr="0024733A">
        <w:rPr>
          <w:rStyle w:val="apple-style-span"/>
          <w:rFonts w:ascii="Times New Roman" w:hAnsi="Times New Roman" w:cs="Times New Roman"/>
          <w:b/>
          <w:bCs/>
          <w:lang w:val="en-US"/>
        </w:rPr>
        <w:tab/>
      </w:r>
      <w:r w:rsidRPr="0024733A">
        <w:rPr>
          <w:rStyle w:val="apple-style-span"/>
          <w:rFonts w:ascii="Times New Roman" w:hAnsi="Times New Roman" w:cs="Times New Roman"/>
          <w:b/>
          <w:bCs/>
          <w:lang w:val="en-US"/>
        </w:rPr>
        <w:tab/>
        <w:t>100</w:t>
      </w:r>
    </w:p>
    <w:p w:rsidR="003C6DF1" w:rsidRPr="00AE6573" w:rsidRDefault="003C6DF1" w:rsidP="0024733A">
      <w:pPr>
        <w:spacing w:after="20" w:line="240" w:lineRule="auto"/>
        <w:ind w:firstLine="142"/>
        <w:jc w:val="both"/>
        <w:rPr>
          <w:rStyle w:val="apple-style-span"/>
          <w:rFonts w:ascii="Times New Roman" w:hAnsi="Times New Roman" w:cs="Times New Roman"/>
          <w:b/>
          <w:bCs/>
          <w:lang w:val="en-US"/>
        </w:rPr>
      </w:pPr>
      <w:r w:rsidRPr="00AE6573">
        <w:rPr>
          <w:rStyle w:val="apple-style-span"/>
          <w:rFonts w:ascii="Times New Roman" w:hAnsi="Times New Roman" w:cs="Times New Roman"/>
          <w:bCs/>
          <w:lang w:val="en-US"/>
        </w:rPr>
        <w:t>2.16.1</w:t>
      </w:r>
      <w:r w:rsidRPr="00AE6573">
        <w:rPr>
          <w:rStyle w:val="apple-style-span"/>
          <w:rFonts w:ascii="Times New Roman" w:hAnsi="Times New Roman" w:cs="Times New Roman"/>
          <w:bCs/>
          <w:lang w:val="en-US"/>
        </w:rPr>
        <w:tab/>
      </w:r>
      <w:r w:rsidR="0024733A">
        <w:rPr>
          <w:rStyle w:val="apple-style-span"/>
          <w:rFonts w:ascii="Times New Roman" w:hAnsi="Times New Roman" w:cs="Times New Roman"/>
          <w:bCs/>
          <w:lang w:val="en-US"/>
        </w:rPr>
        <w:tab/>
      </w:r>
      <w:r w:rsidRPr="00AE6573">
        <w:rPr>
          <w:rStyle w:val="apple-style-span"/>
          <w:rFonts w:ascii="Times New Roman" w:hAnsi="Times New Roman" w:cs="Times New Roman"/>
          <w:bCs/>
          <w:lang w:val="en-US"/>
        </w:rPr>
        <w:t>Cell wall radiolabelling and purification</w:t>
      </w:r>
      <w:r w:rsidRPr="00AE6573">
        <w:rPr>
          <w:rStyle w:val="apple-style-span"/>
          <w:rFonts w:ascii="Times New Roman" w:hAnsi="Times New Roman" w:cs="Times New Roman"/>
          <w:b/>
          <w:bCs/>
          <w:lang w:val="en-US"/>
        </w:rPr>
        <w:tab/>
      </w:r>
      <w:r w:rsidRPr="00AE6573">
        <w:rPr>
          <w:rStyle w:val="apple-style-span"/>
          <w:rFonts w:ascii="Times New Roman" w:hAnsi="Times New Roman" w:cs="Times New Roman"/>
          <w:b/>
          <w:bCs/>
          <w:lang w:val="en-US"/>
        </w:rPr>
        <w:tab/>
      </w:r>
      <w:r w:rsidRPr="00AE6573">
        <w:rPr>
          <w:rStyle w:val="apple-style-span"/>
          <w:rFonts w:ascii="Times New Roman" w:hAnsi="Times New Roman" w:cs="Times New Roman"/>
          <w:b/>
          <w:bCs/>
          <w:lang w:val="en-US"/>
        </w:rPr>
        <w:tab/>
      </w:r>
      <w:r w:rsidR="0024733A">
        <w:rPr>
          <w:rStyle w:val="apple-style-span"/>
          <w:rFonts w:ascii="Times New Roman" w:hAnsi="Times New Roman" w:cs="Times New Roman"/>
          <w:b/>
          <w:bCs/>
          <w:lang w:val="en-US"/>
        </w:rPr>
        <w:tab/>
      </w:r>
      <w:r w:rsidRPr="00AE6573">
        <w:rPr>
          <w:rStyle w:val="apple-style-span"/>
          <w:rFonts w:ascii="Times New Roman" w:hAnsi="Times New Roman" w:cs="Times New Roman"/>
          <w:b/>
          <w:bCs/>
          <w:lang w:val="en-US"/>
        </w:rPr>
        <w:tab/>
      </w:r>
      <w:r w:rsidRPr="00AE6573">
        <w:rPr>
          <w:rStyle w:val="apple-style-span"/>
          <w:rFonts w:ascii="Times New Roman" w:hAnsi="Times New Roman" w:cs="Times New Roman"/>
          <w:bCs/>
          <w:lang w:val="en-US"/>
        </w:rPr>
        <w:t>100</w:t>
      </w:r>
    </w:p>
    <w:p w:rsidR="003C6DF1" w:rsidRPr="00AE6573" w:rsidRDefault="003C6DF1" w:rsidP="0024733A">
      <w:pPr>
        <w:spacing w:after="20" w:line="240" w:lineRule="auto"/>
        <w:ind w:firstLine="142"/>
        <w:jc w:val="both"/>
        <w:rPr>
          <w:rFonts w:ascii="Times New Roman" w:eastAsia="Calibri" w:hAnsi="Times New Roman" w:cs="Times New Roman"/>
        </w:rPr>
      </w:pPr>
      <w:r w:rsidRPr="00AE6573">
        <w:rPr>
          <w:rFonts w:ascii="Times New Roman" w:eastAsia="Calibri" w:hAnsi="Times New Roman" w:cs="Times New Roman"/>
        </w:rPr>
        <w:t>2.16.2</w:t>
      </w:r>
      <w:r w:rsidRPr="00AE6573">
        <w:rPr>
          <w:rFonts w:ascii="Times New Roman" w:eastAsia="Calibri" w:hAnsi="Times New Roman" w:cs="Times New Roman"/>
        </w:rPr>
        <w:tab/>
      </w:r>
      <w:r w:rsidR="0024733A">
        <w:rPr>
          <w:rFonts w:ascii="Times New Roman" w:eastAsia="Calibri" w:hAnsi="Times New Roman" w:cs="Times New Roman"/>
        </w:rPr>
        <w:tab/>
      </w:r>
      <w:r w:rsidRPr="00AE6573">
        <w:rPr>
          <w:rFonts w:ascii="Times New Roman" w:eastAsia="Calibri" w:hAnsi="Times New Roman" w:cs="Times New Roman"/>
        </w:rPr>
        <w:t>Amidase digest of glycan strands from stem peptides</w:t>
      </w:r>
      <w:r w:rsidRPr="00AE6573">
        <w:rPr>
          <w:rFonts w:ascii="Times New Roman" w:eastAsia="Calibri" w:hAnsi="Times New Roman" w:cs="Times New Roman"/>
        </w:rPr>
        <w:tab/>
      </w:r>
      <w:r w:rsidRPr="00AE6573">
        <w:rPr>
          <w:rFonts w:ascii="Times New Roman" w:eastAsia="Calibri" w:hAnsi="Times New Roman" w:cs="Times New Roman"/>
        </w:rPr>
        <w:tab/>
      </w:r>
      <w:r w:rsidR="0024733A">
        <w:rPr>
          <w:rFonts w:ascii="Times New Roman" w:eastAsia="Calibri" w:hAnsi="Times New Roman" w:cs="Times New Roman"/>
        </w:rPr>
        <w:tab/>
      </w:r>
      <w:r w:rsidRPr="00AE6573">
        <w:rPr>
          <w:rFonts w:ascii="Times New Roman" w:eastAsia="Calibri" w:hAnsi="Times New Roman" w:cs="Times New Roman"/>
        </w:rPr>
        <w:t>100</w:t>
      </w:r>
    </w:p>
    <w:p w:rsidR="003C6DF1" w:rsidRPr="00AE6573" w:rsidRDefault="003C6DF1" w:rsidP="0024733A">
      <w:pPr>
        <w:spacing w:after="20" w:line="240" w:lineRule="auto"/>
        <w:ind w:firstLine="142"/>
        <w:jc w:val="both"/>
        <w:rPr>
          <w:rFonts w:ascii="Times New Roman" w:eastAsia="Calibri" w:hAnsi="Times New Roman" w:cs="Times New Roman"/>
        </w:rPr>
      </w:pPr>
      <w:r w:rsidRPr="00AE6573">
        <w:rPr>
          <w:rFonts w:ascii="Times New Roman" w:eastAsia="Calibri" w:hAnsi="Times New Roman" w:cs="Times New Roman"/>
        </w:rPr>
        <w:t>2.16.3</w:t>
      </w:r>
      <w:r w:rsidRPr="00AE6573">
        <w:rPr>
          <w:rFonts w:ascii="Times New Roman" w:eastAsia="Calibri" w:hAnsi="Times New Roman" w:cs="Times New Roman"/>
        </w:rPr>
        <w:tab/>
      </w:r>
      <w:r w:rsidR="0024733A">
        <w:rPr>
          <w:rFonts w:ascii="Times New Roman" w:eastAsia="Calibri" w:hAnsi="Times New Roman" w:cs="Times New Roman"/>
        </w:rPr>
        <w:tab/>
      </w:r>
      <w:r w:rsidRPr="00AE6573">
        <w:rPr>
          <w:rFonts w:ascii="Times New Roman" w:eastAsia="Calibri" w:hAnsi="Times New Roman" w:cs="Times New Roman"/>
        </w:rPr>
        <w:t>Sodium borohydride reduction of soluble peptidoglycan mate</w:t>
      </w:r>
      <w:r w:rsidR="0024733A">
        <w:rPr>
          <w:rFonts w:ascii="Times New Roman" w:eastAsia="Calibri" w:hAnsi="Times New Roman" w:cs="Times New Roman"/>
        </w:rPr>
        <w:t>rial</w:t>
      </w:r>
      <w:r w:rsidR="0024733A">
        <w:rPr>
          <w:rFonts w:ascii="Times New Roman" w:eastAsia="Calibri" w:hAnsi="Times New Roman" w:cs="Times New Roman"/>
        </w:rPr>
        <w:tab/>
      </w:r>
      <w:r w:rsidRPr="00AE6573">
        <w:rPr>
          <w:rFonts w:ascii="Times New Roman" w:eastAsia="Calibri" w:hAnsi="Times New Roman" w:cs="Times New Roman"/>
        </w:rPr>
        <w:tab/>
        <w:t>101</w:t>
      </w:r>
    </w:p>
    <w:p w:rsidR="003C6DF1" w:rsidRPr="00AE6573" w:rsidRDefault="003C6DF1" w:rsidP="0024733A">
      <w:pPr>
        <w:spacing w:after="20" w:line="240" w:lineRule="auto"/>
        <w:ind w:firstLine="142"/>
        <w:jc w:val="both"/>
        <w:rPr>
          <w:rFonts w:ascii="Times New Roman" w:eastAsia="Calibri" w:hAnsi="Times New Roman" w:cs="Times New Roman"/>
        </w:rPr>
      </w:pPr>
      <w:r w:rsidRPr="00AE6573">
        <w:rPr>
          <w:rFonts w:ascii="Times New Roman" w:eastAsia="Calibri" w:hAnsi="Times New Roman" w:cs="Times New Roman"/>
        </w:rPr>
        <w:t>2.16.4</w:t>
      </w:r>
      <w:r w:rsidRPr="00AE6573">
        <w:rPr>
          <w:rFonts w:ascii="Times New Roman" w:eastAsia="Calibri" w:hAnsi="Times New Roman" w:cs="Times New Roman"/>
        </w:rPr>
        <w:tab/>
      </w:r>
      <w:r w:rsidR="0024733A">
        <w:rPr>
          <w:rFonts w:ascii="Times New Roman" w:eastAsia="Calibri" w:hAnsi="Times New Roman" w:cs="Times New Roman"/>
        </w:rPr>
        <w:tab/>
      </w:r>
      <w:r w:rsidRPr="00AE6573">
        <w:rPr>
          <w:rFonts w:ascii="Times New Roman" w:eastAsia="Calibri" w:hAnsi="Times New Roman" w:cs="Times New Roman"/>
        </w:rPr>
        <w:t>Ion exchange separation of glycan strands and peptide</w:t>
      </w:r>
      <w:r w:rsidR="0024733A">
        <w:rPr>
          <w:rFonts w:ascii="Times New Roman" w:eastAsia="Calibri" w:hAnsi="Times New Roman" w:cs="Times New Roman"/>
        </w:rPr>
        <w:t xml:space="preserve"> </w:t>
      </w:r>
      <w:r w:rsidRPr="00AE6573">
        <w:rPr>
          <w:rFonts w:ascii="Times New Roman" w:eastAsia="Calibri" w:hAnsi="Times New Roman" w:cs="Times New Roman"/>
        </w:rPr>
        <w:t>stems</w:t>
      </w:r>
      <w:r w:rsidRPr="00AE6573">
        <w:rPr>
          <w:rFonts w:ascii="Times New Roman" w:eastAsia="Calibri" w:hAnsi="Times New Roman" w:cs="Times New Roman"/>
        </w:rPr>
        <w:tab/>
      </w:r>
      <w:r w:rsidRPr="00AE6573">
        <w:rPr>
          <w:rFonts w:ascii="Times New Roman" w:eastAsia="Calibri" w:hAnsi="Times New Roman" w:cs="Times New Roman"/>
        </w:rPr>
        <w:tab/>
        <w:t>101</w:t>
      </w:r>
    </w:p>
    <w:p w:rsidR="003C6DF1" w:rsidRPr="00AE6573" w:rsidRDefault="003C6DF1" w:rsidP="0024733A">
      <w:pPr>
        <w:spacing w:after="20" w:line="240" w:lineRule="auto"/>
        <w:ind w:firstLine="142"/>
        <w:jc w:val="both"/>
        <w:rPr>
          <w:rFonts w:ascii="Times New Roman" w:eastAsia="Calibri" w:hAnsi="Times New Roman" w:cs="Times New Roman"/>
        </w:rPr>
      </w:pPr>
      <w:r w:rsidRPr="00AE6573">
        <w:rPr>
          <w:rFonts w:ascii="Times New Roman" w:eastAsia="Calibri" w:hAnsi="Times New Roman" w:cs="Times New Roman"/>
        </w:rPr>
        <w:t>2.16.5</w:t>
      </w:r>
      <w:r w:rsidR="0024733A">
        <w:rPr>
          <w:rFonts w:ascii="Times New Roman" w:eastAsia="Calibri" w:hAnsi="Times New Roman" w:cs="Times New Roman"/>
        </w:rPr>
        <w:tab/>
      </w:r>
      <w:r w:rsidRPr="00AE6573">
        <w:rPr>
          <w:rFonts w:ascii="Times New Roman" w:eastAsia="Calibri" w:hAnsi="Times New Roman" w:cs="Times New Roman"/>
        </w:rPr>
        <w:tab/>
        <w:t>HPLC separation of glycan strands</w:t>
      </w:r>
      <w:r w:rsidRPr="00AE6573">
        <w:rPr>
          <w:rFonts w:ascii="Times New Roman" w:eastAsia="Calibri" w:hAnsi="Times New Roman" w:cs="Times New Roman"/>
        </w:rPr>
        <w:tab/>
      </w:r>
      <w:r w:rsidRPr="00AE6573">
        <w:rPr>
          <w:rFonts w:ascii="Times New Roman" w:eastAsia="Calibri" w:hAnsi="Times New Roman" w:cs="Times New Roman"/>
        </w:rPr>
        <w:tab/>
      </w:r>
      <w:r w:rsidRPr="00AE6573">
        <w:rPr>
          <w:rFonts w:ascii="Times New Roman" w:eastAsia="Calibri" w:hAnsi="Times New Roman" w:cs="Times New Roman"/>
        </w:rPr>
        <w:tab/>
      </w:r>
      <w:r w:rsidRPr="00AE6573">
        <w:rPr>
          <w:rFonts w:ascii="Times New Roman" w:eastAsia="Calibri" w:hAnsi="Times New Roman" w:cs="Times New Roman"/>
        </w:rPr>
        <w:tab/>
      </w:r>
      <w:r w:rsidRPr="00AE6573">
        <w:rPr>
          <w:rFonts w:ascii="Times New Roman" w:eastAsia="Calibri" w:hAnsi="Times New Roman" w:cs="Times New Roman"/>
        </w:rPr>
        <w:tab/>
        <w:t>101</w:t>
      </w:r>
    </w:p>
    <w:p w:rsidR="003C6DF1" w:rsidRPr="00AE6573" w:rsidRDefault="003C6DF1" w:rsidP="0024733A">
      <w:pPr>
        <w:spacing w:after="20" w:line="240" w:lineRule="auto"/>
        <w:ind w:firstLine="142"/>
        <w:jc w:val="both"/>
        <w:rPr>
          <w:rFonts w:ascii="Times New Roman" w:eastAsia="Calibri" w:hAnsi="Times New Roman" w:cs="Times New Roman"/>
        </w:rPr>
      </w:pPr>
      <w:r w:rsidRPr="00AE6573">
        <w:rPr>
          <w:rFonts w:ascii="Times New Roman" w:eastAsia="Calibri" w:hAnsi="Times New Roman" w:cs="Times New Roman"/>
        </w:rPr>
        <w:t>2.16.6</w:t>
      </w:r>
      <w:r w:rsidR="0024733A">
        <w:rPr>
          <w:rFonts w:ascii="Times New Roman" w:eastAsia="Calibri" w:hAnsi="Times New Roman" w:cs="Times New Roman"/>
        </w:rPr>
        <w:tab/>
      </w:r>
      <w:r w:rsidRPr="00AE6573">
        <w:rPr>
          <w:rFonts w:ascii="Times New Roman" w:eastAsia="Calibri" w:hAnsi="Times New Roman" w:cs="Times New Roman"/>
        </w:rPr>
        <w:tab/>
        <w:t>Analysis of glycan strand distribution</w:t>
      </w:r>
      <w:r w:rsidRPr="00AE6573">
        <w:rPr>
          <w:rFonts w:ascii="Times New Roman" w:eastAsia="Calibri" w:hAnsi="Times New Roman" w:cs="Times New Roman"/>
        </w:rPr>
        <w:tab/>
      </w:r>
      <w:r w:rsidRPr="00AE6573">
        <w:rPr>
          <w:rFonts w:ascii="Times New Roman" w:eastAsia="Calibri" w:hAnsi="Times New Roman" w:cs="Times New Roman"/>
        </w:rPr>
        <w:tab/>
      </w:r>
      <w:r w:rsidRPr="00AE6573">
        <w:rPr>
          <w:rFonts w:ascii="Times New Roman" w:eastAsia="Calibri" w:hAnsi="Times New Roman" w:cs="Times New Roman"/>
        </w:rPr>
        <w:tab/>
      </w:r>
      <w:r w:rsidR="0024733A">
        <w:rPr>
          <w:rFonts w:ascii="Times New Roman" w:eastAsia="Calibri" w:hAnsi="Times New Roman" w:cs="Times New Roman"/>
        </w:rPr>
        <w:tab/>
      </w:r>
      <w:r w:rsidRPr="00AE6573">
        <w:rPr>
          <w:rFonts w:ascii="Times New Roman" w:eastAsia="Calibri" w:hAnsi="Times New Roman" w:cs="Times New Roman"/>
        </w:rPr>
        <w:tab/>
        <w:t>102</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2.16.7</w:t>
      </w:r>
      <w:r w:rsidR="0024733A">
        <w:rPr>
          <w:rFonts w:ascii="Times New Roman" w:hAnsi="Times New Roman" w:cs="Times New Roman"/>
        </w:rPr>
        <w:tab/>
      </w:r>
      <w:r w:rsidRPr="00AE6573">
        <w:rPr>
          <w:rFonts w:ascii="Times New Roman" w:hAnsi="Times New Roman" w:cs="Times New Roman"/>
        </w:rPr>
        <w:tab/>
        <w:t>Muropeptide analysis by RP-HPLC</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103</w:t>
      </w:r>
    </w:p>
    <w:p w:rsidR="003C6DF1" w:rsidRDefault="003C6DF1" w:rsidP="0024733A">
      <w:pPr>
        <w:autoSpaceDE w:val="0"/>
        <w:autoSpaceDN w:val="0"/>
        <w:adjustRightInd w:val="0"/>
        <w:spacing w:after="20" w:line="240" w:lineRule="auto"/>
        <w:jc w:val="both"/>
        <w:rPr>
          <w:rFonts w:ascii="Times New Roman" w:hAnsi="Times New Roman" w:cs="Times New Roman"/>
        </w:rPr>
      </w:pPr>
    </w:p>
    <w:p w:rsidR="0024733A" w:rsidRPr="00AE6573" w:rsidRDefault="0024733A" w:rsidP="0024733A">
      <w:pPr>
        <w:autoSpaceDE w:val="0"/>
        <w:autoSpaceDN w:val="0"/>
        <w:adjustRightInd w:val="0"/>
        <w:spacing w:after="20" w:line="240" w:lineRule="auto"/>
        <w:jc w:val="both"/>
        <w:rPr>
          <w:rFonts w:ascii="Times New Roman" w:hAnsi="Times New Roman" w:cs="Times New Roman"/>
        </w:rPr>
      </w:pPr>
    </w:p>
    <w:p w:rsidR="003C6DF1" w:rsidRPr="00AE6573" w:rsidRDefault="003C6DF1" w:rsidP="0024733A">
      <w:pPr>
        <w:spacing w:after="20" w:line="240" w:lineRule="auto"/>
        <w:rPr>
          <w:rFonts w:ascii="Times New Roman" w:hAnsi="Times New Roman" w:cs="Times New Roman"/>
          <w:b/>
        </w:rPr>
      </w:pPr>
      <w:r w:rsidRPr="00AE6573">
        <w:rPr>
          <w:rFonts w:ascii="Times New Roman" w:hAnsi="Times New Roman" w:cs="Times New Roman"/>
          <w:b/>
        </w:rPr>
        <w:t>Chapter 3</w:t>
      </w:r>
      <w:r w:rsidRPr="00AE6573">
        <w:rPr>
          <w:rFonts w:ascii="Times New Roman" w:hAnsi="Times New Roman" w:cs="Times New Roman"/>
          <w:b/>
        </w:rPr>
        <w:tab/>
        <w:t>Cell wall dynamics and peptidoglycan architecture</w:t>
      </w:r>
    </w:p>
    <w:p w:rsidR="003C6DF1" w:rsidRPr="00AE6573" w:rsidRDefault="003C6DF1" w:rsidP="0024733A">
      <w:pPr>
        <w:spacing w:after="20" w:line="240" w:lineRule="auto"/>
        <w:ind w:left="720" w:firstLine="720"/>
        <w:rPr>
          <w:rFonts w:ascii="Times New Roman" w:hAnsi="Times New Roman" w:cs="Times New Roman"/>
          <w:b/>
        </w:rPr>
      </w:pPr>
      <w:r w:rsidRPr="00AE6573">
        <w:rPr>
          <w:rFonts w:ascii="Times New Roman" w:hAnsi="Times New Roman" w:cs="Times New Roman"/>
          <w:b/>
        </w:rPr>
        <w:t xml:space="preserve"> </w:t>
      </w:r>
      <w:proofErr w:type="gramStart"/>
      <w:r w:rsidRPr="00AE6573">
        <w:rPr>
          <w:rFonts w:ascii="Times New Roman" w:hAnsi="Times New Roman" w:cs="Times New Roman"/>
          <w:b/>
        </w:rPr>
        <w:t>of</w:t>
      </w:r>
      <w:proofErr w:type="gramEnd"/>
      <w:r w:rsidRPr="00AE6573">
        <w:rPr>
          <w:rFonts w:ascii="Times New Roman" w:hAnsi="Times New Roman" w:cs="Times New Roman"/>
          <w:b/>
        </w:rPr>
        <w:t xml:space="preserve"> ovococcal bacteria</w:t>
      </w:r>
      <w:r w:rsidR="008249BF" w:rsidRPr="00AE6573">
        <w:rPr>
          <w:rFonts w:ascii="Times New Roman" w:hAnsi="Times New Roman" w:cs="Times New Roman"/>
          <w:b/>
        </w:rPr>
        <w:tab/>
      </w:r>
      <w:r w:rsidR="008249BF" w:rsidRPr="00AE6573">
        <w:rPr>
          <w:rFonts w:ascii="Times New Roman" w:hAnsi="Times New Roman" w:cs="Times New Roman"/>
          <w:b/>
        </w:rPr>
        <w:tab/>
      </w:r>
      <w:r w:rsidR="008249BF" w:rsidRPr="00AE6573">
        <w:rPr>
          <w:rFonts w:ascii="Times New Roman" w:hAnsi="Times New Roman" w:cs="Times New Roman"/>
          <w:b/>
        </w:rPr>
        <w:tab/>
      </w:r>
      <w:r w:rsidR="008249BF" w:rsidRPr="00AE6573">
        <w:rPr>
          <w:rFonts w:ascii="Times New Roman" w:hAnsi="Times New Roman" w:cs="Times New Roman"/>
          <w:b/>
        </w:rPr>
        <w:tab/>
      </w:r>
      <w:r w:rsidR="00733EBA" w:rsidRPr="00AE6573">
        <w:rPr>
          <w:rFonts w:ascii="Times New Roman" w:hAnsi="Times New Roman" w:cs="Times New Roman"/>
          <w:b/>
        </w:rPr>
        <w:tab/>
      </w:r>
      <w:r w:rsidRPr="00AE6573">
        <w:rPr>
          <w:rFonts w:ascii="Times New Roman" w:hAnsi="Times New Roman" w:cs="Times New Roman"/>
          <w:b/>
        </w:rPr>
        <w:t>104</w:t>
      </w:r>
      <w:r w:rsidR="00733EBA" w:rsidRPr="00AE6573">
        <w:rPr>
          <w:rFonts w:ascii="Times New Roman" w:hAnsi="Times New Roman" w:cs="Times New Roman"/>
          <w:b/>
        </w:rPr>
        <w:t>-157</w:t>
      </w:r>
    </w:p>
    <w:p w:rsidR="003C6DF1" w:rsidRPr="00AE6573" w:rsidRDefault="003C6DF1" w:rsidP="0024733A">
      <w:pPr>
        <w:spacing w:after="20" w:line="240" w:lineRule="auto"/>
        <w:rPr>
          <w:rFonts w:ascii="Times New Roman" w:hAnsi="Times New Roman" w:cs="Times New Roman"/>
        </w:rPr>
      </w:pPr>
    </w:p>
    <w:p w:rsidR="003C6DF1" w:rsidRPr="0024733A" w:rsidRDefault="003C6DF1" w:rsidP="0024733A">
      <w:pPr>
        <w:spacing w:after="20" w:line="240" w:lineRule="auto"/>
        <w:rPr>
          <w:rFonts w:ascii="Times New Roman" w:hAnsi="Times New Roman" w:cs="Times New Roman"/>
          <w:b/>
        </w:rPr>
      </w:pPr>
      <w:r w:rsidRPr="0024733A">
        <w:rPr>
          <w:rFonts w:ascii="Times New Roman" w:hAnsi="Times New Roman" w:cs="Times New Roman"/>
          <w:b/>
        </w:rPr>
        <w:t>3.1</w:t>
      </w:r>
      <w:r w:rsidRPr="0024733A">
        <w:rPr>
          <w:rFonts w:ascii="Times New Roman" w:hAnsi="Times New Roman" w:cs="Times New Roman"/>
          <w:b/>
        </w:rPr>
        <w:tab/>
      </w:r>
      <w:r w:rsidRPr="0024733A">
        <w:rPr>
          <w:rFonts w:ascii="Times New Roman" w:hAnsi="Times New Roman" w:cs="Times New Roman"/>
          <w:b/>
        </w:rPr>
        <w:tab/>
        <w:t>Introduction</w:t>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t>104</w:t>
      </w:r>
    </w:p>
    <w:p w:rsidR="003C6DF1" w:rsidRPr="00AE6573" w:rsidRDefault="003C6DF1" w:rsidP="0024733A">
      <w:pPr>
        <w:spacing w:after="20" w:line="240" w:lineRule="auto"/>
        <w:ind w:firstLine="142"/>
        <w:rPr>
          <w:rFonts w:ascii="Times New Roman" w:hAnsi="Times New Roman" w:cs="Times New Roman"/>
        </w:rPr>
      </w:pPr>
      <w:r w:rsidRPr="00AE6573">
        <w:rPr>
          <w:rFonts w:ascii="Times New Roman" w:hAnsi="Times New Roman" w:cs="Times New Roman"/>
        </w:rPr>
        <w:t>3.1.1</w:t>
      </w:r>
      <w:r w:rsidRPr="00AE6573">
        <w:rPr>
          <w:rFonts w:ascii="Times New Roman" w:hAnsi="Times New Roman" w:cs="Times New Roman"/>
        </w:rPr>
        <w:tab/>
      </w:r>
      <w:r w:rsidRPr="00AE6573">
        <w:rPr>
          <w:rFonts w:ascii="Times New Roman" w:hAnsi="Times New Roman" w:cs="Times New Roman"/>
        </w:rPr>
        <w:tab/>
        <w:t>Investigating the cell wall architecture of ovococci</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104</w:t>
      </w:r>
    </w:p>
    <w:p w:rsidR="003C6DF1" w:rsidRPr="00AE6573" w:rsidRDefault="003C6DF1" w:rsidP="0024733A">
      <w:pPr>
        <w:spacing w:after="20" w:line="240" w:lineRule="auto"/>
        <w:ind w:firstLine="142"/>
        <w:rPr>
          <w:rFonts w:ascii="Times New Roman" w:hAnsi="Times New Roman" w:cs="Times New Roman"/>
        </w:rPr>
      </w:pPr>
      <w:r w:rsidRPr="00AE6573">
        <w:rPr>
          <w:rFonts w:ascii="Times New Roman" w:hAnsi="Times New Roman" w:cs="Times New Roman"/>
        </w:rPr>
        <w:t>3.1.2</w:t>
      </w:r>
      <w:r w:rsidRPr="00AE6573">
        <w:rPr>
          <w:rFonts w:ascii="Times New Roman" w:hAnsi="Times New Roman" w:cs="Times New Roman"/>
        </w:rPr>
        <w:tab/>
      </w:r>
      <w:r w:rsidRPr="00AE6573">
        <w:rPr>
          <w:rFonts w:ascii="Times New Roman" w:hAnsi="Times New Roman" w:cs="Times New Roman"/>
        </w:rPr>
        <w:tab/>
        <w:t>Aims of this chapter</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107</w:t>
      </w:r>
    </w:p>
    <w:p w:rsidR="003C6DF1" w:rsidRPr="0024733A" w:rsidRDefault="003C6DF1" w:rsidP="0024733A">
      <w:pPr>
        <w:spacing w:after="20" w:line="240" w:lineRule="auto"/>
        <w:rPr>
          <w:rFonts w:ascii="Times New Roman" w:hAnsi="Times New Roman" w:cs="Times New Roman"/>
          <w:b/>
        </w:rPr>
      </w:pPr>
      <w:r w:rsidRPr="0024733A">
        <w:rPr>
          <w:rFonts w:ascii="Times New Roman" w:hAnsi="Times New Roman" w:cs="Times New Roman"/>
          <w:b/>
        </w:rPr>
        <w:t>3.2</w:t>
      </w:r>
      <w:r w:rsidRPr="0024733A">
        <w:rPr>
          <w:rFonts w:ascii="Times New Roman" w:hAnsi="Times New Roman" w:cs="Times New Roman"/>
          <w:b/>
        </w:rPr>
        <w:tab/>
      </w:r>
      <w:r w:rsidRPr="0024733A">
        <w:rPr>
          <w:rFonts w:ascii="Times New Roman" w:hAnsi="Times New Roman" w:cs="Times New Roman"/>
          <w:b/>
        </w:rPr>
        <w:tab/>
        <w:t>Results</w:t>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t>108</w:t>
      </w:r>
    </w:p>
    <w:p w:rsidR="003C6DF1" w:rsidRPr="00AE6573" w:rsidRDefault="003C6DF1" w:rsidP="0024733A">
      <w:pPr>
        <w:spacing w:after="20" w:line="240" w:lineRule="auto"/>
        <w:ind w:firstLine="142"/>
        <w:rPr>
          <w:rFonts w:ascii="Times New Roman" w:hAnsi="Times New Roman" w:cs="Times New Roman"/>
        </w:rPr>
      </w:pPr>
      <w:r w:rsidRPr="00AE6573">
        <w:rPr>
          <w:rFonts w:ascii="Times New Roman" w:hAnsi="Times New Roman" w:cs="Times New Roman"/>
        </w:rPr>
        <w:t>3.2.1</w:t>
      </w:r>
      <w:r w:rsidRPr="00AE6573">
        <w:rPr>
          <w:rFonts w:ascii="Times New Roman" w:hAnsi="Times New Roman" w:cs="Times New Roman"/>
        </w:rPr>
        <w:tab/>
      </w:r>
      <w:r w:rsidRPr="00AE6573">
        <w:rPr>
          <w:rFonts w:ascii="Times New Roman" w:hAnsi="Times New Roman" w:cs="Times New Roman"/>
        </w:rPr>
        <w:tab/>
        <w:t>Glycan chain length in ovococcal bacteria</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108</w:t>
      </w:r>
    </w:p>
    <w:p w:rsidR="003C6DF1" w:rsidRPr="00AE6573" w:rsidRDefault="003C6DF1" w:rsidP="0024733A">
      <w:pPr>
        <w:spacing w:after="20" w:line="240" w:lineRule="auto"/>
        <w:ind w:firstLine="284"/>
        <w:rPr>
          <w:rFonts w:ascii="Times New Roman" w:hAnsi="Times New Roman" w:cs="Times New Roman"/>
        </w:rPr>
      </w:pPr>
      <w:r w:rsidRPr="00AE6573">
        <w:rPr>
          <w:rFonts w:ascii="Times New Roman" w:hAnsi="Times New Roman" w:cs="Times New Roman"/>
        </w:rPr>
        <w:t>3.2.1.2</w:t>
      </w:r>
      <w:r w:rsidRPr="00AE6573">
        <w:rPr>
          <w:rFonts w:ascii="Times New Roman" w:hAnsi="Times New Roman" w:cs="Times New Roman"/>
        </w:rPr>
        <w:tab/>
        <w:t xml:space="preserve">Generation of recombinant Atl amidase </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t>108</w:t>
      </w:r>
    </w:p>
    <w:p w:rsidR="003C6DF1" w:rsidRPr="00AE6573" w:rsidRDefault="003C6DF1" w:rsidP="0024733A">
      <w:pPr>
        <w:spacing w:after="20" w:line="240" w:lineRule="auto"/>
        <w:ind w:firstLine="426"/>
        <w:rPr>
          <w:rFonts w:ascii="Times New Roman" w:hAnsi="Times New Roman" w:cs="Times New Roman"/>
        </w:rPr>
      </w:pPr>
      <w:r w:rsidRPr="00AE6573">
        <w:rPr>
          <w:rFonts w:ascii="Times New Roman" w:hAnsi="Times New Roman" w:cs="Times New Roman"/>
        </w:rPr>
        <w:t>3.2.1.2.1</w:t>
      </w:r>
      <w:r w:rsidRPr="00AE6573">
        <w:rPr>
          <w:rFonts w:ascii="Times New Roman" w:hAnsi="Times New Roman" w:cs="Times New Roman"/>
        </w:rPr>
        <w:tab/>
        <w:t>Overexpression of Atl amidase</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t>108</w:t>
      </w:r>
    </w:p>
    <w:p w:rsidR="003C6DF1" w:rsidRPr="00AE6573" w:rsidRDefault="003C6DF1" w:rsidP="0024733A">
      <w:pPr>
        <w:spacing w:after="20" w:line="240" w:lineRule="auto"/>
        <w:ind w:firstLine="426"/>
        <w:rPr>
          <w:rFonts w:ascii="Times New Roman" w:hAnsi="Times New Roman" w:cs="Times New Roman"/>
        </w:rPr>
      </w:pPr>
      <w:r w:rsidRPr="00AE6573">
        <w:rPr>
          <w:rFonts w:ascii="Times New Roman" w:hAnsi="Times New Roman" w:cs="Times New Roman"/>
        </w:rPr>
        <w:t>3.2.1.2.2</w:t>
      </w:r>
      <w:r w:rsidRPr="00AE6573">
        <w:rPr>
          <w:rFonts w:ascii="Times New Roman" w:hAnsi="Times New Roman" w:cs="Times New Roman"/>
        </w:rPr>
        <w:tab/>
        <w:t>Purification of Atl amidase</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109</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3.2.1.3</w:t>
      </w:r>
      <w:r w:rsidRPr="00AE6573">
        <w:rPr>
          <w:rFonts w:ascii="Times New Roman" w:hAnsi="Times New Roman" w:cs="Times New Roman"/>
        </w:rPr>
        <w:tab/>
        <w:t>Hydrolysis of radiolabelled peptidoglycan with Atl</w:t>
      </w:r>
      <w:r w:rsidR="0024733A">
        <w:rPr>
          <w:rFonts w:ascii="Times New Roman" w:hAnsi="Times New Roman" w:cs="Times New Roman"/>
        </w:rPr>
        <w:t xml:space="preserve"> </w:t>
      </w:r>
      <w:r w:rsidRPr="00AE6573">
        <w:rPr>
          <w:rFonts w:ascii="Times New Roman" w:hAnsi="Times New Roman" w:cs="Times New Roman"/>
        </w:rPr>
        <w:t>amidase</w:t>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111</w:t>
      </w:r>
    </w:p>
    <w:p w:rsidR="0024733A" w:rsidRDefault="003C6DF1" w:rsidP="0024733A">
      <w:pPr>
        <w:spacing w:after="20" w:line="240" w:lineRule="auto"/>
        <w:ind w:left="1418" w:hanging="1134"/>
        <w:jc w:val="both"/>
        <w:rPr>
          <w:rFonts w:ascii="Times New Roman" w:hAnsi="Times New Roman" w:cs="Times New Roman"/>
        </w:rPr>
      </w:pPr>
      <w:r w:rsidRPr="00AE6573">
        <w:rPr>
          <w:rFonts w:ascii="Times New Roman" w:hAnsi="Times New Roman" w:cs="Times New Roman"/>
        </w:rPr>
        <w:t>3.2.1.4</w:t>
      </w:r>
      <w:r w:rsidRPr="00AE6573">
        <w:rPr>
          <w:rFonts w:ascii="Times New Roman" w:hAnsi="Times New Roman" w:cs="Times New Roman"/>
        </w:rPr>
        <w:tab/>
        <w:t>Rationale for analysis of ovococci glycan chain length by</w:t>
      </w:r>
    </w:p>
    <w:p w:rsidR="003C6DF1" w:rsidRPr="00AE6573" w:rsidRDefault="003C6DF1" w:rsidP="0024733A">
      <w:pPr>
        <w:spacing w:after="20" w:line="240" w:lineRule="auto"/>
        <w:ind w:left="1418"/>
        <w:jc w:val="both"/>
        <w:rPr>
          <w:rFonts w:ascii="Times New Roman" w:hAnsi="Times New Roman" w:cs="Times New Roman"/>
          <w:color w:val="000000"/>
        </w:rPr>
      </w:pPr>
      <w:proofErr w:type="gramStart"/>
      <w:r w:rsidRPr="00AE6573">
        <w:rPr>
          <w:rFonts w:ascii="Times New Roman" w:hAnsi="Times New Roman" w:cs="Times New Roman"/>
        </w:rPr>
        <w:t>size-exclusion</w:t>
      </w:r>
      <w:proofErr w:type="gramEnd"/>
      <w:r w:rsidRPr="00AE6573">
        <w:rPr>
          <w:rFonts w:ascii="Times New Roman" w:hAnsi="Times New Roman" w:cs="Times New Roman"/>
        </w:rPr>
        <w:t xml:space="preserve"> HPLC</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111</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3.2.1.5</w:t>
      </w:r>
      <w:r w:rsidRPr="00AE6573">
        <w:rPr>
          <w:rFonts w:ascii="Times New Roman" w:hAnsi="Times New Roman" w:cs="Times New Roman"/>
        </w:rPr>
        <w:tab/>
        <w:t>Calibration of size-exclusion columns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114</w:t>
      </w:r>
    </w:p>
    <w:p w:rsidR="0024733A" w:rsidRDefault="003C6DF1" w:rsidP="0024733A">
      <w:pPr>
        <w:spacing w:after="20" w:line="240" w:lineRule="auto"/>
        <w:ind w:left="1418" w:hanging="1134"/>
        <w:jc w:val="both"/>
        <w:rPr>
          <w:rFonts w:ascii="Times New Roman" w:hAnsi="Times New Roman" w:cs="Times New Roman"/>
        </w:rPr>
      </w:pPr>
      <w:r w:rsidRPr="00AE6573">
        <w:rPr>
          <w:rFonts w:ascii="Times New Roman" w:hAnsi="Times New Roman" w:cs="Times New Roman"/>
        </w:rPr>
        <w:t>3.2.1.6</w:t>
      </w:r>
      <w:r w:rsidRPr="00AE6573">
        <w:rPr>
          <w:rFonts w:ascii="Times New Roman" w:hAnsi="Times New Roman" w:cs="Times New Roman"/>
        </w:rPr>
        <w:tab/>
        <w:t>Rationale for exclusion of cation-exchange step for</w:t>
      </w:r>
      <w:r w:rsidR="0024733A">
        <w:rPr>
          <w:rFonts w:ascii="Times New Roman" w:hAnsi="Times New Roman" w:cs="Times New Roman"/>
        </w:rPr>
        <w:t xml:space="preserve"> </w:t>
      </w:r>
      <w:r w:rsidRPr="00AE6573">
        <w:rPr>
          <w:rFonts w:ascii="Times New Roman" w:hAnsi="Times New Roman" w:cs="Times New Roman"/>
        </w:rPr>
        <w:t xml:space="preserve">purification </w:t>
      </w:r>
    </w:p>
    <w:p w:rsidR="003C6DF1" w:rsidRPr="00AE6573" w:rsidRDefault="003C6DF1" w:rsidP="0024733A">
      <w:pPr>
        <w:spacing w:after="20" w:line="240" w:lineRule="auto"/>
        <w:ind w:left="1418"/>
        <w:jc w:val="both"/>
        <w:rPr>
          <w:rFonts w:ascii="Times New Roman" w:hAnsi="Times New Roman" w:cs="Times New Roman"/>
        </w:rPr>
      </w:pPr>
      <w:proofErr w:type="gramStart"/>
      <w:r w:rsidRPr="00AE6573">
        <w:rPr>
          <w:rFonts w:ascii="Times New Roman" w:hAnsi="Times New Roman" w:cs="Times New Roman"/>
        </w:rPr>
        <w:t>of</w:t>
      </w:r>
      <w:proofErr w:type="gramEnd"/>
      <w:r w:rsidRPr="00AE6573">
        <w:rPr>
          <w:rFonts w:ascii="Times New Roman" w:hAnsi="Times New Roman" w:cs="Times New Roman"/>
        </w:rPr>
        <w:t xml:space="preserve"> radiolabelled glycan chains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t>114</w:t>
      </w:r>
    </w:p>
    <w:p w:rsidR="0024733A" w:rsidRDefault="003C6DF1" w:rsidP="0024733A">
      <w:pPr>
        <w:spacing w:after="20" w:line="240" w:lineRule="auto"/>
        <w:ind w:left="1418" w:hanging="1134"/>
        <w:jc w:val="both"/>
        <w:rPr>
          <w:rFonts w:ascii="Times New Roman" w:hAnsi="Times New Roman" w:cs="Times New Roman"/>
        </w:rPr>
      </w:pPr>
      <w:r w:rsidRPr="00AE6573">
        <w:rPr>
          <w:rFonts w:ascii="Times New Roman" w:hAnsi="Times New Roman" w:cs="Times New Roman"/>
        </w:rPr>
        <w:lastRenderedPageBreak/>
        <w:t>3.2.1.7</w:t>
      </w:r>
      <w:r w:rsidRPr="00AE6573">
        <w:rPr>
          <w:rFonts w:ascii="Times New Roman" w:hAnsi="Times New Roman" w:cs="Times New Roman"/>
        </w:rPr>
        <w:tab/>
        <w:t>Analysis of ovococcal glycan strand length distribution by</w:t>
      </w:r>
    </w:p>
    <w:p w:rsidR="003C6DF1" w:rsidRPr="00AE6573" w:rsidRDefault="003C6DF1" w:rsidP="0024733A">
      <w:pPr>
        <w:spacing w:after="20" w:line="240" w:lineRule="auto"/>
        <w:ind w:left="1418"/>
        <w:jc w:val="both"/>
        <w:rPr>
          <w:rFonts w:ascii="Times New Roman" w:hAnsi="Times New Roman" w:cs="Times New Roman"/>
        </w:rPr>
      </w:pPr>
      <w:proofErr w:type="gramStart"/>
      <w:r w:rsidRPr="00AE6573">
        <w:rPr>
          <w:rFonts w:ascii="Times New Roman" w:hAnsi="Times New Roman" w:cs="Times New Roman"/>
        </w:rPr>
        <w:t>size-exclusion</w:t>
      </w:r>
      <w:proofErr w:type="gramEnd"/>
      <w:r w:rsidRPr="00AE6573">
        <w:rPr>
          <w:rFonts w:ascii="Times New Roman" w:hAnsi="Times New Roman" w:cs="Times New Roman"/>
        </w:rPr>
        <w:t xml:space="preserve"> HPLC</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115</w:t>
      </w:r>
    </w:p>
    <w:p w:rsidR="003C6DF1" w:rsidRPr="00AE6573" w:rsidRDefault="003C6DF1" w:rsidP="0024733A">
      <w:pPr>
        <w:spacing w:after="20" w:line="240" w:lineRule="auto"/>
        <w:ind w:left="1418" w:hanging="1276"/>
        <w:rPr>
          <w:rFonts w:ascii="Times New Roman" w:hAnsi="Times New Roman" w:cs="Times New Roman"/>
        </w:rPr>
      </w:pPr>
      <w:r w:rsidRPr="00AE6573">
        <w:rPr>
          <w:rFonts w:ascii="Times New Roman" w:hAnsi="Times New Roman" w:cs="Times New Roman"/>
        </w:rPr>
        <w:t>3.2.2</w:t>
      </w:r>
      <w:r w:rsidRPr="00AE6573">
        <w:rPr>
          <w:rFonts w:ascii="Times New Roman" w:hAnsi="Times New Roman" w:cs="Times New Roman"/>
        </w:rPr>
        <w:tab/>
        <w:t xml:space="preserve">Analysis of the </w:t>
      </w:r>
      <w:r w:rsidRPr="00AE6573">
        <w:rPr>
          <w:rFonts w:ascii="Times New Roman" w:hAnsi="Times New Roman" w:cs="Times New Roman"/>
          <w:i/>
        </w:rPr>
        <w:t>in situ</w:t>
      </w:r>
      <w:r w:rsidRPr="00AE6573">
        <w:rPr>
          <w:rFonts w:ascii="Times New Roman" w:hAnsi="Times New Roman" w:cs="Times New Roman"/>
        </w:rPr>
        <w:t xml:space="preserve"> glycan chain length distribution by</w:t>
      </w:r>
    </w:p>
    <w:p w:rsidR="003C6DF1" w:rsidRPr="00AE6573" w:rsidRDefault="003C6DF1" w:rsidP="0024733A">
      <w:pPr>
        <w:spacing w:after="20" w:line="240" w:lineRule="auto"/>
        <w:ind w:left="1418"/>
        <w:rPr>
          <w:rFonts w:ascii="Times New Roman" w:hAnsi="Times New Roman" w:cs="Times New Roman"/>
        </w:rPr>
      </w:pPr>
      <w:proofErr w:type="gramStart"/>
      <w:r w:rsidRPr="00AE6573">
        <w:rPr>
          <w:rFonts w:ascii="Times New Roman" w:hAnsi="Times New Roman" w:cs="Times New Roman"/>
        </w:rPr>
        <w:t>differential</w:t>
      </w:r>
      <w:proofErr w:type="gramEnd"/>
      <w:r w:rsidRPr="00AE6573">
        <w:rPr>
          <w:rFonts w:ascii="Times New Roman" w:hAnsi="Times New Roman" w:cs="Times New Roman"/>
        </w:rPr>
        <w:t xml:space="preserve"> fluorescence microscopy</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121</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3.2.3</w:t>
      </w:r>
      <w:r w:rsidRPr="00AE6573">
        <w:rPr>
          <w:rFonts w:ascii="Times New Roman" w:hAnsi="Times New Roman" w:cs="Times New Roman"/>
        </w:rPr>
        <w:tab/>
      </w:r>
      <w:r w:rsidRPr="00AE6573">
        <w:rPr>
          <w:rFonts w:ascii="Times New Roman" w:hAnsi="Times New Roman" w:cs="Times New Roman"/>
        </w:rPr>
        <w:tab/>
        <w:t>AFM of ovococcal cell walls containing secondary polymers</w:t>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121</w:t>
      </w:r>
    </w:p>
    <w:p w:rsidR="003C6DF1" w:rsidRPr="00AE6573" w:rsidRDefault="003C6DF1" w:rsidP="0024733A">
      <w:pPr>
        <w:spacing w:after="20" w:line="240" w:lineRule="auto"/>
        <w:ind w:left="1418" w:hanging="1276"/>
        <w:jc w:val="both"/>
        <w:rPr>
          <w:rFonts w:ascii="Times New Roman" w:hAnsi="Times New Roman" w:cs="Times New Roman"/>
        </w:rPr>
      </w:pPr>
      <w:r w:rsidRPr="00AE6573">
        <w:rPr>
          <w:rFonts w:ascii="Times New Roman" w:hAnsi="Times New Roman" w:cs="Times New Roman"/>
        </w:rPr>
        <w:t>3.2.4</w:t>
      </w:r>
      <w:r w:rsidRPr="00AE6573">
        <w:rPr>
          <w:rFonts w:ascii="Times New Roman" w:hAnsi="Times New Roman" w:cs="Times New Roman"/>
        </w:rPr>
        <w:tab/>
        <w:t>Characterisation of ovococcal peptidoglycan architecture by</w:t>
      </w:r>
      <w:r w:rsidR="0024733A">
        <w:rPr>
          <w:rFonts w:ascii="Times New Roman" w:hAnsi="Times New Roman" w:cs="Times New Roman"/>
        </w:rPr>
        <w:t xml:space="preserve"> </w:t>
      </w:r>
      <w:r w:rsidRPr="00AE6573">
        <w:rPr>
          <w:rFonts w:ascii="Times New Roman" w:hAnsi="Times New Roman" w:cs="Times New Roman"/>
        </w:rPr>
        <w:t>AFM</w:t>
      </w:r>
      <w:r w:rsidRPr="00AE6573">
        <w:rPr>
          <w:rFonts w:ascii="Times New Roman" w:hAnsi="Times New Roman" w:cs="Times New Roman"/>
        </w:rPr>
        <w:tab/>
        <w:t>123</w:t>
      </w:r>
    </w:p>
    <w:p w:rsidR="003C6DF1" w:rsidRPr="00AE6573" w:rsidRDefault="003C6DF1" w:rsidP="0024733A">
      <w:pPr>
        <w:spacing w:after="20" w:line="240" w:lineRule="auto"/>
        <w:ind w:firstLine="284"/>
        <w:jc w:val="both"/>
        <w:rPr>
          <w:rFonts w:ascii="Times New Roman" w:hAnsi="Times New Roman" w:cs="Times New Roman"/>
          <w:lang w:val="en-US"/>
        </w:rPr>
      </w:pPr>
      <w:r w:rsidRPr="00AE6573">
        <w:rPr>
          <w:rFonts w:ascii="Times New Roman" w:hAnsi="Times New Roman" w:cs="Times New Roman"/>
          <w:lang w:val="en-US"/>
        </w:rPr>
        <w:t xml:space="preserve">3.2.4.1 </w:t>
      </w:r>
      <w:r w:rsidRPr="00AE6573">
        <w:rPr>
          <w:rFonts w:ascii="Times New Roman" w:hAnsi="Times New Roman" w:cs="Times New Roman"/>
          <w:lang w:val="en-US"/>
        </w:rPr>
        <w:tab/>
        <w:t>The exterior architecture of purified ovococcal sacculi</w:t>
      </w:r>
      <w:r w:rsidRPr="00AE6573">
        <w:rPr>
          <w:rFonts w:ascii="Times New Roman" w:hAnsi="Times New Roman" w:cs="Times New Roman"/>
          <w:lang w:val="en-US"/>
        </w:rPr>
        <w:tab/>
      </w:r>
      <w:r w:rsidRPr="00AE6573">
        <w:rPr>
          <w:rFonts w:ascii="Times New Roman" w:hAnsi="Times New Roman" w:cs="Times New Roman"/>
          <w:lang w:val="en-US"/>
        </w:rPr>
        <w:tab/>
      </w:r>
      <w:r w:rsidR="0024733A">
        <w:rPr>
          <w:rFonts w:ascii="Times New Roman" w:hAnsi="Times New Roman" w:cs="Times New Roman"/>
          <w:lang w:val="en-US"/>
        </w:rPr>
        <w:tab/>
      </w:r>
      <w:r w:rsidRPr="00AE6573">
        <w:rPr>
          <w:rFonts w:ascii="Times New Roman" w:hAnsi="Times New Roman" w:cs="Times New Roman"/>
          <w:lang w:val="en-US"/>
        </w:rPr>
        <w:t>123</w:t>
      </w:r>
    </w:p>
    <w:p w:rsidR="003C6DF1" w:rsidRPr="00AE6573" w:rsidRDefault="003C6DF1" w:rsidP="0024733A">
      <w:pPr>
        <w:spacing w:after="20" w:line="240" w:lineRule="auto"/>
        <w:ind w:firstLine="284"/>
        <w:jc w:val="both"/>
        <w:rPr>
          <w:rFonts w:ascii="Times New Roman" w:hAnsi="Times New Roman" w:cs="Times New Roman"/>
          <w:lang w:val="en-US"/>
        </w:rPr>
      </w:pPr>
      <w:r w:rsidRPr="00AE6573">
        <w:rPr>
          <w:rFonts w:ascii="Times New Roman" w:hAnsi="Times New Roman" w:cs="Times New Roman"/>
          <w:lang w:val="en-US"/>
        </w:rPr>
        <w:t>3.2.4.2</w:t>
      </w:r>
      <w:r w:rsidRPr="00AE6573">
        <w:rPr>
          <w:rFonts w:ascii="Times New Roman" w:hAnsi="Times New Roman" w:cs="Times New Roman"/>
          <w:lang w:val="en-US"/>
        </w:rPr>
        <w:tab/>
        <w:t>The interior architecture of purified ovococcal sacculi</w:t>
      </w:r>
      <w:r w:rsidRPr="00AE6573">
        <w:rPr>
          <w:rFonts w:ascii="Times New Roman" w:hAnsi="Times New Roman" w:cs="Times New Roman"/>
          <w:lang w:val="en-US"/>
        </w:rPr>
        <w:tab/>
      </w:r>
      <w:r w:rsidRPr="00AE6573">
        <w:rPr>
          <w:rFonts w:ascii="Times New Roman" w:hAnsi="Times New Roman" w:cs="Times New Roman"/>
          <w:lang w:val="en-US"/>
        </w:rPr>
        <w:tab/>
      </w:r>
      <w:r w:rsidR="0024733A">
        <w:rPr>
          <w:rFonts w:ascii="Times New Roman" w:hAnsi="Times New Roman" w:cs="Times New Roman"/>
          <w:lang w:val="en-US"/>
        </w:rPr>
        <w:tab/>
      </w:r>
      <w:r w:rsidRPr="00AE6573">
        <w:rPr>
          <w:rFonts w:ascii="Times New Roman" w:hAnsi="Times New Roman" w:cs="Times New Roman"/>
          <w:lang w:val="en-US"/>
        </w:rPr>
        <w:t>131</w:t>
      </w:r>
    </w:p>
    <w:p w:rsidR="0024733A" w:rsidRDefault="003C6DF1" w:rsidP="0024733A">
      <w:pPr>
        <w:spacing w:after="20" w:line="240" w:lineRule="auto"/>
        <w:ind w:left="1418" w:hanging="1276"/>
        <w:jc w:val="both"/>
        <w:rPr>
          <w:rFonts w:ascii="Times New Roman" w:hAnsi="Times New Roman" w:cs="Times New Roman"/>
        </w:rPr>
      </w:pPr>
      <w:r w:rsidRPr="00AE6573">
        <w:rPr>
          <w:rFonts w:ascii="Times New Roman" w:hAnsi="Times New Roman" w:cs="Times New Roman"/>
        </w:rPr>
        <w:t>3.2.5</w:t>
      </w:r>
      <w:r w:rsidRPr="00AE6573">
        <w:rPr>
          <w:rFonts w:ascii="Times New Roman" w:hAnsi="Times New Roman" w:cs="Times New Roman"/>
        </w:rPr>
        <w:tab/>
      </w:r>
      <w:r w:rsidRPr="00AE6573">
        <w:rPr>
          <w:rFonts w:ascii="Times New Roman" w:hAnsi="Times New Roman" w:cs="Times New Roman"/>
        </w:rPr>
        <w:tab/>
        <w:t>Investigation of ovococcal cell wall dynamics by</w:t>
      </w:r>
      <w:r w:rsidR="0024733A">
        <w:rPr>
          <w:rFonts w:ascii="Times New Roman" w:hAnsi="Times New Roman" w:cs="Times New Roman"/>
        </w:rPr>
        <w:t xml:space="preserve"> fluorescence</w:t>
      </w:r>
    </w:p>
    <w:p w:rsidR="003C6DF1" w:rsidRPr="00AE6573" w:rsidRDefault="0024733A" w:rsidP="0024733A">
      <w:pPr>
        <w:spacing w:after="20" w:line="240" w:lineRule="auto"/>
        <w:ind w:left="1418"/>
        <w:jc w:val="both"/>
        <w:rPr>
          <w:rFonts w:ascii="Times New Roman" w:hAnsi="Times New Roman" w:cs="Times New Roman"/>
        </w:rPr>
      </w:pPr>
      <w:r w:rsidRPr="00AE6573">
        <w:rPr>
          <w:rFonts w:ascii="Times New Roman" w:hAnsi="Times New Roman" w:cs="Times New Roman"/>
        </w:rPr>
        <w:t>M</w:t>
      </w:r>
      <w:r w:rsidR="003C6DF1" w:rsidRPr="00AE6573">
        <w:rPr>
          <w:rFonts w:ascii="Times New Roman" w:hAnsi="Times New Roman" w:cs="Times New Roman"/>
        </w:rPr>
        <w:t>icroscopy</w:t>
      </w:r>
      <w:r>
        <w:rPr>
          <w:rFonts w:ascii="Times New Roman" w:hAnsi="Times New Roman" w:cs="Times New Roman"/>
        </w:rPr>
        <w:tab/>
      </w:r>
      <w:r>
        <w:rPr>
          <w:rFonts w:ascii="Times New Roman" w:hAnsi="Times New Roman" w:cs="Times New Roman"/>
        </w:rPr>
        <w:tab/>
      </w:r>
      <w:r w:rsidR="003C6DF1" w:rsidRPr="00AE6573">
        <w:rPr>
          <w:rFonts w:ascii="Times New Roman" w:hAnsi="Times New Roman" w:cs="Times New Roman"/>
        </w:rPr>
        <w:tab/>
      </w:r>
      <w:r w:rsidR="003C6DF1" w:rsidRPr="00AE6573">
        <w:rPr>
          <w:rFonts w:ascii="Times New Roman" w:hAnsi="Times New Roman" w:cs="Times New Roman"/>
        </w:rPr>
        <w:tab/>
      </w:r>
      <w:r w:rsidR="003C6DF1" w:rsidRPr="00AE6573">
        <w:rPr>
          <w:rFonts w:ascii="Times New Roman" w:hAnsi="Times New Roman" w:cs="Times New Roman"/>
        </w:rPr>
        <w:tab/>
      </w:r>
      <w:r w:rsidR="003C6DF1" w:rsidRPr="00AE6573">
        <w:rPr>
          <w:rFonts w:ascii="Times New Roman" w:hAnsi="Times New Roman" w:cs="Times New Roman"/>
        </w:rPr>
        <w:tab/>
      </w:r>
      <w:r w:rsidR="003C6DF1" w:rsidRPr="00AE6573">
        <w:rPr>
          <w:rFonts w:ascii="Times New Roman" w:hAnsi="Times New Roman" w:cs="Times New Roman"/>
        </w:rPr>
        <w:tab/>
      </w:r>
      <w:r w:rsidR="003C6DF1" w:rsidRPr="00AE6573">
        <w:rPr>
          <w:rFonts w:ascii="Times New Roman" w:hAnsi="Times New Roman" w:cs="Times New Roman"/>
        </w:rPr>
        <w:tab/>
        <w:t>132</w:t>
      </w:r>
    </w:p>
    <w:p w:rsidR="003C6DF1" w:rsidRPr="00AE6573" w:rsidRDefault="003C6DF1" w:rsidP="0024733A">
      <w:pPr>
        <w:spacing w:after="20" w:line="240" w:lineRule="auto"/>
        <w:ind w:firstLine="142"/>
        <w:jc w:val="both"/>
        <w:rPr>
          <w:rFonts w:ascii="Times New Roman" w:eastAsia="Calibri" w:hAnsi="Times New Roman" w:cs="Times New Roman"/>
          <w:b/>
        </w:rPr>
      </w:pPr>
      <w:r w:rsidRPr="00AE6573">
        <w:rPr>
          <w:rFonts w:ascii="Times New Roman" w:eastAsia="Calibri" w:hAnsi="Times New Roman" w:cs="Times New Roman"/>
        </w:rPr>
        <w:t>3.2.6</w:t>
      </w:r>
      <w:r w:rsidRPr="00AE6573">
        <w:rPr>
          <w:rFonts w:ascii="Times New Roman" w:eastAsia="Calibri" w:hAnsi="Times New Roman" w:cs="Times New Roman"/>
        </w:rPr>
        <w:tab/>
      </w:r>
      <w:r w:rsidRPr="00AE6573">
        <w:rPr>
          <w:rFonts w:ascii="Times New Roman" w:eastAsia="Calibri" w:hAnsi="Times New Roman" w:cs="Times New Roman"/>
        </w:rPr>
        <w:tab/>
        <w:t>Temporal and spatial regulation of the cell cycle in ovococci</w:t>
      </w:r>
      <w:r w:rsidRPr="00AE6573">
        <w:rPr>
          <w:rFonts w:ascii="Times New Roman" w:eastAsia="Calibri" w:hAnsi="Times New Roman" w:cs="Times New Roman"/>
        </w:rPr>
        <w:tab/>
      </w:r>
      <w:r w:rsidR="0024733A">
        <w:rPr>
          <w:rFonts w:ascii="Times New Roman" w:eastAsia="Calibri" w:hAnsi="Times New Roman" w:cs="Times New Roman"/>
        </w:rPr>
        <w:tab/>
      </w:r>
      <w:r w:rsidRPr="00AE6573">
        <w:rPr>
          <w:rFonts w:ascii="Times New Roman" w:eastAsia="Calibri" w:hAnsi="Times New Roman" w:cs="Times New Roman"/>
        </w:rPr>
        <w:t>141</w:t>
      </w:r>
    </w:p>
    <w:p w:rsidR="003C6DF1" w:rsidRPr="0024733A" w:rsidRDefault="003C6DF1" w:rsidP="0024733A">
      <w:pPr>
        <w:spacing w:after="20" w:line="240" w:lineRule="auto"/>
        <w:rPr>
          <w:rFonts w:ascii="Times New Roman" w:hAnsi="Times New Roman" w:cs="Times New Roman"/>
          <w:b/>
        </w:rPr>
      </w:pPr>
      <w:r w:rsidRPr="0024733A">
        <w:rPr>
          <w:rFonts w:ascii="Times New Roman" w:hAnsi="Times New Roman" w:cs="Times New Roman"/>
          <w:b/>
        </w:rPr>
        <w:t>3.3</w:t>
      </w:r>
      <w:r w:rsidRPr="0024733A">
        <w:rPr>
          <w:rFonts w:ascii="Times New Roman" w:hAnsi="Times New Roman" w:cs="Times New Roman"/>
          <w:b/>
        </w:rPr>
        <w:tab/>
      </w:r>
      <w:r w:rsidRPr="0024733A">
        <w:rPr>
          <w:rFonts w:ascii="Times New Roman" w:hAnsi="Times New Roman" w:cs="Times New Roman"/>
          <w:b/>
        </w:rPr>
        <w:tab/>
        <w:t>Discussion</w:t>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t>151</w:t>
      </w:r>
    </w:p>
    <w:p w:rsidR="003C6DF1" w:rsidRDefault="003C6DF1" w:rsidP="0024733A">
      <w:pPr>
        <w:spacing w:after="20" w:line="240" w:lineRule="auto"/>
        <w:rPr>
          <w:rFonts w:ascii="Times New Roman" w:hAnsi="Times New Roman" w:cs="Times New Roman"/>
          <w:b/>
        </w:rPr>
      </w:pPr>
    </w:p>
    <w:p w:rsidR="0024733A" w:rsidRPr="0024733A" w:rsidRDefault="0024733A" w:rsidP="0024733A">
      <w:pPr>
        <w:spacing w:after="20" w:line="240" w:lineRule="auto"/>
        <w:rPr>
          <w:rFonts w:ascii="Times New Roman" w:hAnsi="Times New Roman" w:cs="Times New Roman"/>
          <w:b/>
        </w:rPr>
      </w:pPr>
    </w:p>
    <w:p w:rsidR="003C6DF1" w:rsidRPr="00AE6573" w:rsidRDefault="003C6DF1" w:rsidP="0024733A">
      <w:pPr>
        <w:spacing w:after="20" w:line="240" w:lineRule="auto"/>
        <w:rPr>
          <w:rFonts w:ascii="Times New Roman" w:hAnsi="Times New Roman" w:cs="Times New Roman"/>
          <w:b/>
        </w:rPr>
      </w:pPr>
      <w:r w:rsidRPr="00AE6573">
        <w:rPr>
          <w:rFonts w:ascii="Times New Roman" w:hAnsi="Times New Roman" w:cs="Times New Roman"/>
          <w:b/>
        </w:rPr>
        <w:t>Chapter 4</w:t>
      </w:r>
      <w:r w:rsidRPr="00AE6573">
        <w:rPr>
          <w:rFonts w:ascii="Times New Roman" w:hAnsi="Times New Roman" w:cs="Times New Roman"/>
          <w:b/>
        </w:rPr>
        <w:tab/>
        <w:t xml:space="preserve">Peptidoglycan architecture of </w:t>
      </w:r>
      <w:r w:rsidR="00733EBA" w:rsidRPr="00AE6573">
        <w:rPr>
          <w:rFonts w:ascii="Times New Roman" w:hAnsi="Times New Roman" w:cs="Times New Roman"/>
          <w:b/>
          <w:i/>
        </w:rPr>
        <w:t>S. aureus</w:t>
      </w:r>
      <w:r w:rsidR="00733EBA" w:rsidRPr="00AE6573">
        <w:rPr>
          <w:rFonts w:ascii="Times New Roman" w:hAnsi="Times New Roman" w:cs="Times New Roman"/>
          <w:b/>
          <w:i/>
        </w:rPr>
        <w:tab/>
      </w:r>
      <w:r w:rsidR="00733EBA" w:rsidRPr="00AE6573">
        <w:rPr>
          <w:rFonts w:ascii="Times New Roman" w:hAnsi="Times New Roman" w:cs="Times New Roman"/>
          <w:b/>
          <w:i/>
        </w:rPr>
        <w:tab/>
      </w:r>
      <w:r w:rsidRPr="00AE6573">
        <w:rPr>
          <w:rFonts w:ascii="Times New Roman" w:hAnsi="Times New Roman" w:cs="Times New Roman"/>
          <w:b/>
          <w:i/>
        </w:rPr>
        <w:tab/>
      </w:r>
      <w:r w:rsidRPr="00AE6573">
        <w:rPr>
          <w:rFonts w:ascii="Times New Roman" w:hAnsi="Times New Roman" w:cs="Times New Roman"/>
          <w:b/>
        </w:rPr>
        <w:t>158</w:t>
      </w:r>
      <w:r w:rsidR="00733EBA" w:rsidRPr="00AE6573">
        <w:rPr>
          <w:rFonts w:ascii="Times New Roman" w:hAnsi="Times New Roman" w:cs="Times New Roman"/>
          <w:b/>
        </w:rPr>
        <w:t>-216</w:t>
      </w:r>
    </w:p>
    <w:p w:rsidR="003C6DF1" w:rsidRPr="00AE6573" w:rsidRDefault="003C6DF1" w:rsidP="0024733A">
      <w:pPr>
        <w:spacing w:after="20" w:line="240" w:lineRule="auto"/>
        <w:rPr>
          <w:rFonts w:ascii="Times New Roman" w:hAnsi="Times New Roman" w:cs="Times New Roman"/>
        </w:rPr>
      </w:pPr>
    </w:p>
    <w:p w:rsidR="003C6DF1" w:rsidRPr="0024733A" w:rsidRDefault="003C6DF1" w:rsidP="0024733A">
      <w:pPr>
        <w:spacing w:after="20" w:line="240" w:lineRule="auto"/>
        <w:rPr>
          <w:rFonts w:ascii="Times New Roman" w:hAnsi="Times New Roman" w:cs="Times New Roman"/>
          <w:b/>
        </w:rPr>
      </w:pPr>
      <w:r w:rsidRPr="0024733A">
        <w:rPr>
          <w:rFonts w:ascii="Times New Roman" w:hAnsi="Times New Roman" w:cs="Times New Roman"/>
          <w:b/>
        </w:rPr>
        <w:t>4.1</w:t>
      </w:r>
      <w:r w:rsidRPr="0024733A">
        <w:rPr>
          <w:rFonts w:ascii="Times New Roman" w:hAnsi="Times New Roman" w:cs="Times New Roman"/>
          <w:b/>
        </w:rPr>
        <w:tab/>
      </w:r>
      <w:r w:rsidRPr="0024733A">
        <w:rPr>
          <w:rFonts w:ascii="Times New Roman" w:hAnsi="Times New Roman" w:cs="Times New Roman"/>
          <w:b/>
        </w:rPr>
        <w:tab/>
        <w:t>Introduction</w:t>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t>158</w:t>
      </w:r>
    </w:p>
    <w:p w:rsidR="003C6DF1" w:rsidRPr="00AE6573" w:rsidRDefault="003C6DF1" w:rsidP="0024733A">
      <w:pPr>
        <w:spacing w:after="20" w:line="240" w:lineRule="auto"/>
        <w:ind w:firstLine="142"/>
        <w:rPr>
          <w:rFonts w:ascii="Times New Roman" w:hAnsi="Times New Roman" w:cs="Times New Roman"/>
          <w:i/>
        </w:rPr>
      </w:pPr>
      <w:r w:rsidRPr="00AE6573">
        <w:rPr>
          <w:rFonts w:ascii="Times New Roman" w:hAnsi="Times New Roman" w:cs="Times New Roman"/>
        </w:rPr>
        <w:t>4.1.1</w:t>
      </w:r>
      <w:r w:rsidRPr="00AE6573">
        <w:rPr>
          <w:rFonts w:ascii="Times New Roman" w:hAnsi="Times New Roman" w:cs="Times New Roman"/>
        </w:rPr>
        <w:tab/>
      </w:r>
      <w:r w:rsidRPr="00AE6573">
        <w:rPr>
          <w:rFonts w:ascii="Times New Roman" w:hAnsi="Times New Roman" w:cs="Times New Roman"/>
        </w:rPr>
        <w:tab/>
        <w:t xml:space="preserve">The cell wall architecture of </w:t>
      </w:r>
      <w:r w:rsidRPr="00AE6573">
        <w:rPr>
          <w:rFonts w:ascii="Times New Roman" w:hAnsi="Times New Roman" w:cs="Times New Roman"/>
          <w:i/>
        </w:rPr>
        <w:t>S. aureus</w:t>
      </w:r>
      <w:r w:rsidRPr="00AE6573">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i/>
        </w:rPr>
        <w:tab/>
      </w:r>
      <w:r w:rsidR="0024733A">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rPr>
        <w:t>158</w:t>
      </w:r>
    </w:p>
    <w:p w:rsidR="003C6DF1" w:rsidRPr="00AE6573" w:rsidRDefault="003C6DF1" w:rsidP="0024733A">
      <w:pPr>
        <w:spacing w:after="20" w:line="240" w:lineRule="auto"/>
        <w:ind w:firstLine="142"/>
        <w:rPr>
          <w:rFonts w:ascii="Times New Roman" w:hAnsi="Times New Roman" w:cs="Times New Roman"/>
        </w:rPr>
      </w:pPr>
      <w:r w:rsidRPr="00AE6573">
        <w:rPr>
          <w:rFonts w:ascii="Times New Roman" w:hAnsi="Times New Roman" w:cs="Times New Roman"/>
        </w:rPr>
        <w:t>4.1.2</w:t>
      </w:r>
      <w:r w:rsidRPr="00AE6573">
        <w:rPr>
          <w:rFonts w:ascii="Times New Roman" w:hAnsi="Times New Roman" w:cs="Times New Roman"/>
        </w:rPr>
        <w:tab/>
      </w:r>
      <w:r w:rsidRPr="00AE6573">
        <w:rPr>
          <w:rFonts w:ascii="Times New Roman" w:hAnsi="Times New Roman" w:cs="Times New Roman"/>
        </w:rPr>
        <w:tab/>
        <w:t>Aims of this chapter</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159</w:t>
      </w:r>
    </w:p>
    <w:p w:rsidR="003C6DF1" w:rsidRPr="0024733A" w:rsidRDefault="003C6DF1" w:rsidP="0024733A">
      <w:pPr>
        <w:spacing w:after="20" w:line="240" w:lineRule="auto"/>
        <w:rPr>
          <w:rFonts w:ascii="Times New Roman" w:hAnsi="Times New Roman" w:cs="Times New Roman"/>
          <w:b/>
        </w:rPr>
      </w:pPr>
      <w:r w:rsidRPr="0024733A">
        <w:rPr>
          <w:rFonts w:ascii="Times New Roman" w:hAnsi="Times New Roman" w:cs="Times New Roman"/>
          <w:b/>
        </w:rPr>
        <w:t>4.2</w:t>
      </w:r>
      <w:r w:rsidRPr="0024733A">
        <w:rPr>
          <w:rFonts w:ascii="Times New Roman" w:hAnsi="Times New Roman" w:cs="Times New Roman"/>
          <w:b/>
        </w:rPr>
        <w:tab/>
      </w:r>
      <w:r w:rsidRPr="0024733A">
        <w:rPr>
          <w:rFonts w:ascii="Times New Roman" w:hAnsi="Times New Roman" w:cs="Times New Roman"/>
          <w:b/>
        </w:rPr>
        <w:tab/>
        <w:t>Results</w:t>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t>160</w:t>
      </w:r>
    </w:p>
    <w:p w:rsidR="003C6DF1" w:rsidRPr="00AE6573" w:rsidRDefault="003C6DF1" w:rsidP="0024733A">
      <w:pPr>
        <w:spacing w:after="20" w:line="240" w:lineRule="auto"/>
        <w:ind w:left="1440" w:hanging="1298"/>
        <w:rPr>
          <w:rFonts w:ascii="Times New Roman" w:hAnsi="Times New Roman" w:cs="Times New Roman"/>
        </w:rPr>
      </w:pPr>
      <w:r w:rsidRPr="00AE6573">
        <w:rPr>
          <w:rFonts w:ascii="Times New Roman" w:hAnsi="Times New Roman" w:cs="Times New Roman"/>
        </w:rPr>
        <w:t xml:space="preserve">4.2.1 </w:t>
      </w:r>
      <w:r w:rsidRPr="00AE6573">
        <w:rPr>
          <w:rFonts w:ascii="Times New Roman" w:hAnsi="Times New Roman" w:cs="Times New Roman"/>
        </w:rPr>
        <w:tab/>
        <w:t xml:space="preserve">AFM analysis of </w:t>
      </w:r>
      <w:r w:rsidRPr="00AE6573">
        <w:rPr>
          <w:rFonts w:ascii="Times New Roman" w:hAnsi="Times New Roman" w:cs="Times New Roman"/>
          <w:i/>
        </w:rPr>
        <w:t xml:space="preserve">S. aureus </w:t>
      </w:r>
      <w:r w:rsidRPr="00AE6573">
        <w:rPr>
          <w:rFonts w:ascii="Times New Roman" w:hAnsi="Times New Roman" w:cs="Times New Roman"/>
        </w:rPr>
        <w:t>peptidoglycan architecture</w:t>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t>160</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4.2.1.1</w:t>
      </w:r>
      <w:r w:rsidRPr="00AE6573">
        <w:rPr>
          <w:rFonts w:ascii="Times New Roman" w:hAnsi="Times New Roman" w:cs="Times New Roman"/>
        </w:rPr>
        <w:tab/>
        <w:t xml:space="preserve">Gross features of </w:t>
      </w:r>
      <w:r w:rsidRPr="00AE6573">
        <w:rPr>
          <w:rFonts w:ascii="Times New Roman" w:hAnsi="Times New Roman" w:cs="Times New Roman"/>
          <w:i/>
        </w:rPr>
        <w:t>S. aureus</w:t>
      </w:r>
      <w:r w:rsidRPr="00AE6573">
        <w:rPr>
          <w:rFonts w:ascii="Times New Roman" w:hAnsi="Times New Roman" w:cs="Times New Roman"/>
        </w:rPr>
        <w:t xml:space="preserve"> peptidoglycan sacculi</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160</w:t>
      </w:r>
    </w:p>
    <w:p w:rsidR="003C6DF1" w:rsidRPr="00AE6573" w:rsidRDefault="003C6DF1" w:rsidP="0024733A">
      <w:pPr>
        <w:spacing w:after="20" w:line="240" w:lineRule="auto"/>
        <w:ind w:firstLine="284"/>
        <w:rPr>
          <w:rFonts w:ascii="Times New Roman" w:hAnsi="Times New Roman" w:cs="Times New Roman"/>
        </w:rPr>
      </w:pPr>
      <w:r w:rsidRPr="00AE6573">
        <w:rPr>
          <w:rFonts w:ascii="Times New Roman" w:hAnsi="Times New Roman" w:cs="Times New Roman"/>
        </w:rPr>
        <w:t>4.2.1.2</w:t>
      </w:r>
      <w:r w:rsidRPr="00AE6573">
        <w:rPr>
          <w:rFonts w:ascii="Times New Roman" w:hAnsi="Times New Roman" w:cs="Times New Roman"/>
        </w:rPr>
        <w:tab/>
        <w:t xml:space="preserve">Nanoscale architecture of </w:t>
      </w:r>
      <w:r w:rsidRPr="00AE6573">
        <w:rPr>
          <w:rFonts w:ascii="Times New Roman" w:hAnsi="Times New Roman" w:cs="Times New Roman"/>
          <w:i/>
        </w:rPr>
        <w:t>S. aureus</w:t>
      </w:r>
      <w:r w:rsidRPr="00AE6573">
        <w:rPr>
          <w:rFonts w:ascii="Times New Roman" w:hAnsi="Times New Roman" w:cs="Times New Roman"/>
        </w:rPr>
        <w:t xml:space="preserve"> sacculi by AFM</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164</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4.2.1.3</w:t>
      </w:r>
      <w:r w:rsidRPr="00AE6573">
        <w:rPr>
          <w:rFonts w:ascii="Times New Roman" w:hAnsi="Times New Roman" w:cs="Times New Roman"/>
        </w:rPr>
        <w:tab/>
        <w:t>Labelling of nascent cell wall with fluorescent vancomycin</w:t>
      </w:r>
      <w:r w:rsidRPr="00AE6573">
        <w:rPr>
          <w:rFonts w:ascii="Times New Roman" w:hAnsi="Times New Roman" w:cs="Times New Roman"/>
        </w:rPr>
        <w:tab/>
      </w:r>
      <w:r w:rsidRPr="00AE6573">
        <w:rPr>
          <w:rFonts w:ascii="Times New Roman" w:hAnsi="Times New Roman" w:cs="Times New Roman"/>
        </w:rPr>
        <w:tab/>
        <w:t>164</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 xml:space="preserve">4.2.1.4 </w:t>
      </w:r>
      <w:r w:rsidRPr="00AE6573">
        <w:rPr>
          <w:rFonts w:ascii="Times New Roman" w:hAnsi="Times New Roman" w:cs="Times New Roman"/>
        </w:rPr>
        <w:tab/>
        <w:t>The orientation of intersecting peptidoglycan ribs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172</w:t>
      </w:r>
    </w:p>
    <w:p w:rsidR="003C6DF1" w:rsidRPr="00AE6573" w:rsidRDefault="003C6DF1" w:rsidP="0024733A">
      <w:pPr>
        <w:spacing w:after="20" w:line="240" w:lineRule="auto"/>
        <w:ind w:firstLine="142"/>
        <w:rPr>
          <w:rFonts w:ascii="Times New Roman" w:hAnsi="Times New Roman" w:cs="Times New Roman"/>
        </w:rPr>
      </w:pPr>
      <w:r w:rsidRPr="00AE6573">
        <w:rPr>
          <w:rFonts w:ascii="Times New Roman" w:hAnsi="Times New Roman" w:cs="Times New Roman"/>
        </w:rPr>
        <w:t>4.2.2</w:t>
      </w:r>
      <w:r w:rsidRPr="00AE6573">
        <w:rPr>
          <w:rFonts w:ascii="Times New Roman" w:hAnsi="Times New Roman" w:cs="Times New Roman"/>
        </w:rPr>
        <w:tab/>
      </w:r>
      <w:r w:rsidRPr="00AE6573">
        <w:rPr>
          <w:rFonts w:ascii="Times New Roman" w:hAnsi="Times New Roman" w:cs="Times New Roman"/>
        </w:rPr>
        <w:tab/>
        <w:t>The distribution of aging peptidoglycan in a growing population</w:t>
      </w:r>
      <w:r w:rsidR="0024733A">
        <w:rPr>
          <w:rFonts w:ascii="Times New Roman" w:hAnsi="Times New Roman" w:cs="Times New Roman"/>
        </w:rPr>
        <w:tab/>
      </w:r>
      <w:r w:rsidRPr="00AE6573">
        <w:rPr>
          <w:rFonts w:ascii="Times New Roman" w:hAnsi="Times New Roman" w:cs="Times New Roman"/>
        </w:rPr>
        <w:tab/>
        <w:t>175</w:t>
      </w:r>
    </w:p>
    <w:p w:rsidR="003C6DF1" w:rsidRPr="00AE6573" w:rsidRDefault="003C6DF1" w:rsidP="0024733A">
      <w:pPr>
        <w:spacing w:after="20" w:line="240" w:lineRule="auto"/>
        <w:ind w:left="1418" w:hanging="1276"/>
        <w:rPr>
          <w:rFonts w:ascii="Times New Roman" w:hAnsi="Times New Roman" w:cs="Times New Roman"/>
        </w:rPr>
      </w:pPr>
      <w:r w:rsidRPr="00AE6573">
        <w:rPr>
          <w:rFonts w:ascii="Times New Roman" w:hAnsi="Times New Roman" w:cs="Times New Roman"/>
        </w:rPr>
        <w:t>4.2.3</w:t>
      </w:r>
      <w:r w:rsidRPr="00AE6573">
        <w:rPr>
          <w:rFonts w:ascii="Times New Roman" w:hAnsi="Times New Roman" w:cs="Times New Roman"/>
        </w:rPr>
        <w:tab/>
        <w:t>The use of fluorescent probes for investigating peptidoglycan</w:t>
      </w:r>
    </w:p>
    <w:p w:rsidR="003C6DF1" w:rsidRPr="00AE6573" w:rsidRDefault="003C6DF1" w:rsidP="0024733A">
      <w:pPr>
        <w:spacing w:after="20" w:line="240" w:lineRule="auto"/>
        <w:ind w:left="1418"/>
        <w:rPr>
          <w:rFonts w:ascii="Times New Roman" w:hAnsi="Times New Roman" w:cs="Times New Roman"/>
        </w:rPr>
      </w:pPr>
      <w:proofErr w:type="gramStart"/>
      <w:r w:rsidRPr="00AE6573">
        <w:rPr>
          <w:rFonts w:ascii="Times New Roman" w:hAnsi="Times New Roman" w:cs="Times New Roman"/>
        </w:rPr>
        <w:t>chemistry</w:t>
      </w:r>
      <w:proofErr w:type="gramEnd"/>
      <w:r w:rsidRPr="00AE6573">
        <w:rPr>
          <w:rFonts w:ascii="Times New Roman" w:hAnsi="Times New Roman" w:cs="Times New Roman"/>
        </w:rPr>
        <w:t xml:space="preserve"> </w:t>
      </w:r>
      <w:r w:rsidRPr="00AE6573">
        <w:rPr>
          <w:rFonts w:ascii="Times New Roman" w:hAnsi="Times New Roman" w:cs="Times New Roman"/>
          <w:i/>
        </w:rPr>
        <w:t>in situ</w:t>
      </w:r>
      <w:r w:rsidRPr="00AE6573">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rPr>
        <w:t>176</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4.2.3.1</w:t>
      </w:r>
      <w:r w:rsidRPr="00AE6573">
        <w:rPr>
          <w:rFonts w:ascii="Times New Roman" w:hAnsi="Times New Roman" w:cs="Times New Roman"/>
        </w:rPr>
        <w:tab/>
        <w:t>Selection of specific targets in the peptidoglycan chemistry</w:t>
      </w:r>
      <w:r w:rsidRPr="00AE6573">
        <w:rPr>
          <w:rFonts w:ascii="Times New Roman" w:hAnsi="Times New Roman" w:cs="Times New Roman"/>
        </w:rPr>
        <w:tab/>
      </w:r>
      <w:r w:rsidRPr="00AE6573">
        <w:rPr>
          <w:rFonts w:ascii="Times New Roman" w:hAnsi="Times New Roman" w:cs="Times New Roman"/>
        </w:rPr>
        <w:tab/>
        <w:t>179</w:t>
      </w:r>
    </w:p>
    <w:p w:rsidR="003C6DF1" w:rsidRPr="00AE6573" w:rsidRDefault="003C6DF1" w:rsidP="0024733A">
      <w:pPr>
        <w:spacing w:after="20" w:line="240" w:lineRule="auto"/>
        <w:ind w:firstLine="284"/>
        <w:rPr>
          <w:rFonts w:ascii="Times New Roman" w:hAnsi="Times New Roman" w:cs="Times New Roman"/>
        </w:rPr>
      </w:pPr>
      <w:r w:rsidRPr="00AE6573">
        <w:rPr>
          <w:rFonts w:ascii="Times New Roman" w:hAnsi="Times New Roman" w:cs="Times New Roman"/>
        </w:rPr>
        <w:t>4.2.3.2</w:t>
      </w:r>
      <w:r w:rsidRPr="00AE6573">
        <w:rPr>
          <w:rFonts w:ascii="Times New Roman" w:hAnsi="Times New Roman" w:cs="Times New Roman"/>
        </w:rPr>
        <w:tab/>
        <w:t>Identification of targets for labelling of peptidoglycan</w:t>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182</w:t>
      </w:r>
    </w:p>
    <w:p w:rsidR="003C6DF1" w:rsidRPr="00AE6573" w:rsidRDefault="003C6DF1" w:rsidP="0024733A">
      <w:pPr>
        <w:spacing w:after="20" w:line="240" w:lineRule="auto"/>
        <w:ind w:left="1440" w:hanging="1156"/>
        <w:jc w:val="both"/>
        <w:rPr>
          <w:rFonts w:ascii="Times New Roman" w:hAnsi="Times New Roman" w:cs="Times New Roman"/>
        </w:rPr>
      </w:pPr>
      <w:r w:rsidRPr="00AE6573">
        <w:rPr>
          <w:rFonts w:ascii="Times New Roman" w:hAnsi="Times New Roman" w:cs="Times New Roman"/>
        </w:rPr>
        <w:t>4.2.3.3</w:t>
      </w:r>
      <w:r w:rsidRPr="00AE6573">
        <w:rPr>
          <w:rFonts w:ascii="Times New Roman" w:hAnsi="Times New Roman" w:cs="Times New Roman"/>
        </w:rPr>
        <w:tab/>
        <w:t>Selection of fluorescent probes for investigating peptidoglycan</w:t>
      </w:r>
      <w:r w:rsidR="0024733A">
        <w:rPr>
          <w:rFonts w:ascii="Times New Roman" w:hAnsi="Times New Roman" w:cs="Times New Roman"/>
        </w:rPr>
        <w:t xml:space="preserve"> </w:t>
      </w:r>
      <w:r w:rsidRPr="00AE6573">
        <w:rPr>
          <w:rFonts w:ascii="Times New Roman" w:hAnsi="Times New Roman" w:cs="Times New Roman"/>
        </w:rPr>
        <w:t>chemistry</w:t>
      </w:r>
      <w:r w:rsidRPr="00AE6573">
        <w:rPr>
          <w:rFonts w:ascii="Times New Roman" w:hAnsi="Times New Roman" w:cs="Times New Roman"/>
        </w:rPr>
        <w:tab/>
        <w:t>184</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4.2.3.4</w:t>
      </w:r>
      <w:r w:rsidRPr="00AE6573">
        <w:rPr>
          <w:rFonts w:ascii="Times New Roman" w:hAnsi="Times New Roman" w:cs="Times New Roman"/>
        </w:rPr>
        <w:tab/>
        <w:t>Labelling of peptide stems with BODIPY SSE</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185</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4.2.3.5</w:t>
      </w:r>
      <w:r w:rsidRPr="00AE6573">
        <w:rPr>
          <w:rFonts w:ascii="Times New Roman" w:hAnsi="Times New Roman" w:cs="Times New Roman"/>
        </w:rPr>
        <w:tab/>
        <w:t xml:space="preserve">Inhibition of BODIPY SSE binding to </w:t>
      </w:r>
      <w:r w:rsidRPr="00AE6573">
        <w:rPr>
          <w:rFonts w:ascii="Times New Roman" w:hAnsi="Times New Roman" w:cs="Times New Roman"/>
          <w:i/>
        </w:rPr>
        <w:t xml:space="preserve">B. subtilis </w:t>
      </w:r>
      <w:r w:rsidRPr="00AE6573">
        <w:rPr>
          <w:rFonts w:ascii="Times New Roman" w:hAnsi="Times New Roman" w:cs="Times New Roman"/>
        </w:rPr>
        <w:t>cell walls</w:t>
      </w:r>
      <w:r w:rsidRPr="00AE6573">
        <w:rPr>
          <w:rFonts w:ascii="Times New Roman" w:hAnsi="Times New Roman" w:cs="Times New Roman"/>
        </w:rPr>
        <w:tab/>
      </w:r>
      <w:r w:rsidRPr="00AE6573">
        <w:rPr>
          <w:rFonts w:ascii="Times New Roman" w:hAnsi="Times New Roman" w:cs="Times New Roman"/>
        </w:rPr>
        <w:tab/>
        <w:t>187</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4.2.3.6</w:t>
      </w:r>
      <w:r w:rsidRPr="00AE6573">
        <w:rPr>
          <w:rFonts w:ascii="Times New Roman" w:hAnsi="Times New Roman" w:cs="Times New Roman"/>
        </w:rPr>
        <w:tab/>
        <w:t>BODIPY SSE labelling of hydrolysed peptidoglycan</w:t>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192</w:t>
      </w:r>
    </w:p>
    <w:p w:rsidR="003C6DF1" w:rsidRPr="00AE6573" w:rsidRDefault="003C6DF1" w:rsidP="0024733A">
      <w:pPr>
        <w:spacing w:after="20" w:line="240" w:lineRule="auto"/>
        <w:ind w:left="1440" w:hanging="1156"/>
        <w:jc w:val="both"/>
        <w:rPr>
          <w:rFonts w:ascii="Times New Roman" w:hAnsi="Times New Roman" w:cs="Times New Roman"/>
        </w:rPr>
      </w:pPr>
      <w:r w:rsidRPr="00AE6573">
        <w:rPr>
          <w:rFonts w:ascii="Times New Roman" w:hAnsi="Times New Roman" w:cs="Times New Roman"/>
        </w:rPr>
        <w:t>4.2.3.7</w:t>
      </w:r>
      <w:r w:rsidRPr="00AE6573">
        <w:rPr>
          <w:rFonts w:ascii="Times New Roman" w:hAnsi="Times New Roman" w:cs="Times New Roman"/>
        </w:rPr>
        <w:tab/>
        <w:t>Labelling of purified peptidoglycan sacculi with BODIPY SSE</w:t>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199</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 xml:space="preserve">4.2.3.8 </w:t>
      </w:r>
      <w:r w:rsidRPr="00AE6573">
        <w:rPr>
          <w:rFonts w:ascii="Times New Roman" w:hAnsi="Times New Roman" w:cs="Times New Roman"/>
        </w:rPr>
        <w:tab/>
        <w:t>Labelling of glycan strand reducing termini with HAF488</w:t>
      </w:r>
      <w:r w:rsidRPr="00AE6573">
        <w:rPr>
          <w:rFonts w:ascii="Times New Roman" w:hAnsi="Times New Roman" w:cs="Times New Roman"/>
        </w:rPr>
        <w:tab/>
      </w:r>
      <w:r w:rsidRPr="00AE6573">
        <w:rPr>
          <w:rFonts w:ascii="Times New Roman" w:hAnsi="Times New Roman" w:cs="Times New Roman"/>
        </w:rPr>
        <w:tab/>
        <w:t>200</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4.2.3.9</w:t>
      </w:r>
      <w:r w:rsidRPr="00AE6573">
        <w:rPr>
          <w:rFonts w:ascii="Times New Roman" w:hAnsi="Times New Roman" w:cs="Times New Roman"/>
        </w:rPr>
        <w:tab/>
        <w:t>Labelling of purified sacculi with HAF488</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200</w:t>
      </w:r>
    </w:p>
    <w:p w:rsidR="003C6DF1" w:rsidRPr="0024733A" w:rsidRDefault="003C6DF1" w:rsidP="0024733A">
      <w:pPr>
        <w:spacing w:after="20" w:line="240" w:lineRule="auto"/>
        <w:jc w:val="both"/>
        <w:rPr>
          <w:rFonts w:ascii="Times New Roman" w:hAnsi="Times New Roman" w:cs="Times New Roman"/>
          <w:b/>
        </w:rPr>
      </w:pPr>
      <w:r w:rsidRPr="0024733A">
        <w:rPr>
          <w:rFonts w:ascii="Times New Roman" w:hAnsi="Times New Roman" w:cs="Times New Roman"/>
          <w:b/>
        </w:rPr>
        <w:t>4.3</w:t>
      </w:r>
      <w:r w:rsidRPr="0024733A">
        <w:rPr>
          <w:rFonts w:ascii="Times New Roman" w:hAnsi="Times New Roman" w:cs="Times New Roman"/>
          <w:b/>
        </w:rPr>
        <w:tab/>
      </w:r>
      <w:r w:rsidRPr="0024733A">
        <w:rPr>
          <w:rFonts w:ascii="Times New Roman" w:hAnsi="Times New Roman" w:cs="Times New Roman"/>
          <w:b/>
        </w:rPr>
        <w:tab/>
        <w:t>Discussion</w:t>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t>210</w:t>
      </w:r>
    </w:p>
    <w:p w:rsidR="003C6DF1" w:rsidRPr="00AE6573" w:rsidRDefault="003C6DF1" w:rsidP="0024733A">
      <w:pPr>
        <w:spacing w:after="20" w:line="240" w:lineRule="auto"/>
        <w:ind w:firstLine="142"/>
        <w:jc w:val="both"/>
        <w:rPr>
          <w:rFonts w:ascii="Times New Roman" w:hAnsi="Times New Roman" w:cs="Times New Roman"/>
          <w:i/>
        </w:rPr>
      </w:pPr>
      <w:r w:rsidRPr="00AE6573">
        <w:rPr>
          <w:rFonts w:ascii="Times New Roman" w:hAnsi="Times New Roman" w:cs="Times New Roman"/>
        </w:rPr>
        <w:t>4.3.1.</w:t>
      </w:r>
      <w:r w:rsidRPr="00AE6573">
        <w:rPr>
          <w:rFonts w:ascii="Times New Roman" w:hAnsi="Times New Roman" w:cs="Times New Roman"/>
        </w:rPr>
        <w:tab/>
      </w:r>
      <w:r w:rsidRPr="00AE6573">
        <w:rPr>
          <w:rFonts w:ascii="Times New Roman" w:hAnsi="Times New Roman" w:cs="Times New Roman"/>
        </w:rPr>
        <w:tab/>
        <w:t xml:space="preserve">Peptidoglycan architecture of </w:t>
      </w:r>
      <w:r w:rsidRPr="00AE6573">
        <w:rPr>
          <w:rFonts w:ascii="Times New Roman" w:hAnsi="Times New Roman" w:cs="Times New Roman"/>
          <w:i/>
        </w:rPr>
        <w:t>S. aureus</w:t>
      </w:r>
      <w:r w:rsidRPr="00AE6573">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i/>
        </w:rPr>
        <w:tab/>
      </w:r>
      <w:r w:rsidR="0024733A">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rPr>
        <w:t>210</w:t>
      </w:r>
    </w:p>
    <w:p w:rsidR="003C6DF1" w:rsidRDefault="003C6DF1" w:rsidP="0024733A">
      <w:pPr>
        <w:spacing w:after="20" w:line="240" w:lineRule="auto"/>
        <w:ind w:left="1440" w:hanging="1298"/>
        <w:jc w:val="both"/>
        <w:rPr>
          <w:rFonts w:ascii="Times New Roman" w:hAnsi="Times New Roman" w:cs="Times New Roman"/>
        </w:rPr>
      </w:pPr>
      <w:r w:rsidRPr="00AE6573">
        <w:rPr>
          <w:rFonts w:ascii="Times New Roman" w:hAnsi="Times New Roman" w:cs="Times New Roman"/>
        </w:rPr>
        <w:t>4.3.2</w:t>
      </w:r>
      <w:r w:rsidRPr="00AE6573">
        <w:rPr>
          <w:rFonts w:ascii="Times New Roman" w:hAnsi="Times New Roman" w:cs="Times New Roman"/>
        </w:rPr>
        <w:tab/>
        <w:t>Investigation of peptidoglycan chemistry with fluorescent</w:t>
      </w:r>
      <w:r w:rsidR="0024733A">
        <w:rPr>
          <w:rFonts w:ascii="Times New Roman" w:hAnsi="Times New Roman" w:cs="Times New Roman"/>
        </w:rPr>
        <w:t xml:space="preserve"> </w:t>
      </w:r>
      <w:r w:rsidRPr="00AE6573">
        <w:rPr>
          <w:rFonts w:ascii="Times New Roman" w:hAnsi="Times New Roman" w:cs="Times New Roman"/>
        </w:rPr>
        <w:t>probes</w:t>
      </w:r>
      <w:r w:rsidRPr="00AE6573">
        <w:rPr>
          <w:rFonts w:ascii="Times New Roman" w:hAnsi="Times New Roman" w:cs="Times New Roman"/>
        </w:rPr>
        <w:tab/>
      </w:r>
      <w:r w:rsidRPr="00AE6573">
        <w:rPr>
          <w:rFonts w:ascii="Times New Roman" w:hAnsi="Times New Roman" w:cs="Times New Roman"/>
        </w:rPr>
        <w:tab/>
        <w:t>212</w:t>
      </w:r>
    </w:p>
    <w:p w:rsidR="0024733A" w:rsidRDefault="0024733A" w:rsidP="0024733A">
      <w:pPr>
        <w:spacing w:after="20" w:line="240" w:lineRule="auto"/>
        <w:ind w:left="1440"/>
        <w:jc w:val="both"/>
        <w:rPr>
          <w:rFonts w:ascii="Times New Roman" w:hAnsi="Times New Roman" w:cs="Times New Roman"/>
        </w:rPr>
      </w:pPr>
    </w:p>
    <w:p w:rsidR="0024733A" w:rsidRPr="00AE6573" w:rsidRDefault="0024733A" w:rsidP="0024733A">
      <w:pPr>
        <w:spacing w:after="20" w:line="240" w:lineRule="auto"/>
        <w:ind w:left="1440"/>
        <w:jc w:val="both"/>
        <w:rPr>
          <w:rFonts w:ascii="Times New Roman" w:hAnsi="Times New Roman" w:cs="Times New Roman"/>
        </w:rPr>
      </w:pPr>
    </w:p>
    <w:p w:rsidR="0024733A" w:rsidRPr="0024733A" w:rsidRDefault="003C6DF1" w:rsidP="0024733A">
      <w:pPr>
        <w:spacing w:after="20" w:line="240" w:lineRule="auto"/>
        <w:rPr>
          <w:rFonts w:ascii="Times New Roman" w:hAnsi="Times New Roman" w:cs="Times New Roman"/>
          <w:b/>
          <w:i/>
        </w:rPr>
      </w:pPr>
      <w:r w:rsidRPr="00AE6573">
        <w:rPr>
          <w:rFonts w:ascii="Times New Roman" w:hAnsi="Times New Roman" w:cs="Times New Roman"/>
          <w:b/>
        </w:rPr>
        <w:t>Chapter 5</w:t>
      </w:r>
      <w:r w:rsidRPr="00AE6573">
        <w:rPr>
          <w:rFonts w:ascii="Times New Roman" w:hAnsi="Times New Roman" w:cs="Times New Roman"/>
          <w:b/>
        </w:rPr>
        <w:tab/>
      </w:r>
      <w:proofErr w:type="gramStart"/>
      <w:r w:rsidRPr="00AE6573">
        <w:rPr>
          <w:rFonts w:ascii="Times New Roman" w:hAnsi="Times New Roman" w:cs="Times New Roman"/>
          <w:b/>
        </w:rPr>
        <w:t>The</w:t>
      </w:r>
      <w:proofErr w:type="gramEnd"/>
      <w:r w:rsidRPr="00AE6573">
        <w:rPr>
          <w:rFonts w:ascii="Times New Roman" w:hAnsi="Times New Roman" w:cs="Times New Roman"/>
          <w:b/>
        </w:rPr>
        <w:t xml:space="preserve"> role of glucosaminidases in </w:t>
      </w:r>
      <w:r w:rsidRPr="00AE6573">
        <w:rPr>
          <w:rFonts w:ascii="Times New Roman" w:hAnsi="Times New Roman" w:cs="Times New Roman"/>
          <w:b/>
          <w:i/>
        </w:rPr>
        <w:t>Staphylococcus aureus</w:t>
      </w:r>
    </w:p>
    <w:p w:rsidR="003C6DF1" w:rsidRPr="00AE6573" w:rsidRDefault="00733EBA" w:rsidP="0024733A">
      <w:pPr>
        <w:spacing w:after="20" w:line="240" w:lineRule="auto"/>
        <w:ind w:left="720" w:firstLine="720"/>
        <w:rPr>
          <w:rFonts w:ascii="Times New Roman" w:hAnsi="Times New Roman" w:cs="Times New Roman"/>
          <w:b/>
        </w:rPr>
      </w:pPr>
      <w:proofErr w:type="gramStart"/>
      <w:r w:rsidRPr="00AE6573">
        <w:rPr>
          <w:rFonts w:ascii="Times New Roman" w:hAnsi="Times New Roman" w:cs="Times New Roman"/>
          <w:b/>
        </w:rPr>
        <w:t>morphogenesis</w:t>
      </w:r>
      <w:proofErr w:type="gramEnd"/>
      <w:r w:rsidRPr="00AE6573">
        <w:rPr>
          <w:rFonts w:ascii="Times New Roman" w:hAnsi="Times New Roman" w:cs="Times New Roman"/>
          <w:b/>
        </w:rPr>
        <w:t xml:space="preserve"> </w:t>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003C6DF1" w:rsidRPr="00AE6573">
        <w:rPr>
          <w:rFonts w:ascii="Times New Roman" w:hAnsi="Times New Roman" w:cs="Times New Roman"/>
          <w:b/>
        </w:rPr>
        <w:t>217</w:t>
      </w:r>
      <w:r w:rsidRPr="00AE6573">
        <w:rPr>
          <w:rFonts w:ascii="Times New Roman" w:hAnsi="Times New Roman" w:cs="Times New Roman"/>
          <w:b/>
        </w:rPr>
        <w:t>-271</w:t>
      </w:r>
    </w:p>
    <w:p w:rsidR="003C6DF1" w:rsidRPr="00AE6573" w:rsidRDefault="003C6DF1" w:rsidP="0024733A">
      <w:pPr>
        <w:spacing w:after="20" w:line="240" w:lineRule="auto"/>
        <w:rPr>
          <w:rFonts w:ascii="Times New Roman" w:hAnsi="Times New Roman" w:cs="Times New Roman"/>
        </w:rPr>
      </w:pPr>
    </w:p>
    <w:p w:rsidR="003C6DF1" w:rsidRPr="00AE6573" w:rsidRDefault="003C6DF1" w:rsidP="0024733A">
      <w:pPr>
        <w:spacing w:after="20" w:line="240" w:lineRule="auto"/>
        <w:rPr>
          <w:rFonts w:ascii="Times New Roman" w:hAnsi="Times New Roman" w:cs="Times New Roman"/>
        </w:rPr>
      </w:pPr>
      <w:r w:rsidRPr="00AE6573">
        <w:rPr>
          <w:rFonts w:ascii="Times New Roman" w:hAnsi="Times New Roman" w:cs="Times New Roman"/>
        </w:rPr>
        <w:t>Foreword</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217</w:t>
      </w:r>
    </w:p>
    <w:p w:rsidR="003C6DF1" w:rsidRPr="0024733A" w:rsidRDefault="003C6DF1" w:rsidP="0024733A">
      <w:pPr>
        <w:spacing w:after="20" w:line="240" w:lineRule="auto"/>
        <w:rPr>
          <w:rFonts w:ascii="Times New Roman" w:hAnsi="Times New Roman" w:cs="Times New Roman"/>
          <w:b/>
        </w:rPr>
      </w:pPr>
      <w:r w:rsidRPr="0024733A">
        <w:rPr>
          <w:rFonts w:ascii="Times New Roman" w:hAnsi="Times New Roman" w:cs="Times New Roman"/>
          <w:b/>
        </w:rPr>
        <w:t>5.1</w:t>
      </w:r>
      <w:r w:rsidRPr="0024733A">
        <w:rPr>
          <w:rFonts w:ascii="Times New Roman" w:hAnsi="Times New Roman" w:cs="Times New Roman"/>
          <w:b/>
        </w:rPr>
        <w:tab/>
      </w:r>
      <w:r w:rsidRPr="0024733A">
        <w:rPr>
          <w:rFonts w:ascii="Times New Roman" w:hAnsi="Times New Roman" w:cs="Times New Roman"/>
          <w:b/>
        </w:rPr>
        <w:tab/>
        <w:t>Introduction</w:t>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t>217</w:t>
      </w:r>
    </w:p>
    <w:p w:rsidR="003C6DF1" w:rsidRPr="00AE6573" w:rsidRDefault="003C6DF1" w:rsidP="0024733A">
      <w:pPr>
        <w:spacing w:after="20" w:line="240" w:lineRule="auto"/>
        <w:ind w:firstLine="142"/>
        <w:rPr>
          <w:rFonts w:ascii="Times New Roman" w:hAnsi="Times New Roman" w:cs="Times New Roman"/>
          <w:i/>
        </w:rPr>
      </w:pPr>
      <w:r w:rsidRPr="00AE6573">
        <w:rPr>
          <w:rFonts w:ascii="Times New Roman" w:hAnsi="Times New Roman" w:cs="Times New Roman"/>
        </w:rPr>
        <w:t>5.1.1</w:t>
      </w:r>
      <w:r w:rsidRPr="00AE6573">
        <w:rPr>
          <w:rFonts w:ascii="Times New Roman" w:hAnsi="Times New Roman" w:cs="Times New Roman"/>
        </w:rPr>
        <w:tab/>
      </w:r>
      <w:r w:rsidRPr="00AE6573">
        <w:rPr>
          <w:rFonts w:ascii="Times New Roman" w:hAnsi="Times New Roman" w:cs="Times New Roman"/>
        </w:rPr>
        <w:tab/>
        <w:t xml:space="preserve">Autolysins of </w:t>
      </w:r>
      <w:r w:rsidRPr="00AE6573">
        <w:rPr>
          <w:rFonts w:ascii="Times New Roman" w:hAnsi="Times New Roman" w:cs="Times New Roman"/>
          <w:i/>
        </w:rPr>
        <w:t>S. aureus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t>217</w:t>
      </w:r>
    </w:p>
    <w:p w:rsidR="003C6DF1" w:rsidRPr="00AE6573" w:rsidRDefault="003C6DF1" w:rsidP="0024733A">
      <w:pPr>
        <w:spacing w:after="20" w:line="240" w:lineRule="auto"/>
        <w:ind w:firstLine="142"/>
        <w:rPr>
          <w:rFonts w:ascii="Times New Roman" w:hAnsi="Times New Roman" w:cs="Times New Roman"/>
        </w:rPr>
      </w:pPr>
      <w:r w:rsidRPr="00AE6573">
        <w:rPr>
          <w:rFonts w:ascii="Times New Roman" w:hAnsi="Times New Roman" w:cs="Times New Roman"/>
        </w:rPr>
        <w:t>5.1.2</w:t>
      </w:r>
      <w:r w:rsidRPr="00AE6573">
        <w:rPr>
          <w:rFonts w:ascii="Times New Roman" w:hAnsi="Times New Roman" w:cs="Times New Roman"/>
        </w:rPr>
        <w:tab/>
      </w:r>
      <w:r w:rsidRPr="00AE6573">
        <w:rPr>
          <w:rFonts w:ascii="Times New Roman" w:hAnsi="Times New Roman" w:cs="Times New Roman"/>
        </w:rPr>
        <w:tab/>
        <w:t>Aims of this chapter</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219</w:t>
      </w:r>
    </w:p>
    <w:p w:rsidR="003C6DF1" w:rsidRPr="0024733A" w:rsidRDefault="003C6DF1" w:rsidP="0024733A">
      <w:pPr>
        <w:spacing w:after="20" w:line="240" w:lineRule="auto"/>
        <w:rPr>
          <w:rFonts w:ascii="Times New Roman" w:hAnsi="Times New Roman" w:cs="Times New Roman"/>
          <w:b/>
        </w:rPr>
      </w:pPr>
      <w:r w:rsidRPr="0024733A">
        <w:rPr>
          <w:rFonts w:ascii="Times New Roman" w:hAnsi="Times New Roman" w:cs="Times New Roman"/>
          <w:b/>
        </w:rPr>
        <w:t>5.2</w:t>
      </w:r>
      <w:r w:rsidRPr="0024733A">
        <w:rPr>
          <w:rFonts w:ascii="Times New Roman" w:hAnsi="Times New Roman" w:cs="Times New Roman"/>
          <w:b/>
        </w:rPr>
        <w:tab/>
      </w:r>
      <w:r w:rsidRPr="0024733A">
        <w:rPr>
          <w:rFonts w:ascii="Times New Roman" w:hAnsi="Times New Roman" w:cs="Times New Roman"/>
          <w:b/>
        </w:rPr>
        <w:tab/>
        <w:t>Results</w:t>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t>220</w:t>
      </w:r>
    </w:p>
    <w:p w:rsidR="003C6DF1" w:rsidRPr="00AE6573" w:rsidRDefault="003C6DF1" w:rsidP="0024733A">
      <w:pPr>
        <w:tabs>
          <w:tab w:val="left" w:pos="1418"/>
        </w:tabs>
        <w:spacing w:after="20" w:line="240" w:lineRule="auto"/>
        <w:ind w:left="1418" w:hanging="1276"/>
        <w:jc w:val="both"/>
        <w:rPr>
          <w:rFonts w:ascii="Times New Roman" w:hAnsi="Times New Roman" w:cs="Times New Roman"/>
        </w:rPr>
      </w:pPr>
      <w:r w:rsidRPr="00AE6573">
        <w:rPr>
          <w:rFonts w:ascii="Times New Roman" w:hAnsi="Times New Roman" w:cs="Times New Roman"/>
          <w:bCs/>
        </w:rPr>
        <w:t>5.2.1</w:t>
      </w:r>
      <w:r w:rsidRPr="00AE6573">
        <w:rPr>
          <w:rFonts w:ascii="Times New Roman" w:hAnsi="Times New Roman" w:cs="Times New Roman"/>
          <w:bCs/>
        </w:rPr>
        <w:tab/>
      </w:r>
      <w:r w:rsidRPr="00AE6573">
        <w:rPr>
          <w:rFonts w:ascii="Times New Roman" w:hAnsi="Times New Roman" w:cs="Times New Roman"/>
        </w:rPr>
        <w:t>Identification of peptidoglycan hydrolases by bioinformatic</w:t>
      </w:r>
    </w:p>
    <w:p w:rsidR="003C6DF1" w:rsidRPr="00AE6573" w:rsidRDefault="003C6DF1" w:rsidP="0024733A">
      <w:pPr>
        <w:tabs>
          <w:tab w:val="left" w:pos="1418"/>
        </w:tabs>
        <w:spacing w:after="20" w:line="240" w:lineRule="auto"/>
        <w:ind w:left="1418" w:hanging="1418"/>
        <w:jc w:val="both"/>
        <w:rPr>
          <w:rFonts w:ascii="Times New Roman" w:hAnsi="Times New Roman" w:cs="Times New Roman"/>
        </w:rPr>
      </w:pPr>
      <w:r w:rsidRPr="00AE6573">
        <w:rPr>
          <w:rFonts w:ascii="Times New Roman" w:hAnsi="Times New Roman" w:cs="Times New Roman"/>
        </w:rPr>
        <w:lastRenderedPageBreak/>
        <w:tab/>
      </w:r>
      <w:proofErr w:type="gramStart"/>
      <w:r w:rsidRPr="00AE6573">
        <w:rPr>
          <w:rFonts w:ascii="Times New Roman" w:hAnsi="Times New Roman" w:cs="Times New Roman"/>
        </w:rPr>
        <w:t>analysis</w:t>
      </w:r>
      <w:proofErr w:type="gramEnd"/>
      <w:r w:rsidRPr="00AE6573">
        <w:rPr>
          <w:rFonts w:ascii="Times New Roman" w:hAnsi="Times New Roman" w:cs="Times New Roman"/>
        </w:rPr>
        <w:t xml:space="preserve"> of the </w:t>
      </w:r>
      <w:r w:rsidRPr="00AE6573">
        <w:rPr>
          <w:rFonts w:ascii="Times New Roman" w:hAnsi="Times New Roman" w:cs="Times New Roman"/>
          <w:i/>
        </w:rPr>
        <w:t>S.</w:t>
      </w:r>
      <w:r w:rsidRPr="00AE6573">
        <w:t> </w:t>
      </w:r>
      <w:r w:rsidRPr="00AE6573">
        <w:rPr>
          <w:rFonts w:ascii="Times New Roman" w:hAnsi="Times New Roman" w:cs="Times New Roman"/>
          <w:i/>
        </w:rPr>
        <w:t>aureus</w:t>
      </w:r>
      <w:r w:rsidRPr="00AE6573">
        <w:rPr>
          <w:rFonts w:ascii="Times New Roman" w:hAnsi="Times New Roman" w:cs="Times New Roman"/>
        </w:rPr>
        <w:t xml:space="preserve"> COL genome</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t>220</w:t>
      </w:r>
    </w:p>
    <w:p w:rsidR="003C6DF1" w:rsidRPr="00AE6573" w:rsidRDefault="003C6DF1" w:rsidP="0024733A">
      <w:pPr>
        <w:spacing w:after="20" w:line="240" w:lineRule="auto"/>
        <w:ind w:firstLine="142"/>
        <w:jc w:val="both"/>
        <w:rPr>
          <w:rFonts w:ascii="Times New Roman" w:hAnsi="Times New Roman" w:cs="Times New Roman"/>
          <w:bCs/>
        </w:rPr>
      </w:pPr>
      <w:r w:rsidRPr="00AE6573">
        <w:rPr>
          <w:rFonts w:ascii="Times New Roman" w:hAnsi="Times New Roman" w:cs="Times New Roman"/>
          <w:bCs/>
        </w:rPr>
        <w:t>5.2.2</w:t>
      </w:r>
      <w:r w:rsidRPr="00AE6573">
        <w:rPr>
          <w:rFonts w:ascii="Times New Roman" w:hAnsi="Times New Roman" w:cs="Times New Roman"/>
          <w:bCs/>
        </w:rPr>
        <w:tab/>
      </w:r>
      <w:r w:rsidRPr="00AE6573">
        <w:rPr>
          <w:rFonts w:ascii="Times New Roman" w:hAnsi="Times New Roman" w:cs="Times New Roman"/>
          <w:bCs/>
        </w:rPr>
        <w:tab/>
        <w:t>Confirmation of autolysin activity</w:t>
      </w:r>
      <w:r w:rsidRPr="00AE6573">
        <w:rPr>
          <w:rFonts w:ascii="Times New Roman" w:hAnsi="Times New Roman" w:cs="Times New Roman"/>
          <w:bCs/>
        </w:rPr>
        <w:tab/>
      </w:r>
      <w:r w:rsidRPr="00AE6573">
        <w:rPr>
          <w:rFonts w:ascii="Times New Roman" w:hAnsi="Times New Roman" w:cs="Times New Roman"/>
          <w:bCs/>
        </w:rPr>
        <w:tab/>
      </w:r>
      <w:r w:rsidRPr="00AE6573">
        <w:rPr>
          <w:rFonts w:ascii="Times New Roman" w:hAnsi="Times New Roman" w:cs="Times New Roman"/>
          <w:bCs/>
        </w:rPr>
        <w:tab/>
      </w:r>
      <w:r w:rsidRPr="00AE6573">
        <w:rPr>
          <w:rFonts w:ascii="Times New Roman" w:hAnsi="Times New Roman" w:cs="Times New Roman"/>
          <w:bCs/>
        </w:rPr>
        <w:tab/>
      </w:r>
      <w:r w:rsidRPr="00AE6573">
        <w:rPr>
          <w:rFonts w:ascii="Times New Roman" w:hAnsi="Times New Roman" w:cs="Times New Roman"/>
          <w:bCs/>
        </w:rPr>
        <w:tab/>
        <w:t>220</w:t>
      </w:r>
    </w:p>
    <w:p w:rsidR="003C6DF1" w:rsidRPr="00AE6573" w:rsidRDefault="003C6DF1" w:rsidP="0024733A">
      <w:pPr>
        <w:spacing w:after="20" w:line="240" w:lineRule="auto"/>
        <w:ind w:firstLine="284"/>
        <w:jc w:val="both"/>
        <w:rPr>
          <w:rFonts w:ascii="Times New Roman" w:hAnsi="Times New Roman" w:cs="Times New Roman"/>
          <w:bCs/>
        </w:rPr>
      </w:pPr>
      <w:r w:rsidRPr="00AE6573">
        <w:rPr>
          <w:rFonts w:ascii="Times New Roman" w:hAnsi="Times New Roman" w:cs="Times New Roman"/>
          <w:bCs/>
        </w:rPr>
        <w:t>5.2.2.1</w:t>
      </w:r>
      <w:r w:rsidRPr="00AE6573">
        <w:rPr>
          <w:rFonts w:ascii="Times New Roman" w:hAnsi="Times New Roman" w:cs="Times New Roman"/>
          <w:bCs/>
        </w:rPr>
        <w:tab/>
        <w:t xml:space="preserve">Overexpression of </w:t>
      </w:r>
      <w:proofErr w:type="gramStart"/>
      <w:r w:rsidRPr="00AE6573">
        <w:rPr>
          <w:rFonts w:ascii="Times New Roman" w:hAnsi="Times New Roman" w:cs="Times New Roman"/>
          <w:bCs/>
        </w:rPr>
        <w:t>Atl(</w:t>
      </w:r>
      <w:proofErr w:type="gramEnd"/>
      <w:r w:rsidRPr="00AE6573">
        <w:rPr>
          <w:rFonts w:ascii="Times New Roman" w:hAnsi="Times New Roman" w:cs="Times New Roman"/>
          <w:bCs/>
        </w:rPr>
        <w:t>glu) and SagB</w:t>
      </w:r>
      <w:r w:rsidRPr="00AE6573">
        <w:rPr>
          <w:rFonts w:ascii="Times New Roman" w:hAnsi="Times New Roman" w:cs="Times New Roman"/>
          <w:bCs/>
        </w:rPr>
        <w:tab/>
      </w:r>
      <w:r w:rsidRPr="00AE6573">
        <w:rPr>
          <w:rFonts w:ascii="Times New Roman" w:hAnsi="Times New Roman" w:cs="Times New Roman"/>
          <w:bCs/>
        </w:rPr>
        <w:tab/>
      </w:r>
      <w:r w:rsidRPr="00AE6573">
        <w:rPr>
          <w:rFonts w:ascii="Times New Roman" w:hAnsi="Times New Roman" w:cs="Times New Roman"/>
          <w:bCs/>
        </w:rPr>
        <w:tab/>
      </w:r>
      <w:r w:rsidRPr="00AE6573">
        <w:rPr>
          <w:rFonts w:ascii="Times New Roman" w:hAnsi="Times New Roman" w:cs="Times New Roman"/>
          <w:bCs/>
        </w:rPr>
        <w:tab/>
      </w:r>
      <w:r w:rsidRPr="00AE6573">
        <w:rPr>
          <w:rFonts w:ascii="Times New Roman" w:hAnsi="Times New Roman" w:cs="Times New Roman"/>
          <w:bCs/>
        </w:rPr>
        <w:tab/>
        <w:t>221</w:t>
      </w:r>
    </w:p>
    <w:p w:rsidR="003C6DF1" w:rsidRPr="00AE6573" w:rsidRDefault="003C6DF1" w:rsidP="0024733A">
      <w:pPr>
        <w:spacing w:after="20" w:line="240" w:lineRule="auto"/>
        <w:ind w:firstLine="284"/>
        <w:jc w:val="both"/>
        <w:rPr>
          <w:rFonts w:ascii="Times New Roman" w:hAnsi="Times New Roman" w:cs="Times New Roman"/>
          <w:bCs/>
        </w:rPr>
      </w:pPr>
      <w:r w:rsidRPr="00AE6573">
        <w:rPr>
          <w:rFonts w:ascii="Times New Roman" w:hAnsi="Times New Roman" w:cs="Times New Roman"/>
          <w:bCs/>
        </w:rPr>
        <w:t>5.2.2.2</w:t>
      </w:r>
      <w:r w:rsidRPr="00AE6573">
        <w:rPr>
          <w:rFonts w:ascii="Times New Roman" w:hAnsi="Times New Roman" w:cs="Times New Roman"/>
          <w:bCs/>
        </w:rPr>
        <w:tab/>
        <w:t xml:space="preserve">Purification of </w:t>
      </w:r>
      <w:proofErr w:type="gramStart"/>
      <w:r w:rsidRPr="00AE6573">
        <w:rPr>
          <w:rFonts w:ascii="Times New Roman" w:hAnsi="Times New Roman" w:cs="Times New Roman"/>
          <w:bCs/>
        </w:rPr>
        <w:t>Atl(</w:t>
      </w:r>
      <w:proofErr w:type="gramEnd"/>
      <w:r w:rsidRPr="00AE6573">
        <w:rPr>
          <w:rFonts w:ascii="Times New Roman" w:hAnsi="Times New Roman" w:cs="Times New Roman"/>
          <w:bCs/>
        </w:rPr>
        <w:t>glu) and SagB</w:t>
      </w:r>
      <w:r w:rsidRPr="00AE6573">
        <w:rPr>
          <w:rFonts w:ascii="Times New Roman" w:hAnsi="Times New Roman" w:cs="Times New Roman"/>
          <w:bCs/>
        </w:rPr>
        <w:tab/>
      </w:r>
      <w:r w:rsidRPr="00AE6573">
        <w:rPr>
          <w:rFonts w:ascii="Times New Roman" w:hAnsi="Times New Roman" w:cs="Times New Roman"/>
          <w:bCs/>
        </w:rPr>
        <w:tab/>
      </w:r>
      <w:r w:rsidRPr="00AE6573">
        <w:rPr>
          <w:rFonts w:ascii="Times New Roman" w:hAnsi="Times New Roman" w:cs="Times New Roman"/>
          <w:bCs/>
        </w:rPr>
        <w:tab/>
      </w:r>
      <w:r w:rsidRPr="00AE6573">
        <w:rPr>
          <w:rFonts w:ascii="Times New Roman" w:hAnsi="Times New Roman" w:cs="Times New Roman"/>
          <w:bCs/>
        </w:rPr>
        <w:tab/>
      </w:r>
      <w:r w:rsidRPr="00AE6573">
        <w:rPr>
          <w:rFonts w:ascii="Times New Roman" w:hAnsi="Times New Roman" w:cs="Times New Roman"/>
          <w:bCs/>
        </w:rPr>
        <w:tab/>
        <w:t>226</w:t>
      </w:r>
    </w:p>
    <w:p w:rsidR="003C6DF1" w:rsidRPr="00AE6573" w:rsidRDefault="003C6DF1" w:rsidP="0024733A">
      <w:pPr>
        <w:spacing w:after="20" w:line="240" w:lineRule="auto"/>
        <w:ind w:firstLine="284"/>
        <w:jc w:val="both"/>
        <w:rPr>
          <w:rFonts w:ascii="Times New Roman" w:hAnsi="Times New Roman" w:cs="Times New Roman"/>
          <w:bCs/>
        </w:rPr>
      </w:pPr>
      <w:r w:rsidRPr="00AE6573">
        <w:rPr>
          <w:rFonts w:ascii="Times New Roman" w:hAnsi="Times New Roman" w:cs="Times New Roman"/>
          <w:bCs/>
        </w:rPr>
        <w:t>5.2.2.3</w:t>
      </w:r>
      <w:r w:rsidRPr="00AE6573">
        <w:rPr>
          <w:rFonts w:ascii="Times New Roman" w:hAnsi="Times New Roman" w:cs="Times New Roman"/>
          <w:bCs/>
        </w:rPr>
        <w:tab/>
        <w:t xml:space="preserve">Renaturing gel electrophoresis of </w:t>
      </w:r>
      <w:proofErr w:type="gramStart"/>
      <w:r w:rsidRPr="00AE6573">
        <w:rPr>
          <w:rFonts w:ascii="Times New Roman" w:hAnsi="Times New Roman" w:cs="Times New Roman"/>
          <w:bCs/>
        </w:rPr>
        <w:t>Atl(</w:t>
      </w:r>
      <w:proofErr w:type="gramEnd"/>
      <w:r w:rsidRPr="00AE6573">
        <w:rPr>
          <w:rFonts w:ascii="Times New Roman" w:hAnsi="Times New Roman" w:cs="Times New Roman"/>
          <w:bCs/>
        </w:rPr>
        <w:t>glu) and SagB</w:t>
      </w:r>
      <w:r w:rsidRPr="00AE6573">
        <w:rPr>
          <w:rFonts w:ascii="Times New Roman" w:hAnsi="Times New Roman" w:cs="Times New Roman"/>
          <w:bCs/>
        </w:rPr>
        <w:tab/>
      </w:r>
      <w:r w:rsidRPr="00AE6573">
        <w:rPr>
          <w:rFonts w:ascii="Times New Roman" w:hAnsi="Times New Roman" w:cs="Times New Roman"/>
          <w:bCs/>
        </w:rPr>
        <w:tab/>
      </w:r>
      <w:r w:rsidRPr="00AE6573">
        <w:rPr>
          <w:rFonts w:ascii="Times New Roman" w:hAnsi="Times New Roman" w:cs="Times New Roman"/>
          <w:bCs/>
        </w:rPr>
        <w:tab/>
        <w:t>226</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5.2.2.4</w:t>
      </w:r>
      <w:r w:rsidRPr="00AE6573">
        <w:rPr>
          <w:rFonts w:ascii="Times New Roman" w:hAnsi="Times New Roman" w:cs="Times New Roman"/>
        </w:rPr>
        <w:tab/>
        <w:t>Glucosaminidase activity of SagB</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227</w:t>
      </w:r>
    </w:p>
    <w:p w:rsidR="003C6DF1" w:rsidRPr="00AE6573" w:rsidRDefault="003C6DF1" w:rsidP="0024733A">
      <w:pPr>
        <w:spacing w:after="20" w:line="240" w:lineRule="auto"/>
        <w:ind w:firstLine="142"/>
        <w:jc w:val="both"/>
        <w:rPr>
          <w:rFonts w:ascii="Times New Roman" w:hAnsi="Times New Roman" w:cs="Times New Roman"/>
          <w:i/>
        </w:rPr>
      </w:pPr>
      <w:r w:rsidRPr="00AE6573">
        <w:rPr>
          <w:rFonts w:ascii="Times New Roman" w:hAnsi="Times New Roman" w:cs="Times New Roman"/>
        </w:rPr>
        <w:t>5.2.3</w:t>
      </w:r>
      <w:r w:rsidRPr="00AE6573">
        <w:rPr>
          <w:rFonts w:ascii="Times New Roman" w:hAnsi="Times New Roman" w:cs="Times New Roman"/>
        </w:rPr>
        <w:tab/>
      </w:r>
      <w:r w:rsidRPr="00AE6573">
        <w:rPr>
          <w:rFonts w:ascii="Times New Roman" w:hAnsi="Times New Roman" w:cs="Times New Roman"/>
        </w:rPr>
        <w:tab/>
        <w:t>Construction of glucosaminidase mutants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227</w:t>
      </w:r>
    </w:p>
    <w:p w:rsidR="003C6DF1" w:rsidRPr="00AE6573" w:rsidRDefault="003C6DF1" w:rsidP="0024733A">
      <w:pPr>
        <w:spacing w:after="20" w:line="240" w:lineRule="auto"/>
        <w:ind w:firstLine="284"/>
        <w:jc w:val="both"/>
        <w:rPr>
          <w:rFonts w:ascii="Times New Roman" w:hAnsi="Times New Roman" w:cs="Times New Roman"/>
          <w:i/>
        </w:rPr>
      </w:pPr>
      <w:r w:rsidRPr="00AE6573">
        <w:rPr>
          <w:rFonts w:ascii="Times New Roman" w:hAnsi="Times New Roman" w:cs="Times New Roman"/>
        </w:rPr>
        <w:t>5.2.3.1</w:t>
      </w:r>
      <w:r w:rsidRPr="00AE6573">
        <w:rPr>
          <w:rFonts w:ascii="Times New Roman" w:hAnsi="Times New Roman" w:cs="Times New Roman"/>
        </w:rPr>
        <w:tab/>
        <w:t xml:space="preserve">Insertional inactivation of </w:t>
      </w:r>
      <w:r w:rsidR="00D1761C" w:rsidRPr="00D1761C">
        <w:rPr>
          <w:rFonts w:ascii="Times New Roman" w:hAnsi="Times New Roman" w:cs="Times New Roman"/>
        </w:rPr>
        <w:t>SA2297</w:t>
      </w:r>
      <w:r w:rsidRPr="00AE6573">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i/>
        </w:rPr>
        <w:tab/>
      </w:r>
      <w:r w:rsidR="0024733A">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rPr>
        <w:t>229</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5.2.3.2</w:t>
      </w:r>
      <w:r w:rsidRPr="00AE6573">
        <w:rPr>
          <w:rFonts w:ascii="Times New Roman" w:hAnsi="Times New Roman" w:cs="Times New Roman"/>
        </w:rPr>
        <w:tab/>
        <w:t xml:space="preserve">Construction of a </w:t>
      </w:r>
      <w:r w:rsidRPr="00AE6573">
        <w:rPr>
          <w:rFonts w:ascii="Times New Roman" w:hAnsi="Times New Roman" w:cs="Times New Roman"/>
          <w:i/>
        </w:rPr>
        <w:t xml:space="preserve">scaH </w:t>
      </w:r>
      <w:r w:rsidRPr="00AE6573">
        <w:rPr>
          <w:rFonts w:ascii="Times New Roman" w:hAnsi="Times New Roman" w:cs="Times New Roman"/>
        </w:rPr>
        <w:t>inactivation suicide vector</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230</w:t>
      </w:r>
    </w:p>
    <w:p w:rsidR="003C6DF1" w:rsidRPr="00AE6573" w:rsidRDefault="003C6DF1" w:rsidP="0024733A">
      <w:pPr>
        <w:spacing w:after="20" w:line="240" w:lineRule="auto"/>
        <w:ind w:firstLine="284"/>
        <w:jc w:val="both"/>
        <w:rPr>
          <w:rFonts w:ascii="Times New Roman" w:hAnsi="Times New Roman" w:cs="Times New Roman"/>
          <w:i/>
        </w:rPr>
      </w:pPr>
      <w:r w:rsidRPr="00AE6573">
        <w:rPr>
          <w:rFonts w:ascii="Times New Roman" w:hAnsi="Times New Roman" w:cs="Times New Roman"/>
        </w:rPr>
        <w:t>5.2.3.3</w:t>
      </w:r>
      <w:r w:rsidRPr="00AE6573">
        <w:rPr>
          <w:rFonts w:ascii="Times New Roman" w:hAnsi="Times New Roman" w:cs="Times New Roman"/>
        </w:rPr>
        <w:tab/>
        <w:t xml:space="preserve">Insertion deletion of </w:t>
      </w:r>
      <w:r w:rsidRPr="00AE6573">
        <w:rPr>
          <w:rFonts w:ascii="Times New Roman" w:hAnsi="Times New Roman" w:cs="Times New Roman"/>
          <w:i/>
        </w:rPr>
        <w:t xml:space="preserve">sagB </w:t>
      </w:r>
      <w:r w:rsidRPr="00AE6573">
        <w:rPr>
          <w:rFonts w:ascii="Times New Roman" w:hAnsi="Times New Roman" w:cs="Times New Roman"/>
        </w:rPr>
        <w:t>and</w:t>
      </w:r>
      <w:r w:rsidRPr="00AE6573">
        <w:rPr>
          <w:rFonts w:ascii="Times New Roman" w:hAnsi="Times New Roman" w:cs="Times New Roman"/>
          <w:i/>
        </w:rPr>
        <w:t xml:space="preserve"> scaH</w:t>
      </w:r>
      <w:r w:rsidRPr="00AE6573">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rPr>
        <w:t>231</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5.2.3.5</w:t>
      </w:r>
      <w:r w:rsidRPr="00AE6573">
        <w:rPr>
          <w:rFonts w:ascii="Times New Roman" w:hAnsi="Times New Roman" w:cs="Times New Roman"/>
        </w:rPr>
        <w:tab/>
        <w:t>Construction of SH1000 mutant combinations</w:t>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t>232</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 xml:space="preserve">5.2.4 </w:t>
      </w:r>
      <w:r w:rsidRPr="00AE6573">
        <w:rPr>
          <w:rFonts w:ascii="Times New Roman" w:hAnsi="Times New Roman" w:cs="Times New Roman"/>
        </w:rPr>
        <w:tab/>
      </w:r>
      <w:r w:rsidRPr="00AE6573">
        <w:rPr>
          <w:rFonts w:ascii="Times New Roman" w:hAnsi="Times New Roman" w:cs="Times New Roman"/>
        </w:rPr>
        <w:tab/>
        <w:t>Characterisation of glucosaminidase mutants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232</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5.2.4.1</w:t>
      </w:r>
      <w:r w:rsidRPr="00AE6573">
        <w:rPr>
          <w:rFonts w:ascii="Times New Roman" w:hAnsi="Times New Roman" w:cs="Times New Roman"/>
        </w:rPr>
        <w:tab/>
        <w:t>Phenotype analysis of glucosaminidase mutants</w:t>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t>232</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5.2.4.2</w:t>
      </w:r>
      <w:r w:rsidRPr="00AE6573">
        <w:rPr>
          <w:rFonts w:ascii="Times New Roman" w:hAnsi="Times New Roman" w:cs="Times New Roman"/>
        </w:rPr>
        <w:tab/>
        <w:t xml:space="preserve">Salt sensitivity of </w:t>
      </w:r>
      <w:r w:rsidRPr="00AE6573">
        <w:rPr>
          <w:rFonts w:ascii="Times New Roman" w:hAnsi="Times New Roman" w:cs="Times New Roman"/>
          <w:i/>
        </w:rPr>
        <w:t>S. aureus</w:t>
      </w:r>
      <w:r w:rsidRPr="00AE6573">
        <w:rPr>
          <w:rFonts w:ascii="Times New Roman" w:hAnsi="Times New Roman" w:cs="Times New Roman"/>
        </w:rPr>
        <w:t xml:space="preserve"> glucosaminidase mutants</w:t>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t>237</w:t>
      </w:r>
    </w:p>
    <w:p w:rsidR="003C6DF1" w:rsidRPr="00AE6573" w:rsidRDefault="003C6DF1" w:rsidP="0024733A">
      <w:pPr>
        <w:tabs>
          <w:tab w:val="left" w:pos="720"/>
          <w:tab w:val="left" w:pos="1440"/>
          <w:tab w:val="left" w:pos="2160"/>
          <w:tab w:val="left" w:pos="2880"/>
          <w:tab w:val="left" w:pos="3600"/>
          <w:tab w:val="left" w:pos="4320"/>
          <w:tab w:val="left" w:pos="5040"/>
          <w:tab w:val="left" w:pos="5760"/>
          <w:tab w:val="left" w:pos="6480"/>
          <w:tab w:val="left" w:pos="7499"/>
        </w:tabs>
        <w:spacing w:after="20" w:line="240" w:lineRule="auto"/>
        <w:ind w:firstLine="142"/>
        <w:jc w:val="both"/>
        <w:rPr>
          <w:rFonts w:ascii="Times New Roman" w:hAnsi="Times New Roman" w:cs="Times New Roman"/>
        </w:rPr>
      </w:pPr>
      <w:r w:rsidRPr="00AE6573">
        <w:rPr>
          <w:rFonts w:ascii="Times New Roman" w:hAnsi="Times New Roman" w:cs="Times New Roman"/>
        </w:rPr>
        <w:t>5.2.5</w:t>
      </w:r>
      <w:r w:rsidRPr="00AE6573">
        <w:rPr>
          <w:rFonts w:ascii="Times New Roman" w:hAnsi="Times New Roman" w:cs="Times New Roman"/>
        </w:rPr>
        <w:tab/>
      </w:r>
      <w:r w:rsidRPr="00AE6573">
        <w:rPr>
          <w:rFonts w:ascii="Times New Roman" w:hAnsi="Times New Roman" w:cs="Times New Roman"/>
        </w:rPr>
        <w:tab/>
        <w:t xml:space="preserve">Chain length analysis of </w:t>
      </w:r>
      <w:r w:rsidRPr="00AE6573">
        <w:rPr>
          <w:rFonts w:ascii="Times New Roman" w:hAnsi="Times New Roman" w:cs="Times New Roman"/>
          <w:i/>
        </w:rPr>
        <w:t xml:space="preserve">S. aureus </w:t>
      </w:r>
      <w:r w:rsidRPr="00AE6573">
        <w:rPr>
          <w:rFonts w:ascii="Times New Roman" w:hAnsi="Times New Roman" w:cs="Times New Roman"/>
        </w:rPr>
        <w:t xml:space="preserve">triple mutants </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240</w:t>
      </w:r>
    </w:p>
    <w:p w:rsidR="003C6DF1" w:rsidRPr="00AE6573" w:rsidRDefault="003C6DF1" w:rsidP="0024733A">
      <w:pPr>
        <w:spacing w:after="20" w:line="240" w:lineRule="auto"/>
        <w:ind w:firstLine="142"/>
        <w:jc w:val="both"/>
        <w:rPr>
          <w:rFonts w:ascii="Times New Roman" w:hAnsi="Times New Roman" w:cs="Times New Roman"/>
          <w:i/>
        </w:rPr>
      </w:pPr>
      <w:r w:rsidRPr="00AE6573">
        <w:rPr>
          <w:rFonts w:ascii="Times New Roman" w:hAnsi="Times New Roman" w:cs="Times New Roman"/>
        </w:rPr>
        <w:t>5.2.6</w:t>
      </w:r>
      <w:r w:rsidRPr="00AE6573">
        <w:rPr>
          <w:rFonts w:ascii="Times New Roman" w:hAnsi="Times New Roman" w:cs="Times New Roman"/>
        </w:rPr>
        <w:tab/>
      </w:r>
      <w:r w:rsidRPr="00AE6573">
        <w:rPr>
          <w:rFonts w:ascii="Times New Roman" w:hAnsi="Times New Roman" w:cs="Times New Roman"/>
        </w:rPr>
        <w:tab/>
        <w:t>Construction of a conditional quadruple mutant</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240</w:t>
      </w:r>
    </w:p>
    <w:p w:rsidR="003C6DF1" w:rsidRPr="00AE6573" w:rsidRDefault="003C6DF1" w:rsidP="0024733A">
      <w:pPr>
        <w:spacing w:after="20" w:line="240" w:lineRule="auto"/>
        <w:ind w:firstLine="142"/>
        <w:jc w:val="both"/>
        <w:rPr>
          <w:rFonts w:ascii="Times New Roman" w:hAnsi="Times New Roman" w:cs="Times New Roman"/>
          <w:b/>
        </w:rPr>
      </w:pPr>
      <w:r w:rsidRPr="00AE6573">
        <w:rPr>
          <w:rFonts w:ascii="Times New Roman" w:hAnsi="Times New Roman" w:cs="Times New Roman"/>
        </w:rPr>
        <w:t>5.2.7</w:t>
      </w:r>
      <w:r w:rsidRPr="00AE6573">
        <w:rPr>
          <w:rFonts w:ascii="Times New Roman" w:hAnsi="Times New Roman" w:cs="Times New Roman"/>
        </w:rPr>
        <w:tab/>
      </w:r>
      <w:r w:rsidRPr="00AE6573">
        <w:rPr>
          <w:rFonts w:ascii="Times New Roman" w:hAnsi="Times New Roman" w:cs="Times New Roman"/>
        </w:rPr>
        <w:tab/>
        <w:t>Growth of a conditional quadruple mutant</w:t>
      </w:r>
      <w:r w:rsidRPr="00AE6573">
        <w:rPr>
          <w:rFonts w:ascii="Times New Roman" w:hAnsi="Times New Roman" w:cs="Times New Roman"/>
        </w:rPr>
        <w:tab/>
      </w:r>
      <w:r w:rsidRPr="00AE6573">
        <w:rPr>
          <w:rFonts w:ascii="Times New Roman" w:hAnsi="Times New Roman" w:cs="Times New Roman"/>
        </w:rPr>
        <w:tab/>
      </w:r>
      <w:r w:rsidR="001378D4">
        <w:rPr>
          <w:rFonts w:ascii="Times New Roman" w:hAnsi="Times New Roman" w:cs="Times New Roman"/>
        </w:rPr>
        <w:tab/>
      </w:r>
      <w:r w:rsidR="001378D4">
        <w:rPr>
          <w:rFonts w:ascii="Times New Roman" w:hAnsi="Times New Roman" w:cs="Times New Roman"/>
        </w:rPr>
        <w:tab/>
      </w:r>
      <w:r w:rsidRPr="00AE6573">
        <w:rPr>
          <w:rFonts w:ascii="Times New Roman" w:hAnsi="Times New Roman" w:cs="Times New Roman"/>
        </w:rPr>
        <w:t>247</w:t>
      </w:r>
    </w:p>
    <w:p w:rsidR="0024733A" w:rsidRDefault="003C6DF1" w:rsidP="0024733A">
      <w:pPr>
        <w:spacing w:after="20" w:line="240" w:lineRule="auto"/>
        <w:ind w:left="1440" w:hanging="1298"/>
        <w:jc w:val="both"/>
        <w:rPr>
          <w:rFonts w:ascii="Times New Roman" w:hAnsi="Times New Roman" w:cs="Times New Roman"/>
        </w:rPr>
      </w:pPr>
      <w:r w:rsidRPr="00AE6573">
        <w:rPr>
          <w:rFonts w:ascii="Times New Roman" w:hAnsi="Times New Roman" w:cs="Times New Roman"/>
        </w:rPr>
        <w:t>5.2.8</w:t>
      </w:r>
      <w:r w:rsidRPr="00AE6573">
        <w:rPr>
          <w:rFonts w:ascii="Times New Roman" w:hAnsi="Times New Roman" w:cs="Times New Roman"/>
        </w:rPr>
        <w:tab/>
        <w:t>Phenotype analysis of a conditional quadruple mutant</w:t>
      </w:r>
      <w:r w:rsidR="0024733A" w:rsidRPr="0024733A">
        <w:rPr>
          <w:rFonts w:ascii="Times New Roman" w:hAnsi="Times New Roman" w:cs="Times New Roman"/>
        </w:rPr>
        <w:t xml:space="preserve"> </w:t>
      </w:r>
      <w:r w:rsidR="0024733A" w:rsidRPr="00AE6573">
        <w:rPr>
          <w:rFonts w:ascii="Times New Roman" w:hAnsi="Times New Roman" w:cs="Times New Roman"/>
        </w:rPr>
        <w:t>by</w:t>
      </w:r>
      <w:r w:rsidR="0024733A">
        <w:rPr>
          <w:rFonts w:ascii="Times New Roman" w:hAnsi="Times New Roman" w:cs="Times New Roman"/>
        </w:rPr>
        <w:t xml:space="preserve"> </w:t>
      </w:r>
      <w:r w:rsidRPr="00AE6573">
        <w:rPr>
          <w:rFonts w:ascii="Times New Roman" w:hAnsi="Times New Roman" w:cs="Times New Roman"/>
        </w:rPr>
        <w:t>light</w:t>
      </w:r>
    </w:p>
    <w:p w:rsidR="003C6DF1" w:rsidRPr="00AE6573" w:rsidRDefault="003C6DF1" w:rsidP="0024733A">
      <w:pPr>
        <w:spacing w:after="20" w:line="240" w:lineRule="auto"/>
        <w:ind w:left="1440"/>
        <w:jc w:val="both"/>
        <w:rPr>
          <w:rFonts w:ascii="Times New Roman" w:hAnsi="Times New Roman" w:cs="Times New Roman"/>
        </w:rPr>
      </w:pPr>
      <w:proofErr w:type="gramStart"/>
      <w:r w:rsidRPr="00AE6573">
        <w:rPr>
          <w:rFonts w:ascii="Times New Roman" w:hAnsi="Times New Roman" w:cs="Times New Roman"/>
        </w:rPr>
        <w:t>microscopy</w:t>
      </w:r>
      <w:proofErr w:type="gramEnd"/>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24</w:t>
      </w:r>
      <w:r w:rsidR="001378D4">
        <w:rPr>
          <w:rFonts w:ascii="Times New Roman" w:hAnsi="Times New Roman" w:cs="Times New Roman"/>
        </w:rPr>
        <w:t>9</w:t>
      </w:r>
    </w:p>
    <w:p w:rsidR="003C6DF1" w:rsidRPr="00AE6573" w:rsidRDefault="003C6DF1" w:rsidP="0024733A">
      <w:pPr>
        <w:spacing w:after="20" w:line="240" w:lineRule="auto"/>
        <w:ind w:firstLine="142"/>
        <w:rPr>
          <w:rFonts w:ascii="Times New Roman" w:hAnsi="Times New Roman" w:cs="Times New Roman"/>
          <w:b/>
        </w:rPr>
      </w:pPr>
      <w:r w:rsidRPr="00AE6573">
        <w:rPr>
          <w:rFonts w:ascii="Times New Roman" w:hAnsi="Times New Roman" w:cs="Times New Roman"/>
        </w:rPr>
        <w:t>5.2.91</w:t>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Fine cell wall architecture of a conditional quadruple mutant</w:t>
      </w:r>
      <w:r w:rsidR="0024733A">
        <w:rPr>
          <w:rFonts w:ascii="Times New Roman" w:hAnsi="Times New Roman" w:cs="Times New Roman"/>
        </w:rPr>
        <w:tab/>
      </w:r>
      <w:r w:rsidRPr="00AE6573">
        <w:rPr>
          <w:rFonts w:ascii="Times New Roman" w:hAnsi="Times New Roman" w:cs="Times New Roman"/>
        </w:rPr>
        <w:tab/>
        <w:t>2</w:t>
      </w:r>
      <w:r w:rsidR="001378D4">
        <w:rPr>
          <w:rFonts w:ascii="Times New Roman" w:hAnsi="Times New Roman" w:cs="Times New Roman"/>
        </w:rPr>
        <w:t>50</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5.2.9.1</w:t>
      </w:r>
      <w:r w:rsidRPr="00AE6573">
        <w:rPr>
          <w:rFonts w:ascii="Times New Roman" w:hAnsi="Times New Roman" w:cs="Times New Roman"/>
        </w:rPr>
        <w:tab/>
        <w:t>Electron microscopy of a conditional quadruple mutant</w:t>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t>2</w:t>
      </w:r>
      <w:r w:rsidR="001378D4">
        <w:rPr>
          <w:rFonts w:ascii="Times New Roman" w:hAnsi="Times New Roman" w:cs="Times New Roman"/>
        </w:rPr>
        <w:t>50</w:t>
      </w:r>
    </w:p>
    <w:p w:rsidR="003C6DF1" w:rsidRPr="00AE6573" w:rsidRDefault="003C6DF1" w:rsidP="0024733A">
      <w:pPr>
        <w:spacing w:after="20" w:line="240" w:lineRule="auto"/>
        <w:ind w:firstLine="284"/>
        <w:jc w:val="both"/>
        <w:rPr>
          <w:rFonts w:ascii="Times New Roman" w:hAnsi="Times New Roman" w:cs="Times New Roman"/>
        </w:rPr>
      </w:pPr>
      <w:r w:rsidRPr="00AE6573">
        <w:rPr>
          <w:rFonts w:ascii="Times New Roman" w:hAnsi="Times New Roman" w:cs="Times New Roman"/>
        </w:rPr>
        <w:t>5.2.9.2</w:t>
      </w:r>
      <w:r w:rsidRPr="00AE6573">
        <w:rPr>
          <w:rFonts w:ascii="Times New Roman" w:hAnsi="Times New Roman" w:cs="Times New Roman"/>
        </w:rPr>
        <w:tab/>
        <w:t>AFM of a conditional quadruple mutant</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t>257</w:t>
      </w:r>
    </w:p>
    <w:p w:rsidR="003C6DF1" w:rsidRPr="0024733A" w:rsidRDefault="003C6DF1" w:rsidP="0024733A">
      <w:pPr>
        <w:spacing w:after="20" w:line="240" w:lineRule="auto"/>
        <w:jc w:val="both"/>
        <w:rPr>
          <w:rFonts w:ascii="Times New Roman" w:hAnsi="Times New Roman" w:cs="Times New Roman"/>
          <w:b/>
        </w:rPr>
      </w:pPr>
      <w:r w:rsidRPr="0024733A">
        <w:rPr>
          <w:rFonts w:ascii="Times New Roman" w:hAnsi="Times New Roman" w:cs="Times New Roman"/>
          <w:b/>
        </w:rPr>
        <w:t>5.3</w:t>
      </w:r>
      <w:r w:rsidRPr="0024733A">
        <w:rPr>
          <w:rFonts w:ascii="Times New Roman" w:hAnsi="Times New Roman" w:cs="Times New Roman"/>
          <w:b/>
        </w:rPr>
        <w:tab/>
      </w:r>
      <w:r w:rsidRPr="0024733A">
        <w:rPr>
          <w:rFonts w:ascii="Times New Roman" w:hAnsi="Times New Roman" w:cs="Times New Roman"/>
          <w:b/>
        </w:rPr>
        <w:tab/>
        <w:t>Discussion</w:t>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t>265</w:t>
      </w:r>
    </w:p>
    <w:p w:rsidR="003C6DF1" w:rsidRDefault="003C6DF1" w:rsidP="0024733A">
      <w:pPr>
        <w:spacing w:after="20" w:line="240" w:lineRule="auto"/>
        <w:jc w:val="both"/>
        <w:rPr>
          <w:rFonts w:ascii="Times New Roman" w:hAnsi="Times New Roman" w:cs="Times New Roman"/>
        </w:rPr>
      </w:pPr>
    </w:p>
    <w:p w:rsidR="0024733A" w:rsidRPr="00AE6573" w:rsidRDefault="0024733A" w:rsidP="0024733A">
      <w:pPr>
        <w:spacing w:after="20" w:line="240" w:lineRule="auto"/>
        <w:jc w:val="both"/>
        <w:rPr>
          <w:rFonts w:ascii="Times New Roman" w:hAnsi="Times New Roman" w:cs="Times New Roman"/>
        </w:rPr>
      </w:pPr>
    </w:p>
    <w:p w:rsidR="003C6DF1" w:rsidRPr="00AE6573" w:rsidRDefault="00733EBA" w:rsidP="0024733A">
      <w:pPr>
        <w:spacing w:after="20" w:line="240" w:lineRule="auto"/>
        <w:rPr>
          <w:rFonts w:ascii="Times New Roman" w:hAnsi="Times New Roman" w:cs="Times New Roman"/>
          <w:b/>
        </w:rPr>
      </w:pPr>
      <w:r w:rsidRPr="00AE6573">
        <w:rPr>
          <w:rFonts w:ascii="Times New Roman" w:hAnsi="Times New Roman" w:cs="Times New Roman"/>
          <w:b/>
        </w:rPr>
        <w:t>Chapter 6</w:t>
      </w:r>
      <w:r w:rsidRPr="00AE6573">
        <w:rPr>
          <w:rFonts w:ascii="Times New Roman" w:hAnsi="Times New Roman" w:cs="Times New Roman"/>
          <w:b/>
        </w:rPr>
        <w:tab/>
        <w:t>Discussion</w:t>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003C6DF1" w:rsidRPr="00AE6573">
        <w:rPr>
          <w:rFonts w:ascii="Times New Roman" w:hAnsi="Times New Roman" w:cs="Times New Roman"/>
          <w:b/>
        </w:rPr>
        <w:t>272</w:t>
      </w:r>
      <w:r w:rsidRPr="00AE6573">
        <w:rPr>
          <w:rFonts w:ascii="Times New Roman" w:hAnsi="Times New Roman" w:cs="Times New Roman"/>
          <w:b/>
        </w:rPr>
        <w:t>-286</w:t>
      </w:r>
    </w:p>
    <w:p w:rsidR="003C6DF1" w:rsidRPr="00AE6573" w:rsidRDefault="003C6DF1" w:rsidP="0024733A">
      <w:pPr>
        <w:spacing w:after="20" w:line="240" w:lineRule="auto"/>
        <w:jc w:val="both"/>
        <w:rPr>
          <w:rFonts w:ascii="Times New Roman" w:hAnsi="Times New Roman" w:cs="Times New Roman"/>
        </w:rPr>
      </w:pPr>
    </w:p>
    <w:p w:rsidR="003C6DF1" w:rsidRPr="0024733A" w:rsidRDefault="003C6DF1" w:rsidP="0024733A">
      <w:pPr>
        <w:spacing w:after="20" w:line="240" w:lineRule="auto"/>
        <w:jc w:val="both"/>
        <w:rPr>
          <w:rFonts w:ascii="Times New Roman" w:hAnsi="Times New Roman" w:cs="Times New Roman"/>
          <w:b/>
        </w:rPr>
      </w:pPr>
      <w:r w:rsidRPr="0024733A">
        <w:rPr>
          <w:rFonts w:ascii="Times New Roman" w:hAnsi="Times New Roman" w:cs="Times New Roman"/>
          <w:b/>
        </w:rPr>
        <w:t>6.1</w:t>
      </w:r>
      <w:r w:rsidRPr="0024733A">
        <w:rPr>
          <w:rFonts w:ascii="Times New Roman" w:hAnsi="Times New Roman" w:cs="Times New Roman"/>
          <w:b/>
        </w:rPr>
        <w:tab/>
      </w:r>
      <w:r w:rsidRPr="0024733A">
        <w:rPr>
          <w:rFonts w:ascii="Times New Roman" w:hAnsi="Times New Roman" w:cs="Times New Roman"/>
          <w:b/>
        </w:rPr>
        <w:tab/>
        <w:t>Peptidoglycan architecture of cocci and ovococci</w:t>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t>272</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6.1.1</w:t>
      </w:r>
      <w:r w:rsidRPr="00AE6573">
        <w:rPr>
          <w:rFonts w:ascii="Times New Roman" w:hAnsi="Times New Roman" w:cs="Times New Roman"/>
        </w:rPr>
        <w:tab/>
      </w:r>
      <w:r w:rsidRPr="00AE6573">
        <w:rPr>
          <w:rFonts w:ascii="Times New Roman" w:hAnsi="Times New Roman" w:cs="Times New Roman"/>
        </w:rPr>
        <w:tab/>
        <w:t>Peptidoglycan architecture of the ovoccal peripheral wall</w:t>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272</w:t>
      </w:r>
    </w:p>
    <w:p w:rsidR="003C6DF1" w:rsidRPr="00AE6573" w:rsidRDefault="003C6DF1" w:rsidP="0024733A">
      <w:pPr>
        <w:spacing w:after="20" w:line="240" w:lineRule="auto"/>
        <w:ind w:firstLine="142"/>
        <w:jc w:val="both"/>
        <w:rPr>
          <w:rFonts w:ascii="Times New Roman" w:hAnsi="Times New Roman" w:cs="Times New Roman"/>
          <w:i/>
        </w:rPr>
      </w:pPr>
      <w:r w:rsidRPr="00AE6573">
        <w:rPr>
          <w:rFonts w:ascii="Times New Roman" w:hAnsi="Times New Roman" w:cs="Times New Roman"/>
        </w:rPr>
        <w:t>6.1.2</w:t>
      </w:r>
      <w:r w:rsidRPr="00AE6573">
        <w:rPr>
          <w:rFonts w:ascii="Times New Roman" w:hAnsi="Times New Roman" w:cs="Times New Roman"/>
        </w:rPr>
        <w:tab/>
      </w:r>
      <w:r w:rsidRPr="00AE6573">
        <w:rPr>
          <w:rFonts w:ascii="Times New Roman" w:hAnsi="Times New Roman" w:cs="Times New Roman"/>
        </w:rPr>
        <w:tab/>
        <w:t xml:space="preserve">Peptidoglycan architecture of </w:t>
      </w:r>
      <w:r w:rsidRPr="00AE6573">
        <w:rPr>
          <w:rFonts w:ascii="Times New Roman" w:hAnsi="Times New Roman" w:cs="Times New Roman"/>
          <w:i/>
        </w:rPr>
        <w:t>S. aureus</w:t>
      </w:r>
      <w:r w:rsidRPr="00AE6573">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i/>
        </w:rPr>
        <w:tab/>
      </w:r>
      <w:r w:rsidR="0024733A">
        <w:rPr>
          <w:rFonts w:ascii="Times New Roman" w:hAnsi="Times New Roman" w:cs="Times New Roman"/>
          <w:i/>
        </w:rPr>
        <w:tab/>
      </w:r>
      <w:r w:rsidRPr="00AE6573">
        <w:rPr>
          <w:rFonts w:ascii="Times New Roman" w:hAnsi="Times New Roman" w:cs="Times New Roman"/>
          <w:i/>
        </w:rPr>
        <w:tab/>
      </w:r>
      <w:r w:rsidRPr="00AE6573">
        <w:rPr>
          <w:rFonts w:ascii="Times New Roman" w:hAnsi="Times New Roman" w:cs="Times New Roman"/>
        </w:rPr>
        <w:t>274</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6.1.3</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i/>
        </w:rPr>
        <w:t xml:space="preserve">In situ </w:t>
      </w:r>
      <w:r w:rsidRPr="00AE6573">
        <w:rPr>
          <w:rFonts w:ascii="Times New Roman" w:hAnsi="Times New Roman" w:cs="Times New Roman"/>
        </w:rPr>
        <w:t>analysis of the peptidoglycan chemistry</w:t>
      </w:r>
      <w:r w:rsidRPr="00AE6573">
        <w:rPr>
          <w:rFonts w:ascii="Times New Roman" w:hAnsi="Times New Roman" w:cs="Times New Roman"/>
        </w:rPr>
        <w:tab/>
      </w:r>
      <w:r w:rsidRPr="00AE6573">
        <w:rPr>
          <w:rFonts w:ascii="Times New Roman" w:hAnsi="Times New Roman" w:cs="Times New Roman"/>
        </w:rPr>
        <w:tab/>
      </w:r>
      <w:r w:rsidR="0024733A">
        <w:rPr>
          <w:rFonts w:ascii="Times New Roman" w:hAnsi="Times New Roman" w:cs="Times New Roman"/>
        </w:rPr>
        <w:tab/>
      </w:r>
      <w:r w:rsidRPr="00AE6573">
        <w:rPr>
          <w:rFonts w:ascii="Times New Roman" w:hAnsi="Times New Roman" w:cs="Times New Roman"/>
        </w:rPr>
        <w:tab/>
        <w:t>276</w:t>
      </w:r>
    </w:p>
    <w:p w:rsidR="003C6DF1" w:rsidRPr="0024733A" w:rsidRDefault="003C6DF1" w:rsidP="0024733A">
      <w:pPr>
        <w:spacing w:after="20" w:line="240" w:lineRule="auto"/>
        <w:jc w:val="both"/>
        <w:rPr>
          <w:rFonts w:ascii="Times New Roman" w:hAnsi="Times New Roman" w:cs="Times New Roman"/>
          <w:b/>
          <w:i/>
        </w:rPr>
      </w:pPr>
      <w:r w:rsidRPr="0024733A">
        <w:rPr>
          <w:rFonts w:ascii="Times New Roman" w:hAnsi="Times New Roman" w:cs="Times New Roman"/>
          <w:b/>
        </w:rPr>
        <w:t>6.2</w:t>
      </w:r>
      <w:r w:rsidRPr="0024733A">
        <w:rPr>
          <w:rFonts w:ascii="Times New Roman" w:hAnsi="Times New Roman" w:cs="Times New Roman"/>
          <w:b/>
        </w:rPr>
        <w:tab/>
      </w:r>
      <w:r w:rsidRPr="0024733A">
        <w:rPr>
          <w:rFonts w:ascii="Times New Roman" w:hAnsi="Times New Roman" w:cs="Times New Roman"/>
          <w:b/>
        </w:rPr>
        <w:tab/>
        <w:t xml:space="preserve">Cell division in </w:t>
      </w:r>
      <w:r w:rsidRPr="0024733A">
        <w:rPr>
          <w:rFonts w:ascii="Times New Roman" w:hAnsi="Times New Roman" w:cs="Times New Roman"/>
          <w:b/>
          <w:i/>
        </w:rPr>
        <w:t>S. aureus</w:t>
      </w:r>
      <w:r w:rsidRPr="0024733A">
        <w:rPr>
          <w:rFonts w:ascii="Times New Roman" w:hAnsi="Times New Roman" w:cs="Times New Roman"/>
          <w:b/>
          <w:i/>
        </w:rPr>
        <w:tab/>
      </w:r>
      <w:r w:rsidRPr="0024733A">
        <w:rPr>
          <w:rFonts w:ascii="Times New Roman" w:hAnsi="Times New Roman" w:cs="Times New Roman"/>
          <w:b/>
          <w:i/>
        </w:rPr>
        <w:tab/>
      </w:r>
      <w:r w:rsidRPr="0024733A">
        <w:rPr>
          <w:rFonts w:ascii="Times New Roman" w:hAnsi="Times New Roman" w:cs="Times New Roman"/>
          <w:b/>
          <w:i/>
        </w:rPr>
        <w:tab/>
      </w:r>
      <w:r w:rsidRPr="0024733A">
        <w:rPr>
          <w:rFonts w:ascii="Times New Roman" w:hAnsi="Times New Roman" w:cs="Times New Roman"/>
          <w:b/>
          <w:i/>
        </w:rPr>
        <w:tab/>
      </w:r>
      <w:r w:rsidRPr="0024733A">
        <w:rPr>
          <w:rFonts w:ascii="Times New Roman" w:hAnsi="Times New Roman" w:cs="Times New Roman"/>
          <w:b/>
          <w:i/>
        </w:rPr>
        <w:tab/>
      </w:r>
      <w:r w:rsidRPr="0024733A">
        <w:rPr>
          <w:rFonts w:ascii="Times New Roman" w:hAnsi="Times New Roman" w:cs="Times New Roman"/>
          <w:b/>
          <w:i/>
        </w:rPr>
        <w:tab/>
      </w:r>
      <w:r w:rsidRPr="0024733A">
        <w:rPr>
          <w:rFonts w:ascii="Times New Roman" w:hAnsi="Times New Roman" w:cs="Times New Roman"/>
          <w:b/>
        </w:rPr>
        <w:t>278</w:t>
      </w:r>
    </w:p>
    <w:p w:rsidR="003C6DF1" w:rsidRPr="00AE6573" w:rsidRDefault="003C6DF1" w:rsidP="0024733A">
      <w:pPr>
        <w:spacing w:after="20" w:line="240" w:lineRule="auto"/>
        <w:ind w:firstLine="142"/>
        <w:jc w:val="both"/>
        <w:rPr>
          <w:rFonts w:ascii="Times New Roman" w:hAnsi="Times New Roman" w:cs="Times New Roman"/>
          <w:i/>
        </w:rPr>
      </w:pPr>
      <w:r w:rsidRPr="00AE6573">
        <w:rPr>
          <w:rFonts w:ascii="Times New Roman" w:hAnsi="Times New Roman" w:cs="Times New Roman"/>
        </w:rPr>
        <w:t>6.2.1</w:t>
      </w:r>
      <w:r w:rsidRPr="00AE6573">
        <w:rPr>
          <w:rFonts w:ascii="Times New Roman" w:hAnsi="Times New Roman" w:cs="Times New Roman"/>
        </w:rPr>
        <w:tab/>
      </w:r>
      <w:r w:rsidRPr="00AE6573">
        <w:rPr>
          <w:rFonts w:ascii="Times New Roman" w:hAnsi="Times New Roman" w:cs="Times New Roman"/>
        </w:rPr>
        <w:tab/>
        <w:t>Coordination of cell division</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278</w:t>
      </w:r>
    </w:p>
    <w:p w:rsidR="003C6DF1" w:rsidRPr="00AE6573" w:rsidRDefault="003C6DF1" w:rsidP="0024733A">
      <w:pPr>
        <w:spacing w:after="20" w:line="240" w:lineRule="auto"/>
        <w:ind w:firstLine="142"/>
        <w:jc w:val="both"/>
        <w:rPr>
          <w:rFonts w:ascii="Times New Roman" w:hAnsi="Times New Roman" w:cs="Times New Roman"/>
        </w:rPr>
      </w:pPr>
      <w:r w:rsidRPr="00AE6573">
        <w:rPr>
          <w:rFonts w:ascii="Times New Roman" w:hAnsi="Times New Roman" w:cs="Times New Roman"/>
        </w:rPr>
        <w:t>6.2.2</w:t>
      </w:r>
      <w:r w:rsidRPr="00AE6573">
        <w:rPr>
          <w:rFonts w:ascii="Times New Roman" w:hAnsi="Times New Roman" w:cs="Times New Roman"/>
        </w:rPr>
        <w:tab/>
        <w:t xml:space="preserve"> </w:t>
      </w:r>
      <w:r w:rsidRPr="00AE6573">
        <w:rPr>
          <w:rFonts w:ascii="Times New Roman" w:hAnsi="Times New Roman" w:cs="Times New Roman"/>
        </w:rPr>
        <w:tab/>
        <w:t>Mechanisms for sensing peptidoglycan ribs</w:t>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r>
      <w:r w:rsidRPr="00AE6573">
        <w:rPr>
          <w:rFonts w:ascii="Times New Roman" w:hAnsi="Times New Roman" w:cs="Times New Roman"/>
        </w:rPr>
        <w:tab/>
        <w:t>281</w:t>
      </w:r>
    </w:p>
    <w:p w:rsidR="003C6DF1" w:rsidRPr="0024733A" w:rsidRDefault="003C6DF1" w:rsidP="0024733A">
      <w:pPr>
        <w:spacing w:after="20" w:line="240" w:lineRule="auto"/>
        <w:jc w:val="both"/>
        <w:rPr>
          <w:rFonts w:ascii="Times New Roman" w:hAnsi="Times New Roman" w:cs="Times New Roman"/>
          <w:b/>
        </w:rPr>
      </w:pPr>
      <w:r w:rsidRPr="0024733A">
        <w:rPr>
          <w:rFonts w:ascii="Times New Roman" w:hAnsi="Times New Roman" w:cs="Times New Roman"/>
          <w:b/>
        </w:rPr>
        <w:t>6.3</w:t>
      </w:r>
      <w:r w:rsidRPr="0024733A">
        <w:rPr>
          <w:rFonts w:ascii="Times New Roman" w:hAnsi="Times New Roman" w:cs="Times New Roman"/>
          <w:b/>
        </w:rPr>
        <w:tab/>
      </w:r>
      <w:r w:rsidRPr="0024733A">
        <w:rPr>
          <w:rFonts w:ascii="Times New Roman" w:hAnsi="Times New Roman" w:cs="Times New Roman"/>
          <w:b/>
        </w:rPr>
        <w:tab/>
        <w:t>Bacterial cell ageing</w:t>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t>283</w:t>
      </w:r>
    </w:p>
    <w:p w:rsidR="00460946" w:rsidRPr="0024733A" w:rsidRDefault="003C6DF1" w:rsidP="0024733A">
      <w:pPr>
        <w:spacing w:after="20" w:line="240" w:lineRule="auto"/>
        <w:jc w:val="both"/>
        <w:rPr>
          <w:rFonts w:ascii="Times New Roman" w:hAnsi="Times New Roman" w:cs="Times New Roman"/>
          <w:b/>
        </w:rPr>
      </w:pPr>
      <w:r w:rsidRPr="0024733A">
        <w:rPr>
          <w:rFonts w:ascii="Times New Roman" w:hAnsi="Times New Roman" w:cs="Times New Roman"/>
          <w:b/>
        </w:rPr>
        <w:t>6.4</w:t>
      </w:r>
      <w:r w:rsidRPr="0024733A">
        <w:rPr>
          <w:rFonts w:ascii="Times New Roman" w:hAnsi="Times New Roman" w:cs="Times New Roman"/>
          <w:b/>
        </w:rPr>
        <w:tab/>
      </w:r>
      <w:r w:rsidRPr="0024733A">
        <w:rPr>
          <w:rFonts w:ascii="Times New Roman" w:hAnsi="Times New Roman" w:cs="Times New Roman"/>
          <w:b/>
        </w:rPr>
        <w:tab/>
        <w:t>Future perspectives</w:t>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r>
      <w:r w:rsidRPr="0024733A">
        <w:rPr>
          <w:rFonts w:ascii="Times New Roman" w:hAnsi="Times New Roman" w:cs="Times New Roman"/>
          <w:b/>
        </w:rPr>
        <w:tab/>
        <w:t>286</w:t>
      </w:r>
    </w:p>
    <w:p w:rsidR="0024733A" w:rsidRDefault="0024733A" w:rsidP="003C6DF1">
      <w:pPr>
        <w:spacing w:after="0" w:line="240" w:lineRule="auto"/>
        <w:jc w:val="both"/>
        <w:rPr>
          <w:rFonts w:ascii="Times New Roman" w:hAnsi="Times New Roman" w:cs="Times New Roman"/>
        </w:rPr>
      </w:pPr>
    </w:p>
    <w:p w:rsidR="0024733A" w:rsidRPr="00AE6573" w:rsidRDefault="0024733A" w:rsidP="003C6DF1">
      <w:pPr>
        <w:spacing w:after="0" w:line="240" w:lineRule="auto"/>
        <w:jc w:val="both"/>
        <w:rPr>
          <w:rFonts w:ascii="Times New Roman" w:hAnsi="Times New Roman" w:cs="Times New Roman"/>
        </w:rPr>
      </w:pPr>
    </w:p>
    <w:p w:rsidR="00CD4575" w:rsidRPr="00AE6573" w:rsidRDefault="00733EBA" w:rsidP="003C6DF1">
      <w:pPr>
        <w:spacing w:after="0" w:line="240" w:lineRule="auto"/>
        <w:jc w:val="both"/>
        <w:rPr>
          <w:rFonts w:ascii="Times New Roman" w:hAnsi="Times New Roman" w:cs="Times New Roman"/>
          <w:b/>
        </w:rPr>
      </w:pPr>
      <w:r w:rsidRPr="00AE6573">
        <w:rPr>
          <w:rFonts w:ascii="Times New Roman" w:hAnsi="Times New Roman" w:cs="Times New Roman"/>
          <w:b/>
        </w:rPr>
        <w:t>References</w:t>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t>287-304</w:t>
      </w:r>
    </w:p>
    <w:p w:rsidR="00CD4575" w:rsidRDefault="00CD4575" w:rsidP="003C6DF1">
      <w:pPr>
        <w:spacing w:after="0" w:line="240" w:lineRule="auto"/>
        <w:jc w:val="both"/>
        <w:rPr>
          <w:rFonts w:ascii="Times New Roman" w:hAnsi="Times New Roman" w:cs="Times New Roman"/>
          <w:b/>
        </w:rPr>
      </w:pPr>
    </w:p>
    <w:p w:rsidR="0024733A" w:rsidRPr="00AE6573" w:rsidRDefault="0024733A" w:rsidP="003C6DF1">
      <w:pPr>
        <w:spacing w:after="0" w:line="240" w:lineRule="auto"/>
        <w:jc w:val="both"/>
        <w:rPr>
          <w:rFonts w:ascii="Times New Roman" w:hAnsi="Times New Roman" w:cs="Times New Roman"/>
          <w:b/>
        </w:rPr>
      </w:pPr>
    </w:p>
    <w:p w:rsidR="008F1288" w:rsidRPr="00AE6573" w:rsidRDefault="00CD4575" w:rsidP="00CD4575">
      <w:pPr>
        <w:spacing w:after="0" w:line="240" w:lineRule="auto"/>
        <w:jc w:val="both"/>
        <w:rPr>
          <w:rFonts w:ascii="Times New Roman" w:hAnsi="Times New Roman" w:cs="Times New Roman"/>
          <w:b/>
        </w:rPr>
      </w:pPr>
      <w:r w:rsidRPr="00AE6573">
        <w:rPr>
          <w:rFonts w:ascii="Times New Roman" w:hAnsi="Times New Roman" w:cs="Times New Roman"/>
          <w:b/>
        </w:rPr>
        <w:t>Appendix I</w:t>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r>
      <w:r w:rsidRPr="00AE6573">
        <w:rPr>
          <w:rFonts w:ascii="Times New Roman" w:hAnsi="Times New Roman" w:cs="Times New Roman"/>
          <w:b/>
        </w:rPr>
        <w:tab/>
        <w:t>305</w:t>
      </w:r>
    </w:p>
    <w:p w:rsidR="008F1288" w:rsidRDefault="008F1288" w:rsidP="00CD4575">
      <w:pPr>
        <w:spacing w:after="0" w:line="240" w:lineRule="auto"/>
        <w:jc w:val="both"/>
        <w:rPr>
          <w:rFonts w:ascii="Times New Roman" w:hAnsi="Times New Roman" w:cs="Times New Roman"/>
          <w:b/>
          <w:sz w:val="24"/>
          <w:szCs w:val="24"/>
        </w:rPr>
      </w:pPr>
    </w:p>
    <w:p w:rsidR="0024733A" w:rsidRDefault="0024733A" w:rsidP="00CD4575">
      <w:pPr>
        <w:spacing w:after="0" w:line="240" w:lineRule="auto"/>
        <w:jc w:val="both"/>
        <w:rPr>
          <w:rFonts w:ascii="Times New Roman" w:hAnsi="Times New Roman" w:cs="Times New Roman"/>
          <w:b/>
          <w:sz w:val="24"/>
          <w:szCs w:val="24"/>
        </w:rPr>
      </w:pPr>
    </w:p>
    <w:p w:rsidR="0024733A" w:rsidRDefault="0024733A" w:rsidP="00CD4575">
      <w:pPr>
        <w:spacing w:after="0" w:line="240" w:lineRule="auto"/>
        <w:jc w:val="both"/>
        <w:rPr>
          <w:rFonts w:ascii="Times New Roman" w:hAnsi="Times New Roman" w:cs="Times New Roman"/>
          <w:b/>
          <w:sz w:val="24"/>
          <w:szCs w:val="24"/>
        </w:rPr>
      </w:pPr>
    </w:p>
    <w:p w:rsidR="0024733A" w:rsidRDefault="0024733A" w:rsidP="00CD4575">
      <w:pPr>
        <w:spacing w:after="0" w:line="240" w:lineRule="auto"/>
        <w:jc w:val="both"/>
        <w:rPr>
          <w:rFonts w:ascii="Times New Roman" w:hAnsi="Times New Roman" w:cs="Times New Roman"/>
          <w:b/>
          <w:sz w:val="24"/>
          <w:szCs w:val="24"/>
        </w:rPr>
      </w:pPr>
    </w:p>
    <w:p w:rsidR="0024733A" w:rsidRDefault="0024733A" w:rsidP="00CD4575">
      <w:pPr>
        <w:spacing w:after="0" w:line="240" w:lineRule="auto"/>
        <w:jc w:val="both"/>
        <w:rPr>
          <w:rFonts w:ascii="Times New Roman" w:hAnsi="Times New Roman" w:cs="Times New Roman"/>
          <w:b/>
          <w:sz w:val="24"/>
          <w:szCs w:val="24"/>
        </w:rPr>
      </w:pPr>
    </w:p>
    <w:p w:rsidR="0024733A" w:rsidRDefault="0024733A" w:rsidP="00CD4575">
      <w:pPr>
        <w:spacing w:after="0" w:line="240" w:lineRule="auto"/>
        <w:jc w:val="both"/>
        <w:rPr>
          <w:rFonts w:ascii="Times New Roman" w:hAnsi="Times New Roman" w:cs="Times New Roman"/>
          <w:b/>
          <w:sz w:val="24"/>
          <w:szCs w:val="24"/>
        </w:rPr>
      </w:pPr>
    </w:p>
    <w:p w:rsidR="0024733A" w:rsidRDefault="0024733A" w:rsidP="00CD4575">
      <w:pPr>
        <w:spacing w:after="0" w:line="240" w:lineRule="auto"/>
        <w:jc w:val="both"/>
        <w:rPr>
          <w:rFonts w:ascii="Times New Roman" w:hAnsi="Times New Roman" w:cs="Times New Roman"/>
          <w:b/>
          <w:sz w:val="24"/>
          <w:szCs w:val="24"/>
        </w:rPr>
      </w:pPr>
    </w:p>
    <w:p w:rsidR="00460946" w:rsidRPr="008F1288" w:rsidRDefault="008F1288" w:rsidP="00CD4575">
      <w:pPr>
        <w:spacing w:after="0" w:line="240" w:lineRule="auto"/>
        <w:jc w:val="both"/>
        <w:rPr>
          <w:rFonts w:ascii="Times New Roman" w:hAnsi="Times New Roman" w:cs="Times New Roman"/>
          <w:sz w:val="24"/>
          <w:szCs w:val="24"/>
        </w:rPr>
      </w:pPr>
      <w:r w:rsidRPr="008F1288">
        <w:rPr>
          <w:rFonts w:ascii="Times New Roman" w:hAnsi="Times New Roman" w:cs="Times New Roman"/>
          <w:sz w:val="24"/>
          <w:szCs w:val="24"/>
        </w:rPr>
        <w:t xml:space="preserve">Enclosed CD-ROM contains electronic </w:t>
      </w:r>
      <w:r w:rsidR="00C65B94">
        <w:rPr>
          <w:rFonts w:ascii="Times New Roman" w:hAnsi="Times New Roman" w:cs="Times New Roman"/>
          <w:sz w:val="24"/>
          <w:szCs w:val="24"/>
        </w:rPr>
        <w:t xml:space="preserve">copy of </w:t>
      </w:r>
      <w:r w:rsidR="0024733A">
        <w:rPr>
          <w:rFonts w:ascii="Times New Roman" w:hAnsi="Times New Roman" w:cs="Times New Roman"/>
          <w:sz w:val="24"/>
          <w:szCs w:val="24"/>
        </w:rPr>
        <w:t xml:space="preserve">this </w:t>
      </w:r>
      <w:r w:rsidR="00C65B94">
        <w:rPr>
          <w:rFonts w:ascii="Times New Roman" w:hAnsi="Times New Roman" w:cs="Times New Roman"/>
          <w:sz w:val="24"/>
          <w:szCs w:val="24"/>
        </w:rPr>
        <w:t>thesis and Movie 3.1</w:t>
      </w:r>
      <w:r w:rsidRPr="008F1288">
        <w:rPr>
          <w:rFonts w:ascii="Times New Roman" w:hAnsi="Times New Roman" w:cs="Times New Roman"/>
          <w:sz w:val="24"/>
          <w:szCs w:val="24"/>
        </w:rPr>
        <w:t>.</w:t>
      </w:r>
      <w:r w:rsidR="00460946" w:rsidRPr="008F1288">
        <w:rPr>
          <w:rFonts w:ascii="Times New Roman" w:hAnsi="Times New Roman" w:cs="Times New Roman"/>
          <w:sz w:val="24"/>
          <w:szCs w:val="24"/>
        </w:rPr>
        <w:br w:type="page"/>
      </w:r>
    </w:p>
    <w:p w:rsidR="00A538F5" w:rsidRDefault="00460946" w:rsidP="00460946">
      <w:pPr>
        <w:spacing w:after="0" w:line="240" w:lineRule="auto"/>
        <w:jc w:val="center"/>
        <w:rPr>
          <w:rFonts w:ascii="Times New Roman" w:hAnsi="Times New Roman" w:cs="Times New Roman"/>
          <w:sz w:val="28"/>
          <w:szCs w:val="28"/>
        </w:rPr>
      </w:pPr>
      <w:r w:rsidRPr="00460946">
        <w:rPr>
          <w:rFonts w:ascii="Times New Roman" w:hAnsi="Times New Roman" w:cs="Times New Roman"/>
          <w:sz w:val="28"/>
          <w:szCs w:val="28"/>
        </w:rPr>
        <w:lastRenderedPageBreak/>
        <w:t>List of Figures</w:t>
      </w:r>
    </w:p>
    <w:p w:rsidR="003673FE" w:rsidRDefault="003673FE" w:rsidP="00460946">
      <w:pPr>
        <w:spacing w:after="0" w:line="240" w:lineRule="auto"/>
        <w:jc w:val="center"/>
        <w:rPr>
          <w:rFonts w:ascii="Times New Roman" w:hAnsi="Times New Roman" w:cs="Times New Roman"/>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tblPr>
      <w:tblGrid>
        <w:gridCol w:w="1361"/>
        <w:gridCol w:w="6572"/>
        <w:gridCol w:w="571"/>
      </w:tblGrid>
      <w:tr w:rsidR="003673FE" w:rsidTr="008C31BA">
        <w:tc>
          <w:tcPr>
            <w:tcW w:w="1363" w:type="dxa"/>
          </w:tcPr>
          <w:p w:rsidR="003673FE" w:rsidRPr="008249BF" w:rsidRDefault="003673FE" w:rsidP="003673FE">
            <w:pPr>
              <w:rPr>
                <w:rFonts w:ascii="Times New Roman" w:hAnsi="Times New Roman" w:cs="Times New Roman"/>
              </w:rPr>
            </w:pPr>
            <w:r w:rsidRPr="008249BF">
              <w:rPr>
                <w:rFonts w:ascii="Times New Roman" w:hAnsi="Times New Roman" w:cs="Times New Roman"/>
                <w:b/>
              </w:rPr>
              <w:t>Figure 1.1</w:t>
            </w:r>
          </w:p>
        </w:tc>
        <w:tc>
          <w:tcPr>
            <w:tcW w:w="6580" w:type="dxa"/>
          </w:tcPr>
          <w:p w:rsidR="003673FE" w:rsidRPr="008249BF" w:rsidRDefault="003673FE" w:rsidP="003673FE">
            <w:pPr>
              <w:rPr>
                <w:rFonts w:ascii="Times New Roman" w:hAnsi="Times New Roman" w:cs="Times New Roman"/>
              </w:rPr>
            </w:pPr>
            <w:r w:rsidRPr="008249BF">
              <w:rPr>
                <w:rFonts w:ascii="Times New Roman" w:hAnsi="Times New Roman" w:cs="Times New Roman"/>
              </w:rPr>
              <w:t>General structure of the Gram-negative and Gram-positive cell envelope</w:t>
            </w:r>
          </w:p>
        </w:tc>
        <w:tc>
          <w:tcPr>
            <w:tcW w:w="571" w:type="dxa"/>
            <w:tcMar>
              <w:left w:w="28" w:type="dxa"/>
            </w:tcMar>
          </w:tcPr>
          <w:p w:rsidR="003673FE" w:rsidRPr="008249BF" w:rsidRDefault="003673FE" w:rsidP="003673FE">
            <w:pPr>
              <w:rPr>
                <w:rFonts w:ascii="Times New Roman" w:hAnsi="Times New Roman" w:cs="Times New Roman"/>
              </w:rPr>
            </w:pPr>
            <w:r w:rsidRPr="008249BF">
              <w:rPr>
                <w:rFonts w:ascii="Times New Roman" w:hAnsi="Times New Roman" w:cs="Times New Roman"/>
              </w:rPr>
              <w:t>3</w:t>
            </w:r>
          </w:p>
        </w:tc>
      </w:tr>
      <w:tr w:rsidR="003673FE" w:rsidTr="008C31BA">
        <w:tc>
          <w:tcPr>
            <w:tcW w:w="1363" w:type="dxa"/>
          </w:tcPr>
          <w:p w:rsidR="003673FE" w:rsidRPr="008249BF" w:rsidRDefault="003673FE" w:rsidP="003673FE">
            <w:pPr>
              <w:rPr>
                <w:rFonts w:ascii="Times New Roman" w:hAnsi="Times New Roman" w:cs="Times New Roman"/>
              </w:rPr>
            </w:pPr>
            <w:r w:rsidRPr="008249BF">
              <w:rPr>
                <w:rFonts w:ascii="Times New Roman" w:hAnsi="Times New Roman" w:cs="Times New Roman"/>
                <w:b/>
              </w:rPr>
              <w:t>Figure 1.2</w:t>
            </w:r>
          </w:p>
        </w:tc>
        <w:tc>
          <w:tcPr>
            <w:tcW w:w="6580" w:type="dxa"/>
          </w:tcPr>
          <w:p w:rsidR="003673FE" w:rsidRPr="008249BF" w:rsidRDefault="003673FE" w:rsidP="003673FE">
            <w:pPr>
              <w:rPr>
                <w:rFonts w:ascii="Times New Roman" w:hAnsi="Times New Roman" w:cs="Times New Roman"/>
              </w:rPr>
            </w:pPr>
            <w:r w:rsidRPr="008249BF">
              <w:rPr>
                <w:rFonts w:ascii="Times New Roman" w:hAnsi="Times New Roman" w:cs="Times New Roman"/>
              </w:rPr>
              <w:t>The chemical structure of peptidoglyca</w:t>
            </w:r>
            <w:r w:rsidR="00F1540B">
              <w:rPr>
                <w:rFonts w:ascii="Times New Roman" w:hAnsi="Times New Roman" w:cs="Times New Roman"/>
              </w:rPr>
              <w:t>n</w:t>
            </w:r>
          </w:p>
        </w:tc>
        <w:tc>
          <w:tcPr>
            <w:tcW w:w="571" w:type="dxa"/>
            <w:tcMar>
              <w:left w:w="28" w:type="dxa"/>
            </w:tcMar>
          </w:tcPr>
          <w:p w:rsidR="003673FE" w:rsidRPr="008249BF" w:rsidRDefault="003673FE" w:rsidP="003673FE">
            <w:pPr>
              <w:rPr>
                <w:rFonts w:ascii="Times New Roman" w:hAnsi="Times New Roman" w:cs="Times New Roman"/>
              </w:rPr>
            </w:pPr>
            <w:r w:rsidRPr="008249BF">
              <w:rPr>
                <w:rFonts w:ascii="Times New Roman" w:hAnsi="Times New Roman" w:cs="Times New Roman"/>
              </w:rPr>
              <w:t>5</w:t>
            </w:r>
          </w:p>
        </w:tc>
      </w:tr>
      <w:tr w:rsidR="003673FE" w:rsidTr="008C31BA">
        <w:tc>
          <w:tcPr>
            <w:tcW w:w="1363" w:type="dxa"/>
          </w:tcPr>
          <w:p w:rsidR="003673FE" w:rsidRPr="008249BF" w:rsidRDefault="003673FE" w:rsidP="003673FE">
            <w:pPr>
              <w:rPr>
                <w:rFonts w:ascii="Times New Roman" w:hAnsi="Times New Roman" w:cs="Times New Roman"/>
              </w:rPr>
            </w:pPr>
            <w:r w:rsidRPr="008249BF">
              <w:rPr>
                <w:rFonts w:ascii="Times New Roman" w:hAnsi="Times New Roman" w:cs="Times New Roman"/>
                <w:b/>
              </w:rPr>
              <w:t>Figure 1.3</w:t>
            </w:r>
          </w:p>
        </w:tc>
        <w:tc>
          <w:tcPr>
            <w:tcW w:w="6580" w:type="dxa"/>
          </w:tcPr>
          <w:p w:rsidR="003673FE" w:rsidRPr="008249BF" w:rsidRDefault="003673FE" w:rsidP="003673FE">
            <w:pPr>
              <w:rPr>
                <w:rFonts w:ascii="Times New Roman" w:hAnsi="Times New Roman" w:cs="Times New Roman"/>
              </w:rPr>
            </w:pPr>
            <w:r w:rsidRPr="008249BF">
              <w:rPr>
                <w:rFonts w:ascii="Times New Roman" w:hAnsi="Times New Roman" w:cs="Times New Roman"/>
              </w:rPr>
              <w:t>Scheme of cross-linked peptidoglycan</w:t>
            </w:r>
          </w:p>
        </w:tc>
        <w:tc>
          <w:tcPr>
            <w:tcW w:w="571" w:type="dxa"/>
            <w:tcMar>
              <w:left w:w="28" w:type="dxa"/>
            </w:tcMar>
          </w:tcPr>
          <w:p w:rsidR="003673FE" w:rsidRPr="008249BF" w:rsidRDefault="003673FE" w:rsidP="003673FE">
            <w:pPr>
              <w:rPr>
                <w:rFonts w:ascii="Times New Roman" w:hAnsi="Times New Roman" w:cs="Times New Roman"/>
              </w:rPr>
            </w:pPr>
            <w:r w:rsidRPr="008249BF">
              <w:rPr>
                <w:rFonts w:ascii="Times New Roman" w:hAnsi="Times New Roman" w:cs="Times New Roman"/>
              </w:rPr>
              <w:t>8</w:t>
            </w:r>
          </w:p>
        </w:tc>
      </w:tr>
      <w:tr w:rsidR="003673FE" w:rsidTr="008C31BA">
        <w:tc>
          <w:tcPr>
            <w:tcW w:w="1363" w:type="dxa"/>
          </w:tcPr>
          <w:p w:rsidR="003673FE" w:rsidRPr="008249BF" w:rsidRDefault="003673FE" w:rsidP="003673FE">
            <w:pPr>
              <w:rPr>
                <w:rFonts w:ascii="Times New Roman" w:hAnsi="Times New Roman" w:cs="Times New Roman"/>
              </w:rPr>
            </w:pPr>
            <w:r w:rsidRPr="008249BF">
              <w:rPr>
                <w:rFonts w:ascii="Times New Roman" w:hAnsi="Times New Roman" w:cs="Times New Roman"/>
                <w:b/>
                <w:color w:val="000000"/>
              </w:rPr>
              <w:t>Figure 1.4</w:t>
            </w:r>
          </w:p>
        </w:tc>
        <w:tc>
          <w:tcPr>
            <w:tcW w:w="6580" w:type="dxa"/>
          </w:tcPr>
          <w:p w:rsidR="003673FE" w:rsidRPr="008249BF" w:rsidRDefault="003673FE" w:rsidP="003673FE">
            <w:pPr>
              <w:rPr>
                <w:rFonts w:ascii="Times New Roman" w:hAnsi="Times New Roman" w:cs="Times New Roman"/>
              </w:rPr>
            </w:pPr>
            <w:r w:rsidRPr="008249BF">
              <w:rPr>
                <w:rFonts w:ascii="Times New Roman" w:hAnsi="Times New Roman" w:cs="Times New Roman"/>
                <w:color w:val="000000"/>
              </w:rPr>
              <w:t>The peptidoglycan biosynthesis pathway</w:t>
            </w:r>
          </w:p>
        </w:tc>
        <w:tc>
          <w:tcPr>
            <w:tcW w:w="571" w:type="dxa"/>
            <w:tcMar>
              <w:left w:w="28" w:type="dxa"/>
            </w:tcMar>
          </w:tcPr>
          <w:p w:rsidR="003673FE" w:rsidRPr="008249BF" w:rsidRDefault="003205E5" w:rsidP="003673FE">
            <w:pPr>
              <w:rPr>
                <w:rFonts w:ascii="Times New Roman" w:hAnsi="Times New Roman" w:cs="Times New Roman"/>
              </w:rPr>
            </w:pPr>
            <w:r w:rsidRPr="008249BF">
              <w:rPr>
                <w:rFonts w:ascii="Times New Roman" w:hAnsi="Times New Roman" w:cs="Times New Roman"/>
                <w:color w:val="000000"/>
              </w:rPr>
              <w:t>10</w:t>
            </w:r>
          </w:p>
        </w:tc>
      </w:tr>
      <w:tr w:rsidR="003673FE" w:rsidTr="008C31BA">
        <w:tc>
          <w:tcPr>
            <w:tcW w:w="1363" w:type="dxa"/>
          </w:tcPr>
          <w:p w:rsidR="003673FE" w:rsidRPr="008249BF" w:rsidRDefault="003205E5" w:rsidP="003673FE">
            <w:pPr>
              <w:rPr>
                <w:rFonts w:ascii="Times New Roman" w:hAnsi="Times New Roman" w:cs="Times New Roman"/>
              </w:rPr>
            </w:pPr>
            <w:r w:rsidRPr="008249BF">
              <w:rPr>
                <w:rFonts w:ascii="Times New Roman" w:hAnsi="Times New Roman" w:cs="Times New Roman"/>
                <w:b/>
                <w:color w:val="000000"/>
              </w:rPr>
              <w:t>Figure 1.5</w:t>
            </w:r>
          </w:p>
        </w:tc>
        <w:tc>
          <w:tcPr>
            <w:tcW w:w="6580" w:type="dxa"/>
          </w:tcPr>
          <w:p w:rsidR="003673FE" w:rsidRPr="008249BF" w:rsidRDefault="003205E5" w:rsidP="008249BF">
            <w:pPr>
              <w:rPr>
                <w:rFonts w:ascii="Times New Roman" w:hAnsi="Times New Roman" w:cs="Times New Roman"/>
              </w:rPr>
            </w:pPr>
            <w:r w:rsidRPr="008249BF">
              <w:rPr>
                <w:rFonts w:ascii="Times New Roman" w:hAnsi="Times New Roman" w:cs="Times New Roman"/>
                <w:color w:val="000000"/>
              </w:rPr>
              <w:t xml:space="preserve">The structure of wall teichoic acids and lipoteichoic acids in </w:t>
            </w:r>
            <w:r w:rsidRPr="008249BF">
              <w:rPr>
                <w:rFonts w:ascii="Times New Roman" w:hAnsi="Times New Roman" w:cs="Times New Roman"/>
                <w:i/>
                <w:color w:val="000000"/>
              </w:rPr>
              <w:t>B. subtilis, S.</w:t>
            </w:r>
            <w:r w:rsidR="008249BF">
              <w:rPr>
                <w:rFonts w:ascii="Times New Roman" w:hAnsi="Times New Roman" w:cs="Times New Roman"/>
                <w:i/>
                <w:color w:val="000000"/>
              </w:rPr>
              <w:t> </w:t>
            </w:r>
            <w:r w:rsidRPr="008249BF">
              <w:rPr>
                <w:rFonts w:ascii="Times New Roman" w:hAnsi="Times New Roman" w:cs="Times New Roman"/>
                <w:i/>
                <w:color w:val="000000"/>
              </w:rPr>
              <w:t>aureus</w:t>
            </w:r>
            <w:r w:rsidRPr="008249BF">
              <w:rPr>
                <w:rFonts w:ascii="Times New Roman" w:hAnsi="Times New Roman" w:cs="Times New Roman"/>
                <w:color w:val="000000"/>
              </w:rPr>
              <w:t xml:space="preserve"> and </w:t>
            </w:r>
            <w:r w:rsidRPr="008249BF">
              <w:rPr>
                <w:rFonts w:ascii="Times New Roman" w:hAnsi="Times New Roman" w:cs="Times New Roman"/>
                <w:i/>
                <w:color w:val="000000"/>
              </w:rPr>
              <w:t>S. pneumoniae</w:t>
            </w:r>
          </w:p>
        </w:tc>
        <w:tc>
          <w:tcPr>
            <w:tcW w:w="571" w:type="dxa"/>
            <w:tcMar>
              <w:left w:w="28" w:type="dxa"/>
            </w:tcMar>
          </w:tcPr>
          <w:p w:rsidR="003673FE" w:rsidRPr="008249BF" w:rsidRDefault="003205E5" w:rsidP="003673FE">
            <w:pPr>
              <w:rPr>
                <w:rFonts w:ascii="Times New Roman" w:hAnsi="Times New Roman" w:cs="Times New Roman"/>
              </w:rPr>
            </w:pPr>
            <w:r w:rsidRPr="008249BF">
              <w:rPr>
                <w:rFonts w:ascii="Times New Roman" w:hAnsi="Times New Roman" w:cs="Times New Roman"/>
                <w:color w:val="000000"/>
              </w:rPr>
              <w:t>13</w:t>
            </w:r>
          </w:p>
        </w:tc>
      </w:tr>
      <w:tr w:rsidR="003673FE" w:rsidTr="008C31BA">
        <w:tc>
          <w:tcPr>
            <w:tcW w:w="1363" w:type="dxa"/>
          </w:tcPr>
          <w:p w:rsidR="003673FE" w:rsidRPr="008249BF" w:rsidRDefault="003205E5" w:rsidP="003673FE">
            <w:pPr>
              <w:rPr>
                <w:rFonts w:ascii="Times New Roman" w:hAnsi="Times New Roman" w:cs="Times New Roman"/>
              </w:rPr>
            </w:pPr>
            <w:r w:rsidRPr="008249BF">
              <w:rPr>
                <w:rFonts w:ascii="Times New Roman" w:hAnsi="Times New Roman" w:cs="Times New Roman"/>
                <w:b/>
                <w:color w:val="000000"/>
              </w:rPr>
              <w:t>Figure 1.6</w:t>
            </w:r>
          </w:p>
        </w:tc>
        <w:tc>
          <w:tcPr>
            <w:tcW w:w="6580" w:type="dxa"/>
          </w:tcPr>
          <w:p w:rsidR="003673FE" w:rsidRPr="008249BF" w:rsidRDefault="003205E5" w:rsidP="003673FE">
            <w:pPr>
              <w:rPr>
                <w:rFonts w:ascii="Times New Roman" w:hAnsi="Times New Roman" w:cs="Times New Roman"/>
              </w:rPr>
            </w:pPr>
            <w:r w:rsidRPr="008249BF">
              <w:rPr>
                <w:rFonts w:ascii="Times New Roman" w:hAnsi="Times New Roman" w:cs="Times New Roman"/>
                <w:color w:val="000000"/>
              </w:rPr>
              <w:t>Safe enlargement of the cell wall</w:t>
            </w:r>
          </w:p>
        </w:tc>
        <w:tc>
          <w:tcPr>
            <w:tcW w:w="571" w:type="dxa"/>
            <w:tcMar>
              <w:left w:w="28" w:type="dxa"/>
            </w:tcMar>
          </w:tcPr>
          <w:p w:rsidR="003673FE" w:rsidRPr="008249BF" w:rsidRDefault="003205E5" w:rsidP="003673FE">
            <w:pPr>
              <w:rPr>
                <w:rFonts w:ascii="Times New Roman" w:hAnsi="Times New Roman" w:cs="Times New Roman"/>
              </w:rPr>
            </w:pPr>
            <w:r w:rsidRPr="008249BF">
              <w:rPr>
                <w:rFonts w:ascii="Times New Roman" w:hAnsi="Times New Roman" w:cs="Times New Roman"/>
                <w:color w:val="000000"/>
              </w:rPr>
              <w:t>15</w:t>
            </w:r>
          </w:p>
        </w:tc>
      </w:tr>
      <w:tr w:rsidR="003673FE" w:rsidTr="008C31BA">
        <w:tc>
          <w:tcPr>
            <w:tcW w:w="1363" w:type="dxa"/>
          </w:tcPr>
          <w:p w:rsidR="003673FE" w:rsidRPr="008249BF" w:rsidRDefault="003205E5" w:rsidP="003673FE">
            <w:pPr>
              <w:rPr>
                <w:rFonts w:ascii="Times New Roman" w:hAnsi="Times New Roman" w:cs="Times New Roman"/>
              </w:rPr>
            </w:pPr>
            <w:r w:rsidRPr="008249BF">
              <w:rPr>
                <w:rFonts w:ascii="Times New Roman" w:hAnsi="Times New Roman" w:cs="Times New Roman"/>
                <w:b/>
              </w:rPr>
              <w:t>Figure 1.7</w:t>
            </w:r>
          </w:p>
        </w:tc>
        <w:tc>
          <w:tcPr>
            <w:tcW w:w="6580" w:type="dxa"/>
          </w:tcPr>
          <w:p w:rsidR="003673FE" w:rsidRPr="008249BF" w:rsidRDefault="003205E5" w:rsidP="003673FE">
            <w:pPr>
              <w:rPr>
                <w:rFonts w:ascii="Times New Roman" w:hAnsi="Times New Roman" w:cs="Times New Roman"/>
              </w:rPr>
            </w:pPr>
            <w:r w:rsidRPr="008249BF">
              <w:rPr>
                <w:rFonts w:ascii="Times New Roman" w:hAnsi="Times New Roman" w:cs="Times New Roman"/>
              </w:rPr>
              <w:t>Generalised peptidoglycan dynamics in rod shaped organisms</w:t>
            </w:r>
          </w:p>
        </w:tc>
        <w:tc>
          <w:tcPr>
            <w:tcW w:w="571" w:type="dxa"/>
            <w:tcMar>
              <w:left w:w="28" w:type="dxa"/>
            </w:tcMar>
          </w:tcPr>
          <w:p w:rsidR="003673FE" w:rsidRPr="008249BF" w:rsidRDefault="003205E5" w:rsidP="003673FE">
            <w:pPr>
              <w:rPr>
                <w:rFonts w:ascii="Times New Roman" w:hAnsi="Times New Roman" w:cs="Times New Roman"/>
              </w:rPr>
            </w:pPr>
            <w:r w:rsidRPr="008249BF">
              <w:rPr>
                <w:rFonts w:ascii="Times New Roman" w:hAnsi="Times New Roman" w:cs="Times New Roman"/>
              </w:rPr>
              <w:t>17</w:t>
            </w:r>
          </w:p>
        </w:tc>
      </w:tr>
      <w:tr w:rsidR="003673FE" w:rsidTr="008C31BA">
        <w:tc>
          <w:tcPr>
            <w:tcW w:w="1363" w:type="dxa"/>
          </w:tcPr>
          <w:p w:rsidR="003673FE" w:rsidRPr="008249BF" w:rsidRDefault="003205E5" w:rsidP="003673FE">
            <w:pPr>
              <w:rPr>
                <w:rFonts w:ascii="Times New Roman" w:hAnsi="Times New Roman" w:cs="Times New Roman"/>
              </w:rPr>
            </w:pPr>
            <w:r w:rsidRPr="008249BF">
              <w:rPr>
                <w:rFonts w:ascii="Times New Roman" w:hAnsi="Times New Roman" w:cs="Times New Roman"/>
                <w:b/>
              </w:rPr>
              <w:t>Figure 1.8</w:t>
            </w:r>
          </w:p>
        </w:tc>
        <w:tc>
          <w:tcPr>
            <w:tcW w:w="6580" w:type="dxa"/>
          </w:tcPr>
          <w:p w:rsidR="003673FE" w:rsidRPr="008249BF" w:rsidRDefault="003205E5" w:rsidP="003673FE">
            <w:pPr>
              <w:rPr>
                <w:rFonts w:ascii="Times New Roman" w:hAnsi="Times New Roman" w:cs="Times New Roman"/>
              </w:rPr>
            </w:pPr>
            <w:r w:rsidRPr="008249BF">
              <w:rPr>
                <w:rFonts w:ascii="Times New Roman" w:hAnsi="Times New Roman" w:cs="Times New Roman"/>
              </w:rPr>
              <w:t>Peptidoglycan dynamics in true-cocci and ovoccoci</w:t>
            </w:r>
          </w:p>
        </w:tc>
        <w:tc>
          <w:tcPr>
            <w:tcW w:w="571" w:type="dxa"/>
            <w:tcMar>
              <w:left w:w="28" w:type="dxa"/>
            </w:tcMar>
          </w:tcPr>
          <w:p w:rsidR="003673FE" w:rsidRPr="008249BF" w:rsidRDefault="003205E5" w:rsidP="003673FE">
            <w:pPr>
              <w:rPr>
                <w:rFonts w:ascii="Times New Roman" w:hAnsi="Times New Roman" w:cs="Times New Roman"/>
              </w:rPr>
            </w:pPr>
            <w:r w:rsidRPr="008249BF">
              <w:rPr>
                <w:rFonts w:ascii="Times New Roman" w:hAnsi="Times New Roman" w:cs="Times New Roman"/>
              </w:rPr>
              <w:t>18</w:t>
            </w:r>
          </w:p>
        </w:tc>
      </w:tr>
      <w:tr w:rsidR="003205E5" w:rsidTr="008C31BA">
        <w:tc>
          <w:tcPr>
            <w:tcW w:w="1363" w:type="dxa"/>
          </w:tcPr>
          <w:p w:rsidR="003205E5" w:rsidRPr="008249BF" w:rsidRDefault="003205E5" w:rsidP="003673FE">
            <w:pPr>
              <w:rPr>
                <w:rFonts w:ascii="Times New Roman" w:hAnsi="Times New Roman" w:cs="Times New Roman"/>
              </w:rPr>
            </w:pPr>
            <w:r w:rsidRPr="008249BF">
              <w:rPr>
                <w:rFonts w:ascii="Times New Roman" w:hAnsi="Times New Roman" w:cs="Times New Roman"/>
                <w:b/>
                <w:color w:val="000000"/>
              </w:rPr>
              <w:t>Figure 1.9</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color w:val="000000"/>
              </w:rPr>
              <w:t>The specificity of peptidoglycan hydrolases</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color w:val="000000"/>
              </w:rPr>
              <w:t>23</w:t>
            </w:r>
          </w:p>
        </w:tc>
      </w:tr>
      <w:tr w:rsidR="003205E5" w:rsidTr="008C31BA">
        <w:tc>
          <w:tcPr>
            <w:tcW w:w="1363" w:type="dxa"/>
          </w:tcPr>
          <w:p w:rsidR="003205E5" w:rsidRPr="008249BF" w:rsidRDefault="003205E5" w:rsidP="003673FE">
            <w:pPr>
              <w:rPr>
                <w:rFonts w:ascii="Times New Roman" w:hAnsi="Times New Roman" w:cs="Times New Roman"/>
              </w:rPr>
            </w:pPr>
            <w:r w:rsidRPr="008249BF">
              <w:rPr>
                <w:rFonts w:ascii="Times New Roman" w:hAnsi="Times New Roman" w:cs="Times New Roman"/>
                <w:b/>
                <w:color w:val="000000"/>
              </w:rPr>
              <w:t>Figure 1.10</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color w:val="000000"/>
              </w:rPr>
              <w:t xml:space="preserve">The role of autolysins throughout cellular differentiation of </w:t>
            </w:r>
            <w:r w:rsidRPr="008249BF">
              <w:rPr>
                <w:rFonts w:ascii="Times New Roman" w:hAnsi="Times New Roman" w:cs="Times New Roman"/>
                <w:i/>
                <w:color w:val="000000"/>
              </w:rPr>
              <w:t>B. subtilis</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color w:val="000000"/>
              </w:rPr>
              <w:t>27</w:t>
            </w:r>
          </w:p>
        </w:tc>
      </w:tr>
      <w:tr w:rsidR="003205E5" w:rsidTr="008C31BA">
        <w:tc>
          <w:tcPr>
            <w:tcW w:w="1363" w:type="dxa"/>
          </w:tcPr>
          <w:p w:rsidR="003205E5" w:rsidRPr="008249BF" w:rsidRDefault="003205E5" w:rsidP="003673FE">
            <w:pPr>
              <w:rPr>
                <w:rFonts w:ascii="Times New Roman" w:hAnsi="Times New Roman" w:cs="Times New Roman"/>
              </w:rPr>
            </w:pPr>
            <w:r w:rsidRPr="008249BF">
              <w:rPr>
                <w:rFonts w:ascii="Times New Roman" w:hAnsi="Times New Roman" w:cs="Times New Roman"/>
                <w:b/>
              </w:rPr>
              <w:t>Figure 1.11</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rPr>
              <w:t>Classical (horizontal) and scaffold (vertical) models of peptidoglycan architecture</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rPr>
              <w:t>38</w:t>
            </w:r>
          </w:p>
        </w:tc>
      </w:tr>
      <w:tr w:rsidR="003205E5" w:rsidTr="008C31BA">
        <w:tc>
          <w:tcPr>
            <w:tcW w:w="1363" w:type="dxa"/>
          </w:tcPr>
          <w:p w:rsidR="003205E5" w:rsidRPr="008249BF" w:rsidRDefault="003205E5" w:rsidP="003673FE">
            <w:pPr>
              <w:rPr>
                <w:rFonts w:ascii="Times New Roman" w:hAnsi="Times New Roman" w:cs="Times New Roman"/>
              </w:rPr>
            </w:pPr>
            <w:r w:rsidRPr="008249BF">
              <w:rPr>
                <w:rFonts w:ascii="Times New Roman" w:hAnsi="Times New Roman" w:cs="Times New Roman"/>
                <w:b/>
              </w:rPr>
              <w:t>Figure 1.12</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rPr>
              <w:t>Three models for maintenance of rod shape</w:t>
            </w:r>
          </w:p>
        </w:tc>
        <w:tc>
          <w:tcPr>
            <w:tcW w:w="571" w:type="dxa"/>
            <w:tcMar>
              <w:left w:w="28" w:type="dxa"/>
            </w:tcMar>
          </w:tcPr>
          <w:p w:rsidR="003205E5" w:rsidRPr="008249BF" w:rsidRDefault="003205E5" w:rsidP="003205E5">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8504"/>
              </w:tabs>
              <w:rPr>
                <w:rFonts w:ascii="Times New Roman" w:hAnsi="Times New Roman" w:cs="Times New Roman"/>
              </w:rPr>
            </w:pPr>
            <w:r w:rsidRPr="008249BF">
              <w:rPr>
                <w:rFonts w:ascii="Times New Roman" w:hAnsi="Times New Roman" w:cs="Times New Roman"/>
              </w:rPr>
              <w:t>41</w:t>
            </w:r>
          </w:p>
        </w:tc>
      </w:tr>
      <w:tr w:rsidR="003205E5" w:rsidTr="008C31BA">
        <w:tc>
          <w:tcPr>
            <w:tcW w:w="1363" w:type="dxa"/>
          </w:tcPr>
          <w:p w:rsidR="003205E5" w:rsidRPr="008249BF" w:rsidRDefault="003205E5" w:rsidP="003673FE">
            <w:pPr>
              <w:rPr>
                <w:rFonts w:ascii="Times New Roman" w:hAnsi="Times New Roman" w:cs="Times New Roman"/>
              </w:rPr>
            </w:pPr>
            <w:r w:rsidRPr="008249BF">
              <w:rPr>
                <w:rFonts w:ascii="Times New Roman" w:hAnsi="Times New Roman" w:cs="Times New Roman"/>
                <w:b/>
                <w:color w:val="000000"/>
              </w:rPr>
              <w:t>Figure 1.13</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color w:val="000000"/>
              </w:rPr>
              <w:t xml:space="preserve">Proposed peptidoglycan architecture of </w:t>
            </w:r>
            <w:r w:rsidRPr="008249BF">
              <w:rPr>
                <w:rFonts w:ascii="Times New Roman" w:hAnsi="Times New Roman" w:cs="Times New Roman"/>
                <w:i/>
                <w:color w:val="000000"/>
              </w:rPr>
              <w:t>B. subtilis</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color w:val="000000"/>
              </w:rPr>
              <w:t>45</w:t>
            </w:r>
          </w:p>
        </w:tc>
      </w:tr>
      <w:tr w:rsidR="003205E5" w:rsidTr="008C31BA">
        <w:tc>
          <w:tcPr>
            <w:tcW w:w="1363" w:type="dxa"/>
          </w:tcPr>
          <w:p w:rsidR="003205E5" w:rsidRPr="008249BF" w:rsidRDefault="003205E5" w:rsidP="003673FE">
            <w:pPr>
              <w:rPr>
                <w:rFonts w:ascii="Times New Roman" w:hAnsi="Times New Roman" w:cs="Times New Roman"/>
              </w:rPr>
            </w:pPr>
            <w:r w:rsidRPr="008249BF">
              <w:rPr>
                <w:rFonts w:ascii="Times New Roman" w:hAnsi="Times New Roman" w:cs="Times New Roman"/>
                <w:b/>
              </w:rPr>
              <w:t>Figure 1.14</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rPr>
              <w:t>Relative orientation of cell wall hemispheres produced by division on orthogonal planes</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rPr>
              <w:t>46</w:t>
            </w:r>
          </w:p>
        </w:tc>
      </w:tr>
      <w:tr w:rsidR="003205E5" w:rsidTr="008C31BA">
        <w:tc>
          <w:tcPr>
            <w:tcW w:w="1363" w:type="dxa"/>
          </w:tcPr>
          <w:p w:rsidR="003205E5" w:rsidRPr="008249BF" w:rsidRDefault="003205E5" w:rsidP="003673FE">
            <w:pPr>
              <w:rPr>
                <w:rFonts w:ascii="Times New Roman" w:hAnsi="Times New Roman" w:cs="Times New Roman"/>
              </w:rPr>
            </w:pPr>
            <w:r w:rsidRPr="008249BF">
              <w:rPr>
                <w:rFonts w:ascii="Times New Roman" w:hAnsi="Times New Roman" w:cs="Times New Roman"/>
                <w:b/>
              </w:rPr>
              <w:t>Figure 1.15</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rPr>
              <w:t xml:space="preserve">AFM imaging of the fine architecture of living </w:t>
            </w:r>
            <w:r w:rsidRPr="008249BF">
              <w:rPr>
                <w:rFonts w:ascii="Times New Roman" w:hAnsi="Times New Roman" w:cs="Times New Roman"/>
                <w:i/>
              </w:rPr>
              <w:t xml:space="preserve">S. aureus </w:t>
            </w:r>
            <w:r w:rsidRPr="008249BF">
              <w:rPr>
                <w:rFonts w:ascii="Times New Roman" w:hAnsi="Times New Roman" w:cs="Times New Roman"/>
              </w:rPr>
              <w:t>cell wall surfaces</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rPr>
              <w:t>48</w:t>
            </w:r>
          </w:p>
        </w:tc>
      </w:tr>
      <w:tr w:rsidR="003205E5" w:rsidTr="008C31BA">
        <w:tc>
          <w:tcPr>
            <w:tcW w:w="1363" w:type="dxa"/>
          </w:tcPr>
          <w:p w:rsidR="003205E5" w:rsidRPr="008249BF" w:rsidRDefault="003205E5" w:rsidP="003673FE">
            <w:pPr>
              <w:rPr>
                <w:rFonts w:ascii="Times New Roman" w:hAnsi="Times New Roman" w:cs="Times New Roman"/>
              </w:rPr>
            </w:pPr>
            <w:r w:rsidRPr="008249BF">
              <w:rPr>
                <w:rFonts w:ascii="Times New Roman" w:hAnsi="Times New Roman" w:cs="Times New Roman"/>
                <w:b/>
                <w:color w:val="000000"/>
              </w:rPr>
              <w:t>Figure 1.16</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color w:val="000000"/>
              </w:rPr>
              <w:t xml:space="preserve">AFM of the cell surface in living </w:t>
            </w:r>
            <w:r w:rsidRPr="008249BF">
              <w:rPr>
                <w:rFonts w:ascii="Times New Roman" w:hAnsi="Times New Roman" w:cs="Times New Roman"/>
                <w:i/>
                <w:color w:val="000000"/>
              </w:rPr>
              <w:t xml:space="preserve">L. lactis </w:t>
            </w:r>
            <w:r w:rsidRPr="008249BF">
              <w:rPr>
                <w:rFonts w:ascii="Times New Roman" w:hAnsi="Times New Roman" w:cs="Times New Roman"/>
                <w:color w:val="000000"/>
              </w:rPr>
              <w:t>cells</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color w:val="000000"/>
              </w:rPr>
              <w:t>50</w:t>
            </w:r>
          </w:p>
        </w:tc>
      </w:tr>
      <w:tr w:rsidR="008249BF" w:rsidTr="008C31BA">
        <w:tc>
          <w:tcPr>
            <w:tcW w:w="1363" w:type="dxa"/>
          </w:tcPr>
          <w:p w:rsidR="008249BF" w:rsidRPr="008249BF" w:rsidRDefault="008249BF" w:rsidP="003673FE">
            <w:pPr>
              <w:rPr>
                <w:rFonts w:ascii="Times New Roman" w:hAnsi="Times New Roman" w:cs="Times New Roman"/>
                <w:b/>
                <w:color w:val="000000"/>
              </w:rPr>
            </w:pPr>
          </w:p>
        </w:tc>
        <w:tc>
          <w:tcPr>
            <w:tcW w:w="6580" w:type="dxa"/>
          </w:tcPr>
          <w:p w:rsidR="008249BF" w:rsidRPr="008249BF" w:rsidRDefault="008249BF" w:rsidP="003673FE">
            <w:pPr>
              <w:rPr>
                <w:rFonts w:ascii="Times New Roman" w:hAnsi="Times New Roman" w:cs="Times New Roman"/>
                <w:color w:val="000000"/>
              </w:rPr>
            </w:pPr>
          </w:p>
        </w:tc>
        <w:tc>
          <w:tcPr>
            <w:tcW w:w="571" w:type="dxa"/>
            <w:tcMar>
              <w:left w:w="28" w:type="dxa"/>
            </w:tcMar>
          </w:tcPr>
          <w:p w:rsidR="008249BF" w:rsidRPr="008249BF" w:rsidRDefault="008249BF" w:rsidP="003673FE">
            <w:pPr>
              <w:rPr>
                <w:rFonts w:ascii="Times New Roman" w:hAnsi="Times New Roman" w:cs="Times New Roman"/>
                <w:color w:val="000000"/>
              </w:rPr>
            </w:pPr>
          </w:p>
        </w:tc>
      </w:tr>
      <w:tr w:rsidR="003205E5" w:rsidTr="008C31BA">
        <w:tc>
          <w:tcPr>
            <w:tcW w:w="1363" w:type="dxa"/>
          </w:tcPr>
          <w:p w:rsidR="003205E5" w:rsidRPr="008249BF" w:rsidRDefault="003205E5" w:rsidP="003673FE">
            <w:pPr>
              <w:rPr>
                <w:rFonts w:ascii="Times New Roman" w:hAnsi="Times New Roman" w:cs="Times New Roman"/>
                <w:b/>
                <w:color w:val="000000"/>
              </w:rPr>
            </w:pPr>
            <w:r w:rsidRPr="008249BF">
              <w:rPr>
                <w:rFonts w:ascii="Times New Roman" w:hAnsi="Times New Roman" w:cs="Times New Roman"/>
                <w:b/>
                <w:color w:val="000000"/>
              </w:rPr>
              <w:t>Figure 3.1</w:t>
            </w:r>
          </w:p>
        </w:tc>
        <w:tc>
          <w:tcPr>
            <w:tcW w:w="6580" w:type="dxa"/>
          </w:tcPr>
          <w:p w:rsidR="003205E5" w:rsidRPr="008249BF" w:rsidRDefault="003205E5" w:rsidP="003673FE">
            <w:pPr>
              <w:rPr>
                <w:rFonts w:ascii="Times New Roman" w:hAnsi="Times New Roman" w:cs="Times New Roman"/>
                <w:color w:val="000000"/>
              </w:rPr>
            </w:pPr>
            <w:r w:rsidRPr="008249BF">
              <w:rPr>
                <w:rFonts w:ascii="Times New Roman" w:hAnsi="Times New Roman" w:cs="Times New Roman"/>
                <w:color w:val="000000"/>
              </w:rPr>
              <w:t>Schematic of an Atomic Force Microscope (AFM)</w:t>
            </w:r>
          </w:p>
        </w:tc>
        <w:tc>
          <w:tcPr>
            <w:tcW w:w="571" w:type="dxa"/>
            <w:tcMar>
              <w:left w:w="28" w:type="dxa"/>
            </w:tcMar>
          </w:tcPr>
          <w:p w:rsidR="003205E5" w:rsidRPr="008249BF" w:rsidRDefault="003205E5" w:rsidP="003673FE">
            <w:pPr>
              <w:rPr>
                <w:rFonts w:ascii="Times New Roman" w:hAnsi="Times New Roman" w:cs="Times New Roman"/>
                <w:color w:val="000000"/>
              </w:rPr>
            </w:pPr>
            <w:r w:rsidRPr="008249BF">
              <w:rPr>
                <w:rFonts w:ascii="Times New Roman" w:hAnsi="Times New Roman" w:cs="Times New Roman"/>
                <w:color w:val="000000"/>
              </w:rPr>
              <w:t>106</w:t>
            </w:r>
          </w:p>
        </w:tc>
      </w:tr>
      <w:tr w:rsidR="003205E5" w:rsidTr="008C31BA">
        <w:tc>
          <w:tcPr>
            <w:tcW w:w="1363" w:type="dxa"/>
          </w:tcPr>
          <w:p w:rsidR="003205E5" w:rsidRPr="008249BF" w:rsidRDefault="003205E5" w:rsidP="003673FE">
            <w:pPr>
              <w:rPr>
                <w:rFonts w:ascii="Times New Roman" w:hAnsi="Times New Roman" w:cs="Times New Roman"/>
                <w:b/>
                <w:color w:val="000000"/>
              </w:rPr>
            </w:pPr>
            <w:r w:rsidRPr="008249BF">
              <w:rPr>
                <w:rFonts w:ascii="Times New Roman" w:hAnsi="Times New Roman" w:cs="Times New Roman"/>
                <w:b/>
              </w:rPr>
              <w:t>Figure 3.2</w:t>
            </w:r>
          </w:p>
        </w:tc>
        <w:tc>
          <w:tcPr>
            <w:tcW w:w="6580" w:type="dxa"/>
          </w:tcPr>
          <w:p w:rsidR="003205E5" w:rsidRPr="008249BF" w:rsidRDefault="003205E5" w:rsidP="003673FE">
            <w:pPr>
              <w:rPr>
                <w:rFonts w:ascii="Times New Roman" w:hAnsi="Times New Roman" w:cs="Times New Roman"/>
                <w:color w:val="000000"/>
              </w:rPr>
            </w:pPr>
            <w:r w:rsidRPr="008249BF">
              <w:rPr>
                <w:rFonts w:ascii="Times New Roman" w:hAnsi="Times New Roman" w:cs="Times New Roman"/>
              </w:rPr>
              <w:t>Overexpression and purification of Atl amidase</w:t>
            </w:r>
          </w:p>
        </w:tc>
        <w:tc>
          <w:tcPr>
            <w:tcW w:w="571" w:type="dxa"/>
            <w:tcMar>
              <w:left w:w="28" w:type="dxa"/>
            </w:tcMar>
          </w:tcPr>
          <w:p w:rsidR="003205E5" w:rsidRPr="008249BF" w:rsidRDefault="003205E5" w:rsidP="003673FE">
            <w:pPr>
              <w:rPr>
                <w:rFonts w:ascii="Times New Roman" w:hAnsi="Times New Roman" w:cs="Times New Roman"/>
                <w:color w:val="000000"/>
              </w:rPr>
            </w:pPr>
            <w:r w:rsidRPr="008249BF">
              <w:rPr>
                <w:rFonts w:ascii="Times New Roman" w:hAnsi="Times New Roman" w:cs="Times New Roman"/>
              </w:rPr>
              <w:t>110</w:t>
            </w:r>
          </w:p>
        </w:tc>
      </w:tr>
      <w:tr w:rsidR="003205E5" w:rsidTr="008C31BA">
        <w:tc>
          <w:tcPr>
            <w:tcW w:w="1363" w:type="dxa"/>
          </w:tcPr>
          <w:p w:rsidR="003205E5" w:rsidRPr="008249BF" w:rsidRDefault="003205E5" w:rsidP="003673FE">
            <w:pPr>
              <w:rPr>
                <w:rFonts w:ascii="Times New Roman" w:hAnsi="Times New Roman" w:cs="Times New Roman"/>
                <w:b/>
                <w:color w:val="000000"/>
              </w:rPr>
            </w:pPr>
            <w:r w:rsidRPr="008249BF">
              <w:rPr>
                <w:rFonts w:ascii="Times New Roman" w:hAnsi="Times New Roman" w:cs="Times New Roman"/>
                <w:b/>
              </w:rPr>
              <w:t>Figure 3.3</w:t>
            </w:r>
          </w:p>
        </w:tc>
        <w:tc>
          <w:tcPr>
            <w:tcW w:w="6580" w:type="dxa"/>
          </w:tcPr>
          <w:p w:rsidR="003205E5" w:rsidRPr="008249BF" w:rsidRDefault="003205E5" w:rsidP="003673FE">
            <w:pPr>
              <w:rPr>
                <w:rFonts w:ascii="Times New Roman" w:hAnsi="Times New Roman" w:cs="Times New Roman"/>
                <w:color w:val="000000"/>
              </w:rPr>
            </w:pPr>
            <w:r w:rsidRPr="008249BF">
              <w:rPr>
                <w:rFonts w:ascii="Times New Roman" w:hAnsi="Times New Roman" w:cs="Times New Roman"/>
                <w:bCs/>
              </w:rPr>
              <w:t xml:space="preserve">HPLC analysis of </w:t>
            </w:r>
            <w:r w:rsidRPr="008249BF">
              <w:rPr>
                <w:rFonts w:ascii="Times New Roman" w:hAnsi="Times New Roman" w:cs="Times New Roman"/>
                <w:bCs/>
                <w:vertAlign w:val="superscript"/>
              </w:rPr>
              <w:t>14</w:t>
            </w:r>
            <w:r w:rsidRPr="008249BF">
              <w:rPr>
                <w:rFonts w:ascii="Times New Roman" w:hAnsi="Times New Roman" w:cs="Times New Roman"/>
                <w:bCs/>
              </w:rPr>
              <w:t>C-labelled glycan strands</w:t>
            </w:r>
          </w:p>
        </w:tc>
        <w:tc>
          <w:tcPr>
            <w:tcW w:w="571" w:type="dxa"/>
            <w:tcMar>
              <w:left w:w="28" w:type="dxa"/>
            </w:tcMar>
          </w:tcPr>
          <w:p w:rsidR="003205E5" w:rsidRPr="008249BF" w:rsidRDefault="003205E5" w:rsidP="003673FE">
            <w:pPr>
              <w:rPr>
                <w:rFonts w:ascii="Times New Roman" w:hAnsi="Times New Roman" w:cs="Times New Roman"/>
                <w:color w:val="000000"/>
              </w:rPr>
            </w:pPr>
            <w:r w:rsidRPr="008249BF">
              <w:rPr>
                <w:rFonts w:ascii="Times New Roman" w:hAnsi="Times New Roman" w:cs="Times New Roman"/>
                <w:bCs/>
              </w:rPr>
              <w:t>112</w:t>
            </w:r>
          </w:p>
        </w:tc>
      </w:tr>
      <w:tr w:rsidR="003205E5" w:rsidTr="008C31BA">
        <w:tc>
          <w:tcPr>
            <w:tcW w:w="1363" w:type="dxa"/>
          </w:tcPr>
          <w:p w:rsidR="003205E5" w:rsidRPr="008249BF" w:rsidRDefault="003205E5" w:rsidP="003673FE">
            <w:pPr>
              <w:rPr>
                <w:rFonts w:ascii="Times New Roman" w:hAnsi="Times New Roman" w:cs="Times New Roman"/>
                <w:b/>
                <w:color w:val="000000"/>
              </w:rPr>
            </w:pPr>
            <w:r w:rsidRPr="008249BF">
              <w:rPr>
                <w:rFonts w:ascii="Times New Roman" w:hAnsi="Times New Roman" w:cs="Times New Roman"/>
                <w:b/>
                <w:color w:val="000000"/>
              </w:rPr>
              <w:t>Figure 3.4</w:t>
            </w:r>
          </w:p>
        </w:tc>
        <w:tc>
          <w:tcPr>
            <w:tcW w:w="6580" w:type="dxa"/>
          </w:tcPr>
          <w:p w:rsidR="003205E5" w:rsidRPr="008249BF" w:rsidRDefault="003205E5" w:rsidP="003673FE">
            <w:pPr>
              <w:rPr>
                <w:rFonts w:ascii="Times New Roman" w:hAnsi="Times New Roman" w:cs="Times New Roman"/>
                <w:color w:val="000000"/>
              </w:rPr>
            </w:pPr>
            <w:r w:rsidRPr="008249BF">
              <w:rPr>
                <w:rFonts w:ascii="Times New Roman" w:hAnsi="Times New Roman" w:cs="Times New Roman"/>
                <w:bCs/>
              </w:rPr>
              <w:t>Calibration of TSK</w:t>
            </w:r>
            <w:r w:rsidRPr="008249BF">
              <w:rPr>
                <w:rFonts w:ascii="Times New Roman" w:hAnsi="Times New Roman" w:cs="Times New Roman"/>
                <w:bCs/>
                <w:vertAlign w:val="subscript"/>
              </w:rPr>
              <w:t>SW</w:t>
            </w:r>
            <w:r w:rsidRPr="008249BF">
              <w:rPr>
                <w:rFonts w:ascii="Times New Roman" w:hAnsi="Times New Roman" w:cs="Times New Roman"/>
                <w:bCs/>
              </w:rPr>
              <w:t>2000 and TSK</w:t>
            </w:r>
            <w:r w:rsidRPr="008249BF">
              <w:rPr>
                <w:rFonts w:ascii="Times New Roman" w:hAnsi="Times New Roman" w:cs="Times New Roman"/>
                <w:bCs/>
                <w:vertAlign w:val="subscript"/>
              </w:rPr>
              <w:t>SW</w:t>
            </w:r>
            <w:r w:rsidRPr="008249BF">
              <w:rPr>
                <w:rFonts w:ascii="Times New Roman" w:hAnsi="Times New Roman" w:cs="Times New Roman"/>
                <w:bCs/>
              </w:rPr>
              <w:t>4000 columns with dextran standards</w:t>
            </w:r>
          </w:p>
        </w:tc>
        <w:tc>
          <w:tcPr>
            <w:tcW w:w="571" w:type="dxa"/>
            <w:tcMar>
              <w:left w:w="28" w:type="dxa"/>
            </w:tcMar>
          </w:tcPr>
          <w:p w:rsidR="003205E5" w:rsidRPr="008249BF" w:rsidRDefault="003205E5" w:rsidP="003673FE">
            <w:pPr>
              <w:rPr>
                <w:rFonts w:ascii="Times New Roman" w:hAnsi="Times New Roman" w:cs="Times New Roman"/>
                <w:color w:val="000000"/>
              </w:rPr>
            </w:pPr>
            <w:r w:rsidRPr="008249BF">
              <w:rPr>
                <w:rFonts w:ascii="Times New Roman" w:hAnsi="Times New Roman" w:cs="Times New Roman"/>
                <w:bCs/>
              </w:rPr>
              <w:t>116</w:t>
            </w:r>
          </w:p>
        </w:tc>
      </w:tr>
      <w:tr w:rsidR="003205E5" w:rsidTr="008C31BA">
        <w:tc>
          <w:tcPr>
            <w:tcW w:w="1363" w:type="dxa"/>
          </w:tcPr>
          <w:p w:rsidR="003205E5" w:rsidRPr="008249BF" w:rsidRDefault="003205E5" w:rsidP="003673FE">
            <w:pPr>
              <w:rPr>
                <w:rFonts w:ascii="Times New Roman" w:hAnsi="Times New Roman" w:cs="Times New Roman"/>
                <w:b/>
                <w:color w:val="000000"/>
              </w:rPr>
            </w:pPr>
            <w:r w:rsidRPr="008249BF">
              <w:rPr>
                <w:rFonts w:ascii="Times New Roman" w:hAnsi="Times New Roman" w:cs="Times New Roman"/>
                <w:b/>
              </w:rPr>
              <w:t>Figure 3.5</w:t>
            </w:r>
          </w:p>
        </w:tc>
        <w:tc>
          <w:tcPr>
            <w:tcW w:w="6580" w:type="dxa"/>
          </w:tcPr>
          <w:p w:rsidR="003205E5" w:rsidRPr="008249BF" w:rsidRDefault="003205E5" w:rsidP="003673FE">
            <w:pPr>
              <w:rPr>
                <w:rFonts w:ascii="Times New Roman" w:hAnsi="Times New Roman" w:cs="Times New Roman"/>
                <w:color w:val="000000"/>
              </w:rPr>
            </w:pPr>
            <w:r w:rsidRPr="008249BF">
              <w:rPr>
                <w:rFonts w:ascii="Times New Roman" w:hAnsi="Times New Roman" w:cs="Times New Roman"/>
              </w:rPr>
              <w:t>Glycan strand length distribution in Gram-positive bacteria</w:t>
            </w:r>
          </w:p>
        </w:tc>
        <w:tc>
          <w:tcPr>
            <w:tcW w:w="571" w:type="dxa"/>
            <w:tcMar>
              <w:left w:w="28" w:type="dxa"/>
            </w:tcMar>
          </w:tcPr>
          <w:p w:rsidR="003205E5" w:rsidRPr="008249BF" w:rsidRDefault="003205E5" w:rsidP="003673FE">
            <w:pPr>
              <w:rPr>
                <w:rFonts w:ascii="Times New Roman" w:hAnsi="Times New Roman" w:cs="Times New Roman"/>
                <w:color w:val="000000"/>
              </w:rPr>
            </w:pPr>
            <w:r w:rsidRPr="008249BF">
              <w:rPr>
                <w:rFonts w:ascii="Times New Roman" w:hAnsi="Times New Roman" w:cs="Times New Roman"/>
              </w:rPr>
              <w:t>118</w:t>
            </w:r>
          </w:p>
        </w:tc>
      </w:tr>
      <w:tr w:rsidR="003205E5" w:rsidTr="008C31BA">
        <w:tc>
          <w:tcPr>
            <w:tcW w:w="1363" w:type="dxa"/>
          </w:tcPr>
          <w:p w:rsidR="003205E5" w:rsidRPr="008249BF" w:rsidRDefault="003205E5" w:rsidP="003673FE">
            <w:pPr>
              <w:rPr>
                <w:rFonts w:ascii="Times New Roman" w:hAnsi="Times New Roman" w:cs="Times New Roman"/>
                <w:b/>
                <w:color w:val="000000"/>
              </w:rPr>
            </w:pPr>
            <w:r w:rsidRPr="008249BF">
              <w:rPr>
                <w:rFonts w:ascii="Times New Roman" w:hAnsi="Times New Roman" w:cs="Times New Roman"/>
                <w:b/>
              </w:rPr>
              <w:t>Figure 3.6</w:t>
            </w:r>
          </w:p>
        </w:tc>
        <w:tc>
          <w:tcPr>
            <w:tcW w:w="6580" w:type="dxa"/>
          </w:tcPr>
          <w:p w:rsidR="003205E5" w:rsidRPr="008249BF" w:rsidRDefault="003205E5" w:rsidP="003673FE">
            <w:pPr>
              <w:rPr>
                <w:rFonts w:ascii="Times New Roman" w:hAnsi="Times New Roman" w:cs="Times New Roman"/>
                <w:color w:val="000000"/>
              </w:rPr>
            </w:pPr>
            <w:r w:rsidRPr="008249BF">
              <w:rPr>
                <w:rFonts w:ascii="Times New Roman" w:hAnsi="Times New Roman" w:cs="Times New Roman"/>
                <w:bCs/>
              </w:rPr>
              <w:t>Differential lectin labelling of the ovococci</w:t>
            </w:r>
          </w:p>
        </w:tc>
        <w:tc>
          <w:tcPr>
            <w:tcW w:w="571" w:type="dxa"/>
            <w:tcMar>
              <w:left w:w="28" w:type="dxa"/>
            </w:tcMar>
          </w:tcPr>
          <w:p w:rsidR="003205E5" w:rsidRPr="008249BF" w:rsidRDefault="003205E5" w:rsidP="003673FE">
            <w:pPr>
              <w:rPr>
                <w:rFonts w:ascii="Times New Roman" w:hAnsi="Times New Roman" w:cs="Times New Roman"/>
                <w:color w:val="000000"/>
              </w:rPr>
            </w:pPr>
            <w:r w:rsidRPr="008249BF">
              <w:rPr>
                <w:rFonts w:ascii="Times New Roman" w:hAnsi="Times New Roman" w:cs="Times New Roman"/>
                <w:bCs/>
              </w:rPr>
              <w:t>124</w:t>
            </w:r>
          </w:p>
        </w:tc>
      </w:tr>
      <w:tr w:rsidR="003205E5" w:rsidTr="008C31BA">
        <w:tc>
          <w:tcPr>
            <w:tcW w:w="1363" w:type="dxa"/>
          </w:tcPr>
          <w:p w:rsidR="003205E5" w:rsidRPr="008249BF" w:rsidRDefault="003205E5" w:rsidP="003205E5">
            <w:pPr>
              <w:rPr>
                <w:rFonts w:ascii="Times New Roman" w:hAnsi="Times New Roman" w:cs="Times New Roman"/>
                <w:b/>
                <w:color w:val="000000"/>
              </w:rPr>
            </w:pPr>
            <w:r w:rsidRPr="008249BF">
              <w:rPr>
                <w:rFonts w:ascii="Times New Roman" w:hAnsi="Times New Roman" w:cs="Times New Roman"/>
                <w:b/>
              </w:rPr>
              <w:t>Figure 3.7</w:t>
            </w:r>
          </w:p>
        </w:tc>
        <w:tc>
          <w:tcPr>
            <w:tcW w:w="6580" w:type="dxa"/>
          </w:tcPr>
          <w:p w:rsidR="003205E5" w:rsidRPr="008249BF" w:rsidRDefault="003205E5" w:rsidP="003673FE">
            <w:pPr>
              <w:rPr>
                <w:rFonts w:ascii="Times New Roman" w:hAnsi="Times New Roman" w:cs="Times New Roman"/>
                <w:color w:val="000000"/>
              </w:rPr>
            </w:pPr>
            <w:r w:rsidRPr="008249BF">
              <w:rPr>
                <w:rFonts w:ascii="Times New Roman" w:eastAsia="+mn-ea" w:hAnsi="Times New Roman" w:cs="Times New Roman"/>
                <w:bCs/>
              </w:rPr>
              <w:t xml:space="preserve">Field of </w:t>
            </w:r>
            <w:r w:rsidRPr="008249BF">
              <w:rPr>
                <w:rFonts w:ascii="Times New Roman" w:eastAsia="+mn-ea" w:hAnsi="Times New Roman" w:cs="Times New Roman"/>
                <w:bCs/>
                <w:i/>
              </w:rPr>
              <w:t>S. pneumoniae</w:t>
            </w:r>
            <w:r w:rsidRPr="008249BF">
              <w:rPr>
                <w:rFonts w:ascii="Times New Roman" w:eastAsia="+mn-ea" w:hAnsi="Times New Roman" w:cs="Times New Roman"/>
                <w:bCs/>
              </w:rPr>
              <w:t xml:space="preserve"> extracted cell walls</w:t>
            </w:r>
          </w:p>
        </w:tc>
        <w:tc>
          <w:tcPr>
            <w:tcW w:w="571" w:type="dxa"/>
            <w:tcMar>
              <w:left w:w="28" w:type="dxa"/>
            </w:tcMar>
          </w:tcPr>
          <w:p w:rsidR="003205E5" w:rsidRPr="008249BF" w:rsidRDefault="003205E5" w:rsidP="003673FE">
            <w:pPr>
              <w:rPr>
                <w:rFonts w:ascii="Times New Roman" w:hAnsi="Times New Roman" w:cs="Times New Roman"/>
                <w:color w:val="000000"/>
              </w:rPr>
            </w:pPr>
            <w:r w:rsidRPr="008249BF">
              <w:rPr>
                <w:rFonts w:ascii="Times New Roman" w:eastAsia="+mn-ea" w:hAnsi="Times New Roman" w:cs="Times New Roman"/>
                <w:bCs/>
              </w:rPr>
              <w:t>127</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3.8</w:t>
            </w:r>
          </w:p>
        </w:tc>
        <w:tc>
          <w:tcPr>
            <w:tcW w:w="6580" w:type="dxa"/>
          </w:tcPr>
          <w:p w:rsidR="003205E5" w:rsidRPr="008249BF" w:rsidRDefault="003205E5" w:rsidP="003673FE">
            <w:pPr>
              <w:rPr>
                <w:rFonts w:ascii="Times New Roman" w:eastAsia="+mn-ea" w:hAnsi="Times New Roman" w:cs="Times New Roman"/>
                <w:bCs/>
              </w:rPr>
            </w:pPr>
            <w:r w:rsidRPr="008249BF">
              <w:rPr>
                <w:rFonts w:ascii="Times New Roman" w:hAnsi="Times New Roman" w:cs="Times New Roman"/>
              </w:rPr>
              <w:t>Architecture of ovococcal cell walls</w:t>
            </w:r>
          </w:p>
        </w:tc>
        <w:tc>
          <w:tcPr>
            <w:tcW w:w="571" w:type="dxa"/>
            <w:tcMar>
              <w:left w:w="28" w:type="dxa"/>
            </w:tcMar>
          </w:tcPr>
          <w:p w:rsidR="003205E5" w:rsidRPr="008249BF" w:rsidRDefault="003205E5" w:rsidP="003673FE">
            <w:pPr>
              <w:rPr>
                <w:rFonts w:ascii="Times New Roman" w:eastAsia="+mn-ea" w:hAnsi="Times New Roman" w:cs="Times New Roman"/>
                <w:bCs/>
              </w:rPr>
            </w:pPr>
            <w:r w:rsidRPr="008249BF">
              <w:rPr>
                <w:rFonts w:ascii="Times New Roman" w:hAnsi="Times New Roman" w:cs="Times New Roman"/>
              </w:rPr>
              <w:t>128</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3.9</w:t>
            </w:r>
          </w:p>
        </w:tc>
        <w:tc>
          <w:tcPr>
            <w:tcW w:w="6580" w:type="dxa"/>
          </w:tcPr>
          <w:p w:rsidR="003205E5" w:rsidRPr="008249BF" w:rsidRDefault="003205E5" w:rsidP="003673FE">
            <w:pPr>
              <w:rPr>
                <w:rFonts w:ascii="Times New Roman" w:eastAsia="+mn-ea" w:hAnsi="Times New Roman" w:cs="Times New Roman"/>
                <w:bCs/>
              </w:rPr>
            </w:pPr>
            <w:r w:rsidRPr="008249BF">
              <w:rPr>
                <w:rFonts w:ascii="Times New Roman" w:hAnsi="Times New Roman" w:cs="Times New Roman"/>
              </w:rPr>
              <w:t>Single leaf thickness measurements of extracted cell walls and purified peptidoglycan sacculi</w:t>
            </w:r>
          </w:p>
        </w:tc>
        <w:tc>
          <w:tcPr>
            <w:tcW w:w="571" w:type="dxa"/>
            <w:tcMar>
              <w:left w:w="28" w:type="dxa"/>
            </w:tcMar>
          </w:tcPr>
          <w:p w:rsidR="003205E5" w:rsidRPr="008249BF" w:rsidRDefault="003205E5" w:rsidP="003673FE">
            <w:pPr>
              <w:rPr>
                <w:rFonts w:ascii="Times New Roman" w:eastAsia="+mn-ea" w:hAnsi="Times New Roman" w:cs="Times New Roman"/>
                <w:bCs/>
              </w:rPr>
            </w:pPr>
            <w:r w:rsidRPr="008249BF">
              <w:rPr>
                <w:rFonts w:ascii="Times New Roman" w:hAnsi="Times New Roman" w:cs="Times New Roman"/>
              </w:rPr>
              <w:t>130</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3.10</w:t>
            </w:r>
          </w:p>
        </w:tc>
        <w:tc>
          <w:tcPr>
            <w:tcW w:w="6580" w:type="dxa"/>
          </w:tcPr>
          <w:p w:rsidR="003205E5" w:rsidRPr="008249BF" w:rsidRDefault="003205E5" w:rsidP="003673FE">
            <w:pPr>
              <w:rPr>
                <w:rFonts w:ascii="Times New Roman" w:eastAsia="+mn-ea" w:hAnsi="Times New Roman" w:cs="Times New Roman"/>
                <w:bCs/>
              </w:rPr>
            </w:pPr>
            <w:r w:rsidRPr="008249BF">
              <w:rPr>
                <w:rFonts w:ascii="Times New Roman" w:hAnsi="Times New Roman" w:cs="Times New Roman"/>
              </w:rPr>
              <w:t xml:space="preserve">AFM imaging of </w:t>
            </w:r>
            <w:r w:rsidRPr="008249BF">
              <w:rPr>
                <w:rFonts w:ascii="Times New Roman" w:hAnsi="Times New Roman" w:cs="Times New Roman"/>
                <w:i/>
              </w:rPr>
              <w:t xml:space="preserve">S. pneumoniae </w:t>
            </w:r>
            <w:r w:rsidRPr="008249BF">
              <w:rPr>
                <w:rFonts w:ascii="Times New Roman" w:hAnsi="Times New Roman" w:cs="Times New Roman"/>
              </w:rPr>
              <w:t>purified peptidoglycan sacculi</w:t>
            </w:r>
          </w:p>
        </w:tc>
        <w:tc>
          <w:tcPr>
            <w:tcW w:w="571" w:type="dxa"/>
            <w:tcMar>
              <w:left w:w="28" w:type="dxa"/>
            </w:tcMar>
          </w:tcPr>
          <w:p w:rsidR="003205E5" w:rsidRPr="008249BF" w:rsidRDefault="003205E5" w:rsidP="003673FE">
            <w:pPr>
              <w:rPr>
                <w:rFonts w:ascii="Times New Roman" w:eastAsia="+mn-ea" w:hAnsi="Times New Roman" w:cs="Times New Roman"/>
                <w:bCs/>
              </w:rPr>
            </w:pPr>
            <w:r w:rsidRPr="008249BF">
              <w:rPr>
                <w:rFonts w:ascii="Times New Roman" w:eastAsia="+mn-ea" w:hAnsi="Times New Roman" w:cs="Times New Roman"/>
                <w:bCs/>
              </w:rPr>
              <w:t>133</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3.11</w:t>
            </w:r>
          </w:p>
        </w:tc>
        <w:tc>
          <w:tcPr>
            <w:tcW w:w="6580" w:type="dxa"/>
          </w:tcPr>
          <w:p w:rsidR="003205E5" w:rsidRPr="008249BF" w:rsidRDefault="003205E5" w:rsidP="003673FE">
            <w:pPr>
              <w:rPr>
                <w:rFonts w:ascii="Times New Roman" w:eastAsia="+mn-ea" w:hAnsi="Times New Roman" w:cs="Times New Roman"/>
                <w:bCs/>
              </w:rPr>
            </w:pPr>
            <w:r w:rsidRPr="008249BF">
              <w:rPr>
                <w:rFonts w:ascii="Times New Roman" w:hAnsi="Times New Roman" w:cs="Times New Roman"/>
              </w:rPr>
              <w:t>The peptidoglycan architecture on the sacculus exterior in ovococci</w:t>
            </w:r>
          </w:p>
        </w:tc>
        <w:tc>
          <w:tcPr>
            <w:tcW w:w="571" w:type="dxa"/>
            <w:tcMar>
              <w:left w:w="28" w:type="dxa"/>
            </w:tcMar>
          </w:tcPr>
          <w:p w:rsidR="003205E5" w:rsidRPr="008249BF" w:rsidRDefault="003205E5" w:rsidP="003673FE">
            <w:pPr>
              <w:rPr>
                <w:rFonts w:ascii="Times New Roman" w:eastAsia="+mn-ea" w:hAnsi="Times New Roman" w:cs="Times New Roman"/>
                <w:bCs/>
              </w:rPr>
            </w:pPr>
            <w:r w:rsidRPr="008249BF">
              <w:rPr>
                <w:rFonts w:ascii="Times New Roman" w:hAnsi="Times New Roman" w:cs="Times New Roman"/>
              </w:rPr>
              <w:t>134</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3.12</w:t>
            </w:r>
          </w:p>
        </w:tc>
        <w:tc>
          <w:tcPr>
            <w:tcW w:w="6580" w:type="dxa"/>
          </w:tcPr>
          <w:p w:rsidR="003205E5" w:rsidRPr="008249BF" w:rsidRDefault="003205E5" w:rsidP="003673FE">
            <w:pPr>
              <w:rPr>
                <w:rFonts w:ascii="Times New Roman" w:eastAsia="+mn-ea" w:hAnsi="Times New Roman" w:cs="Times New Roman"/>
                <w:bCs/>
              </w:rPr>
            </w:pPr>
            <w:r w:rsidRPr="008249BF">
              <w:rPr>
                <w:rFonts w:ascii="Times New Roman" w:hAnsi="Times New Roman" w:cs="Times New Roman"/>
                <w:bCs/>
              </w:rPr>
              <w:t>Gallery of septal peptidoglycan architecture of the ovococci</w:t>
            </w:r>
          </w:p>
        </w:tc>
        <w:tc>
          <w:tcPr>
            <w:tcW w:w="571" w:type="dxa"/>
            <w:tcMar>
              <w:left w:w="28" w:type="dxa"/>
            </w:tcMar>
          </w:tcPr>
          <w:p w:rsidR="003205E5" w:rsidRPr="008249BF" w:rsidRDefault="003205E5" w:rsidP="003673FE">
            <w:pPr>
              <w:rPr>
                <w:rFonts w:ascii="Times New Roman" w:eastAsia="+mn-ea" w:hAnsi="Times New Roman" w:cs="Times New Roman"/>
                <w:bCs/>
              </w:rPr>
            </w:pPr>
            <w:r w:rsidRPr="008249BF">
              <w:rPr>
                <w:rFonts w:ascii="Times New Roman" w:hAnsi="Times New Roman" w:cs="Times New Roman"/>
                <w:bCs/>
              </w:rPr>
              <w:t>136</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3.13</w:t>
            </w:r>
          </w:p>
        </w:tc>
        <w:tc>
          <w:tcPr>
            <w:tcW w:w="6580" w:type="dxa"/>
          </w:tcPr>
          <w:p w:rsidR="003205E5" w:rsidRPr="008249BF" w:rsidRDefault="003205E5" w:rsidP="003673FE">
            <w:pPr>
              <w:rPr>
                <w:rFonts w:ascii="Times New Roman" w:eastAsia="+mn-ea" w:hAnsi="Times New Roman" w:cs="Times New Roman"/>
                <w:bCs/>
              </w:rPr>
            </w:pPr>
            <w:r w:rsidRPr="008249BF">
              <w:rPr>
                <w:rFonts w:ascii="Times New Roman" w:hAnsi="Times New Roman" w:cs="Times New Roman"/>
              </w:rPr>
              <w:t xml:space="preserve">AFM gallery showing the interior peptidoglycan architecture of </w:t>
            </w:r>
            <w:r w:rsidRPr="008249BF">
              <w:rPr>
                <w:rFonts w:ascii="Times New Roman" w:hAnsi="Times New Roman" w:cs="Times New Roman"/>
                <w:i/>
              </w:rPr>
              <w:t>S. pneumoniae</w:t>
            </w:r>
            <w:r w:rsidRPr="008249BF">
              <w:rPr>
                <w:rFonts w:ascii="Times New Roman" w:hAnsi="Times New Roman" w:cs="Times New Roman"/>
              </w:rPr>
              <w:t xml:space="preserve"> sacculi</w:t>
            </w:r>
          </w:p>
        </w:tc>
        <w:tc>
          <w:tcPr>
            <w:tcW w:w="571" w:type="dxa"/>
            <w:tcMar>
              <w:left w:w="28" w:type="dxa"/>
            </w:tcMar>
          </w:tcPr>
          <w:p w:rsidR="003205E5" w:rsidRPr="008249BF" w:rsidRDefault="003205E5" w:rsidP="003673FE">
            <w:pPr>
              <w:rPr>
                <w:rFonts w:ascii="Times New Roman" w:eastAsia="+mn-ea" w:hAnsi="Times New Roman" w:cs="Times New Roman"/>
                <w:bCs/>
              </w:rPr>
            </w:pPr>
            <w:r w:rsidRPr="008249BF">
              <w:rPr>
                <w:rFonts w:ascii="Times New Roman" w:hAnsi="Times New Roman" w:cs="Times New Roman"/>
              </w:rPr>
              <w:t>138</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3.14</w:t>
            </w:r>
          </w:p>
        </w:tc>
        <w:tc>
          <w:tcPr>
            <w:tcW w:w="6580" w:type="dxa"/>
          </w:tcPr>
          <w:p w:rsidR="003205E5" w:rsidRPr="008249BF" w:rsidRDefault="003205E5" w:rsidP="003673FE">
            <w:pPr>
              <w:rPr>
                <w:rFonts w:ascii="Times New Roman" w:eastAsia="+mn-ea" w:hAnsi="Times New Roman" w:cs="Times New Roman"/>
                <w:bCs/>
              </w:rPr>
            </w:pPr>
            <w:r w:rsidRPr="008249BF">
              <w:rPr>
                <w:rFonts w:ascii="Times New Roman" w:hAnsi="Times New Roman" w:cs="Times New Roman"/>
              </w:rPr>
              <w:t xml:space="preserve">Interior peptidoglycan architecture of </w:t>
            </w:r>
            <w:r w:rsidRPr="008249BF">
              <w:rPr>
                <w:rFonts w:ascii="Times New Roman" w:hAnsi="Times New Roman" w:cs="Times New Roman"/>
                <w:i/>
              </w:rPr>
              <w:t>L. lactis and E. faecalis</w:t>
            </w:r>
          </w:p>
        </w:tc>
        <w:tc>
          <w:tcPr>
            <w:tcW w:w="571" w:type="dxa"/>
            <w:tcMar>
              <w:left w:w="28" w:type="dxa"/>
            </w:tcMar>
          </w:tcPr>
          <w:p w:rsidR="003205E5" w:rsidRPr="008249BF" w:rsidRDefault="003205E5" w:rsidP="003673FE">
            <w:pPr>
              <w:rPr>
                <w:rFonts w:ascii="Times New Roman" w:eastAsia="+mn-ea" w:hAnsi="Times New Roman" w:cs="Times New Roman"/>
                <w:bCs/>
              </w:rPr>
            </w:pPr>
            <w:r w:rsidRPr="008249BF">
              <w:rPr>
                <w:rFonts w:ascii="Times New Roman" w:hAnsi="Times New Roman" w:cs="Times New Roman"/>
              </w:rPr>
              <w:t>140</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w:t>
            </w:r>
            <w:r w:rsidR="00F1540B">
              <w:rPr>
                <w:rFonts w:ascii="Times New Roman" w:hAnsi="Times New Roman" w:cs="Times New Roman"/>
                <w:b/>
              </w:rPr>
              <w:t>ure</w:t>
            </w:r>
            <w:r w:rsidRPr="008249BF">
              <w:rPr>
                <w:rFonts w:ascii="Times New Roman" w:hAnsi="Times New Roman" w:cs="Times New Roman"/>
                <w:b/>
              </w:rPr>
              <w:t xml:space="preserve"> 3.15</w:t>
            </w:r>
          </w:p>
        </w:tc>
        <w:tc>
          <w:tcPr>
            <w:tcW w:w="6580" w:type="dxa"/>
          </w:tcPr>
          <w:p w:rsidR="003205E5" w:rsidRPr="008249BF" w:rsidRDefault="003205E5" w:rsidP="003673FE">
            <w:pPr>
              <w:rPr>
                <w:rFonts w:ascii="Times New Roman" w:eastAsia="+mn-ea" w:hAnsi="Times New Roman" w:cs="Times New Roman"/>
                <w:bCs/>
              </w:rPr>
            </w:pPr>
            <w:r w:rsidRPr="008249BF">
              <w:rPr>
                <w:rFonts w:ascii="Times New Roman" w:hAnsi="Times New Roman" w:cs="Times New Roman"/>
              </w:rPr>
              <w:t>Structured Illumination OMX microscopy of vancomycin labelled ovococci</w:t>
            </w:r>
          </w:p>
        </w:tc>
        <w:tc>
          <w:tcPr>
            <w:tcW w:w="571" w:type="dxa"/>
            <w:tcMar>
              <w:left w:w="28" w:type="dxa"/>
            </w:tcMar>
          </w:tcPr>
          <w:p w:rsidR="003205E5" w:rsidRPr="008249BF" w:rsidRDefault="003205E5" w:rsidP="003673FE">
            <w:pPr>
              <w:rPr>
                <w:rFonts w:ascii="Times New Roman" w:eastAsia="+mn-ea" w:hAnsi="Times New Roman" w:cs="Times New Roman"/>
                <w:bCs/>
              </w:rPr>
            </w:pPr>
            <w:r w:rsidRPr="008249BF">
              <w:rPr>
                <w:rFonts w:ascii="Times New Roman" w:hAnsi="Times New Roman" w:cs="Times New Roman"/>
              </w:rPr>
              <w:t>142</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eastAsia="Calibri" w:hAnsi="Times New Roman" w:cs="Times New Roman"/>
                <w:b/>
              </w:rPr>
              <w:t>Figure 3.16</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rPr>
              <w:t>Comparison between deconvolution microscopy and structured illumination microscopy of vancomycin labelled ovococci</w:t>
            </w:r>
          </w:p>
        </w:tc>
        <w:tc>
          <w:tcPr>
            <w:tcW w:w="571" w:type="dxa"/>
            <w:tcMar>
              <w:left w:w="28" w:type="dxa"/>
            </w:tcMar>
          </w:tcPr>
          <w:p w:rsidR="003205E5" w:rsidRPr="008249BF" w:rsidRDefault="003205E5" w:rsidP="003205E5">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8504"/>
              </w:tabs>
              <w:rPr>
                <w:rFonts w:ascii="Times New Roman" w:hAnsi="Times New Roman" w:cs="Times New Roman"/>
              </w:rPr>
            </w:pPr>
            <w:r w:rsidRPr="008249BF">
              <w:rPr>
                <w:rFonts w:ascii="Times New Roman" w:hAnsi="Times New Roman" w:cs="Times New Roman"/>
              </w:rPr>
              <w:t>144</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3.17</w:t>
            </w:r>
          </w:p>
        </w:tc>
        <w:tc>
          <w:tcPr>
            <w:tcW w:w="6580" w:type="dxa"/>
          </w:tcPr>
          <w:p w:rsidR="003205E5" w:rsidRPr="008249BF" w:rsidRDefault="003205E5" w:rsidP="003673FE">
            <w:pPr>
              <w:rPr>
                <w:rFonts w:ascii="Times New Roman" w:hAnsi="Times New Roman" w:cs="Times New Roman"/>
              </w:rPr>
            </w:pPr>
            <w:r w:rsidRPr="008249BF">
              <w:rPr>
                <w:rFonts w:ascii="Times New Roman" w:eastAsia="+mn-ea" w:hAnsi="Times New Roman" w:cs="Times New Roman"/>
                <w:bCs/>
              </w:rPr>
              <w:t>Peptidoglycan synthesis during growth and division of the ovococci</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eastAsia="+mn-ea" w:hAnsi="Times New Roman" w:cs="Times New Roman"/>
                <w:bCs/>
              </w:rPr>
              <w:t>148</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eastAsia="+mn-ea" w:hAnsi="Times New Roman" w:cs="Times New Roman"/>
                <w:b/>
                <w:bCs/>
              </w:rPr>
              <w:t>Figure 3.18</w:t>
            </w:r>
          </w:p>
        </w:tc>
        <w:tc>
          <w:tcPr>
            <w:tcW w:w="6580" w:type="dxa"/>
          </w:tcPr>
          <w:p w:rsidR="003205E5" w:rsidRPr="008249BF" w:rsidRDefault="003205E5" w:rsidP="003673FE">
            <w:pPr>
              <w:rPr>
                <w:rFonts w:ascii="Times New Roman" w:eastAsia="+mn-ea" w:hAnsi="Times New Roman" w:cs="Times New Roman"/>
                <w:bCs/>
              </w:rPr>
            </w:pPr>
            <w:r w:rsidRPr="008249BF">
              <w:rPr>
                <w:rFonts w:ascii="Times New Roman" w:eastAsia="+mn-ea" w:hAnsi="Times New Roman" w:cs="Times New Roman"/>
                <w:bCs/>
              </w:rPr>
              <w:t>Dynamics of cell growth and division in ovococci</w:t>
            </w:r>
          </w:p>
        </w:tc>
        <w:tc>
          <w:tcPr>
            <w:tcW w:w="571" w:type="dxa"/>
            <w:tcMar>
              <w:left w:w="28" w:type="dxa"/>
            </w:tcMar>
          </w:tcPr>
          <w:p w:rsidR="003205E5" w:rsidRPr="008249BF" w:rsidRDefault="003205E5" w:rsidP="003673FE">
            <w:pPr>
              <w:rPr>
                <w:rFonts w:ascii="Times New Roman" w:eastAsia="+mn-ea" w:hAnsi="Times New Roman" w:cs="Times New Roman"/>
                <w:bCs/>
              </w:rPr>
            </w:pPr>
            <w:r w:rsidRPr="008249BF">
              <w:rPr>
                <w:rFonts w:ascii="Times New Roman" w:eastAsia="+mn-ea" w:hAnsi="Times New Roman" w:cs="Times New Roman"/>
                <w:bCs/>
              </w:rPr>
              <w:t>150</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3.19</w:t>
            </w:r>
          </w:p>
        </w:tc>
        <w:tc>
          <w:tcPr>
            <w:tcW w:w="6580" w:type="dxa"/>
          </w:tcPr>
          <w:p w:rsidR="003205E5" w:rsidRPr="008249BF" w:rsidRDefault="003205E5" w:rsidP="003673FE">
            <w:pPr>
              <w:rPr>
                <w:rFonts w:ascii="Times New Roman" w:eastAsia="+mn-ea" w:hAnsi="Times New Roman" w:cs="Times New Roman"/>
                <w:bCs/>
              </w:rPr>
            </w:pPr>
            <w:r w:rsidRPr="008249BF">
              <w:rPr>
                <w:rFonts w:ascii="Times New Roman" w:hAnsi="Times New Roman" w:cs="Times New Roman"/>
              </w:rPr>
              <w:t>Model of peptidoglycan architecture in a dividing ovococcus</w:t>
            </w:r>
          </w:p>
        </w:tc>
        <w:tc>
          <w:tcPr>
            <w:tcW w:w="571" w:type="dxa"/>
            <w:tcMar>
              <w:left w:w="28" w:type="dxa"/>
            </w:tcMar>
          </w:tcPr>
          <w:p w:rsidR="003205E5" w:rsidRPr="008249BF" w:rsidRDefault="003205E5" w:rsidP="003673FE">
            <w:pPr>
              <w:rPr>
                <w:rFonts w:ascii="Times New Roman" w:eastAsia="+mn-ea" w:hAnsi="Times New Roman" w:cs="Times New Roman"/>
                <w:bCs/>
              </w:rPr>
            </w:pPr>
            <w:r w:rsidRPr="008249BF">
              <w:rPr>
                <w:rFonts w:ascii="Times New Roman" w:hAnsi="Times New Roman" w:cs="Times New Roman"/>
              </w:rPr>
              <w:t>154</w:t>
            </w:r>
          </w:p>
        </w:tc>
      </w:tr>
      <w:tr w:rsidR="008249BF" w:rsidTr="008C31BA">
        <w:tc>
          <w:tcPr>
            <w:tcW w:w="1363" w:type="dxa"/>
          </w:tcPr>
          <w:p w:rsidR="008249BF" w:rsidRPr="008249BF" w:rsidRDefault="008249BF" w:rsidP="003673FE">
            <w:pPr>
              <w:rPr>
                <w:rFonts w:ascii="Times New Roman" w:hAnsi="Times New Roman" w:cs="Times New Roman"/>
                <w:b/>
              </w:rPr>
            </w:pPr>
          </w:p>
        </w:tc>
        <w:tc>
          <w:tcPr>
            <w:tcW w:w="6580" w:type="dxa"/>
          </w:tcPr>
          <w:p w:rsidR="008249BF" w:rsidRPr="008249BF" w:rsidRDefault="008249BF" w:rsidP="003673FE">
            <w:pPr>
              <w:rPr>
                <w:rFonts w:ascii="Times New Roman" w:hAnsi="Times New Roman" w:cs="Times New Roman"/>
              </w:rPr>
            </w:pPr>
          </w:p>
        </w:tc>
        <w:tc>
          <w:tcPr>
            <w:tcW w:w="571" w:type="dxa"/>
            <w:tcMar>
              <w:left w:w="28" w:type="dxa"/>
            </w:tcMar>
          </w:tcPr>
          <w:p w:rsidR="008249BF" w:rsidRPr="008249BF" w:rsidRDefault="008249BF" w:rsidP="003673FE">
            <w:pPr>
              <w:rPr>
                <w:rFonts w:ascii="Times New Roman" w:hAnsi="Times New Roman" w:cs="Times New Roman"/>
              </w:rPr>
            </w:pP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4.1</w:t>
            </w:r>
          </w:p>
        </w:tc>
        <w:tc>
          <w:tcPr>
            <w:tcW w:w="6580" w:type="dxa"/>
          </w:tcPr>
          <w:p w:rsidR="003205E5" w:rsidRPr="008249BF" w:rsidRDefault="003205E5" w:rsidP="003673FE">
            <w:pPr>
              <w:rPr>
                <w:rFonts w:ascii="Times New Roman" w:eastAsia="+mn-ea" w:hAnsi="Times New Roman" w:cs="Times New Roman"/>
                <w:bCs/>
              </w:rPr>
            </w:pPr>
            <w:r w:rsidRPr="008249BF">
              <w:rPr>
                <w:rFonts w:ascii="Times New Roman" w:hAnsi="Times New Roman" w:cs="Times New Roman"/>
              </w:rPr>
              <w:t xml:space="preserve">AFM analysis of purified </w:t>
            </w:r>
            <w:r w:rsidRPr="008249BF">
              <w:rPr>
                <w:rFonts w:ascii="Times New Roman" w:hAnsi="Times New Roman" w:cs="Times New Roman"/>
                <w:i/>
              </w:rPr>
              <w:t xml:space="preserve">S. aureus </w:t>
            </w:r>
            <w:r w:rsidRPr="008249BF">
              <w:rPr>
                <w:rFonts w:ascii="Times New Roman" w:hAnsi="Times New Roman" w:cs="Times New Roman"/>
              </w:rPr>
              <w:t>sacculi</w:t>
            </w:r>
          </w:p>
        </w:tc>
        <w:tc>
          <w:tcPr>
            <w:tcW w:w="571" w:type="dxa"/>
            <w:tcMar>
              <w:left w:w="28" w:type="dxa"/>
            </w:tcMar>
          </w:tcPr>
          <w:p w:rsidR="003205E5" w:rsidRPr="008249BF" w:rsidRDefault="003205E5" w:rsidP="003673FE">
            <w:pPr>
              <w:rPr>
                <w:rFonts w:ascii="Times New Roman" w:eastAsia="+mn-ea" w:hAnsi="Times New Roman" w:cs="Times New Roman"/>
                <w:bCs/>
              </w:rPr>
            </w:pPr>
            <w:r w:rsidRPr="008249BF">
              <w:rPr>
                <w:rFonts w:ascii="Times New Roman" w:hAnsi="Times New Roman" w:cs="Times New Roman"/>
              </w:rPr>
              <w:t>161</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4.2</w:t>
            </w:r>
          </w:p>
        </w:tc>
        <w:tc>
          <w:tcPr>
            <w:tcW w:w="6580" w:type="dxa"/>
          </w:tcPr>
          <w:p w:rsidR="003205E5" w:rsidRPr="008249BF" w:rsidRDefault="003205E5" w:rsidP="003673FE">
            <w:pPr>
              <w:rPr>
                <w:rFonts w:ascii="Times New Roman" w:eastAsia="+mn-ea" w:hAnsi="Times New Roman" w:cs="Times New Roman"/>
                <w:bCs/>
              </w:rPr>
            </w:pPr>
            <w:r w:rsidRPr="008249BF">
              <w:rPr>
                <w:rFonts w:ascii="Times New Roman" w:hAnsi="Times New Roman" w:cs="Times New Roman"/>
              </w:rPr>
              <w:t xml:space="preserve">Architecture of the peptidoglycan “piecrust” feature associated with septation in </w:t>
            </w:r>
            <w:r w:rsidRPr="008249BF">
              <w:rPr>
                <w:rFonts w:ascii="Times New Roman" w:hAnsi="Times New Roman" w:cs="Times New Roman"/>
                <w:i/>
              </w:rPr>
              <w:t>S. aureus</w:t>
            </w:r>
          </w:p>
        </w:tc>
        <w:tc>
          <w:tcPr>
            <w:tcW w:w="571" w:type="dxa"/>
            <w:tcMar>
              <w:left w:w="28" w:type="dxa"/>
            </w:tcMar>
          </w:tcPr>
          <w:p w:rsidR="003205E5" w:rsidRPr="008249BF" w:rsidRDefault="003205E5" w:rsidP="003673FE">
            <w:pPr>
              <w:rPr>
                <w:rFonts w:ascii="Times New Roman" w:eastAsia="+mn-ea" w:hAnsi="Times New Roman" w:cs="Times New Roman"/>
                <w:bCs/>
              </w:rPr>
            </w:pPr>
            <w:r w:rsidRPr="008249BF">
              <w:rPr>
                <w:rFonts w:ascii="Times New Roman" w:hAnsi="Times New Roman" w:cs="Times New Roman"/>
              </w:rPr>
              <w:t>162</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4.3</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rPr>
              <w:t xml:space="preserve">Peptidoglycan architecture of the nascent and mature cell wall hemispheres of </w:t>
            </w:r>
            <w:r w:rsidRPr="008249BF">
              <w:rPr>
                <w:rFonts w:ascii="Times New Roman" w:hAnsi="Times New Roman" w:cs="Times New Roman"/>
                <w:i/>
              </w:rPr>
              <w:t>S. aureus</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rPr>
              <w:t>168</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4.4</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rPr>
              <w:t xml:space="preserve">Dynamics of nascent peptidoglycan synthesis and daughter cell separation in </w:t>
            </w:r>
            <w:r w:rsidRPr="008249BF">
              <w:rPr>
                <w:rFonts w:ascii="Times New Roman" w:hAnsi="Times New Roman" w:cs="Times New Roman"/>
                <w:i/>
              </w:rPr>
              <w:t>S. aureus</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rPr>
              <w:t>171</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lastRenderedPageBreak/>
              <w:t>Figure 4.5</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rPr>
              <w:t xml:space="preserve">Architecture of orthogonal peptidoglycan ribs in </w:t>
            </w:r>
            <w:r w:rsidRPr="008249BF">
              <w:rPr>
                <w:rFonts w:ascii="Times New Roman" w:hAnsi="Times New Roman" w:cs="Times New Roman"/>
                <w:i/>
              </w:rPr>
              <w:t>S. aureus</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rPr>
              <w:t>173</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4.6</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rPr>
              <w:t>Inheritance of peptidoglycan ribs</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rPr>
              <w:t>174</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4.7</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rPr>
              <w:t xml:space="preserve">Inheritance of peptidoglycan in </w:t>
            </w:r>
            <w:r w:rsidRPr="008249BF">
              <w:rPr>
                <w:rFonts w:ascii="Times New Roman" w:hAnsi="Times New Roman" w:cs="Times New Roman"/>
                <w:i/>
              </w:rPr>
              <w:t xml:space="preserve">S. aureus </w:t>
            </w:r>
            <w:r w:rsidRPr="008249BF">
              <w:rPr>
                <w:rFonts w:ascii="Times New Roman" w:hAnsi="Times New Roman" w:cs="Times New Roman"/>
              </w:rPr>
              <w:t>revealed by vancomycin labelling</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rPr>
              <w:t>177</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4.8</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rPr>
              <w:t xml:space="preserve">Schematic showing aging of peptidoglycan by inheritance of cell wall sectors over multiple generations in </w:t>
            </w:r>
            <w:r w:rsidRPr="008249BF">
              <w:rPr>
                <w:rFonts w:ascii="Times New Roman" w:hAnsi="Times New Roman" w:cs="Times New Roman"/>
                <w:i/>
              </w:rPr>
              <w:t>S. aureus</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rPr>
              <w:t>178</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4.9</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rPr>
              <w:t>Differential binding of fluorescent peptidoglycan probes</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rPr>
              <w:t>181</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4.10</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rPr>
              <w:t xml:space="preserve">Schematic of candidate target sites for probing peptidoglycan chemistry </w:t>
            </w:r>
            <w:r w:rsidRPr="008249BF">
              <w:rPr>
                <w:rFonts w:ascii="Times New Roman" w:hAnsi="Times New Roman" w:cs="Times New Roman"/>
                <w:i/>
              </w:rPr>
              <w:t>in vivo</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rPr>
              <w:t>183</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4.11</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rPr>
              <w:t>Structure of chemical probes selected for labelling peptidoglycan</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rPr>
              <w:t>186</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4.12</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rPr>
              <w:t>Differential labelling with WGA AlexaFluor 350 and BODIPY SSE in morphologically diverse Gram-positive bacteria</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rPr>
              <w:t>188</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4.13</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rPr>
              <w:t>Treatment with acetic anhydride to block succinimidyl ester binding sites</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rPr>
              <w:t>193</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4.14</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rPr>
              <w:t>BODIPY SSE labelling of amine groups exposed by amidase digest</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rPr>
              <w:t>195</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4.15</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rPr>
              <w:t xml:space="preserve">BODIPY SSE labelling of purified </w:t>
            </w:r>
            <w:r w:rsidRPr="008249BF">
              <w:rPr>
                <w:rFonts w:ascii="Times New Roman" w:hAnsi="Times New Roman" w:cs="Times New Roman"/>
                <w:i/>
              </w:rPr>
              <w:t>B. subtilis</w:t>
            </w:r>
            <w:r w:rsidRPr="008249BF">
              <w:rPr>
                <w:rFonts w:ascii="Times New Roman" w:hAnsi="Times New Roman" w:cs="Times New Roman"/>
              </w:rPr>
              <w:t xml:space="preserve"> sacculi</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rPr>
              <w:t>201</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4.16</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rPr>
              <w:t xml:space="preserve">HAF488 labelling of extracted </w:t>
            </w:r>
            <w:r w:rsidRPr="008249BF">
              <w:rPr>
                <w:rFonts w:ascii="Times New Roman" w:hAnsi="Times New Roman" w:cs="Times New Roman"/>
                <w:i/>
              </w:rPr>
              <w:t xml:space="preserve">S. aureus </w:t>
            </w:r>
            <w:r w:rsidRPr="008249BF">
              <w:rPr>
                <w:rFonts w:ascii="Times New Roman" w:hAnsi="Times New Roman" w:cs="Times New Roman"/>
              </w:rPr>
              <w:t xml:space="preserve">and </w:t>
            </w:r>
            <w:r w:rsidRPr="008249BF">
              <w:rPr>
                <w:rFonts w:ascii="Times New Roman" w:hAnsi="Times New Roman" w:cs="Times New Roman"/>
                <w:i/>
              </w:rPr>
              <w:t xml:space="preserve">B. subtilis </w:t>
            </w:r>
            <w:r w:rsidRPr="008249BF">
              <w:rPr>
                <w:rFonts w:ascii="Times New Roman" w:hAnsi="Times New Roman" w:cs="Times New Roman"/>
              </w:rPr>
              <w:t>cells</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rPr>
              <w:t>204</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4.17</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rPr>
              <w:t xml:space="preserve">HAF488 labelling of </w:t>
            </w:r>
            <w:r w:rsidRPr="008249BF">
              <w:rPr>
                <w:rFonts w:ascii="Times New Roman" w:hAnsi="Times New Roman" w:cs="Times New Roman"/>
                <w:i/>
              </w:rPr>
              <w:t xml:space="preserve">B. subtilis and S. aureus </w:t>
            </w:r>
            <w:r w:rsidRPr="008249BF">
              <w:rPr>
                <w:rFonts w:ascii="Times New Roman" w:hAnsi="Times New Roman" w:cs="Times New Roman"/>
              </w:rPr>
              <w:t>extracted cells treated with HF</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rPr>
              <w:t>206</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4.18</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rPr>
              <w:t xml:space="preserve">HAF488 labelling of broken, purified </w:t>
            </w:r>
            <w:r w:rsidRPr="008249BF">
              <w:rPr>
                <w:rFonts w:ascii="Times New Roman" w:hAnsi="Times New Roman" w:cs="Times New Roman"/>
                <w:i/>
              </w:rPr>
              <w:t xml:space="preserve">S. aureus </w:t>
            </w:r>
            <w:r w:rsidRPr="008249BF">
              <w:rPr>
                <w:rFonts w:ascii="Times New Roman" w:hAnsi="Times New Roman" w:cs="Times New Roman"/>
              </w:rPr>
              <w:t>peptidoglycan sacculi</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rPr>
              <w:t>208</w:t>
            </w:r>
          </w:p>
        </w:tc>
      </w:tr>
      <w:tr w:rsidR="008249BF" w:rsidTr="008C31BA">
        <w:tc>
          <w:tcPr>
            <w:tcW w:w="1363" w:type="dxa"/>
          </w:tcPr>
          <w:p w:rsidR="008249BF" w:rsidRPr="008249BF" w:rsidRDefault="008249BF" w:rsidP="003673FE">
            <w:pPr>
              <w:rPr>
                <w:rFonts w:ascii="Times New Roman" w:hAnsi="Times New Roman" w:cs="Times New Roman"/>
                <w:b/>
              </w:rPr>
            </w:pPr>
          </w:p>
        </w:tc>
        <w:tc>
          <w:tcPr>
            <w:tcW w:w="6580" w:type="dxa"/>
          </w:tcPr>
          <w:p w:rsidR="008249BF" w:rsidRPr="008249BF" w:rsidRDefault="008249BF" w:rsidP="003673FE">
            <w:pPr>
              <w:rPr>
                <w:rFonts w:ascii="Times New Roman" w:hAnsi="Times New Roman" w:cs="Times New Roman"/>
              </w:rPr>
            </w:pPr>
          </w:p>
        </w:tc>
        <w:tc>
          <w:tcPr>
            <w:tcW w:w="571" w:type="dxa"/>
            <w:tcMar>
              <w:left w:w="28" w:type="dxa"/>
            </w:tcMar>
          </w:tcPr>
          <w:p w:rsidR="008249BF" w:rsidRPr="008249BF" w:rsidRDefault="008249BF" w:rsidP="003673FE">
            <w:pPr>
              <w:rPr>
                <w:rFonts w:ascii="Times New Roman" w:hAnsi="Times New Roman" w:cs="Times New Roman"/>
              </w:rPr>
            </w:pP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5.1</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rPr>
              <w:t xml:space="preserve">Domain structure of four putative </w:t>
            </w:r>
            <w:r w:rsidRPr="008249BF">
              <w:rPr>
                <w:rFonts w:ascii="Times New Roman" w:hAnsi="Times New Roman" w:cs="Times New Roman"/>
                <w:i/>
              </w:rPr>
              <w:t>S. aureus</w:t>
            </w:r>
            <w:r w:rsidRPr="008249BF">
              <w:rPr>
                <w:rFonts w:ascii="Times New Roman" w:hAnsi="Times New Roman" w:cs="Times New Roman"/>
              </w:rPr>
              <w:t xml:space="preserve"> glucosaminidases</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rPr>
              <w:t>222</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5.2</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rPr>
              <w:t>Amino acid sequence alignment</w:t>
            </w:r>
            <w:r w:rsidRPr="008249BF">
              <w:rPr>
                <w:rFonts w:ascii="Times New Roman" w:hAnsi="Times New Roman" w:cs="Times New Roman"/>
                <w:i/>
              </w:rPr>
              <w:t xml:space="preserve"> </w:t>
            </w:r>
            <w:r w:rsidRPr="008249BF">
              <w:rPr>
                <w:rFonts w:ascii="Times New Roman" w:hAnsi="Times New Roman" w:cs="Times New Roman"/>
              </w:rPr>
              <w:t xml:space="preserve">of putative </w:t>
            </w:r>
            <w:r w:rsidRPr="008249BF">
              <w:rPr>
                <w:rFonts w:ascii="Times New Roman" w:hAnsi="Times New Roman" w:cs="Times New Roman"/>
                <w:i/>
              </w:rPr>
              <w:t xml:space="preserve">S. aureus </w:t>
            </w:r>
            <w:r w:rsidRPr="008249BF">
              <w:rPr>
                <w:rFonts w:ascii="Times New Roman" w:hAnsi="Times New Roman" w:cs="Times New Roman"/>
              </w:rPr>
              <w:t>glucosaminidases</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rPr>
              <w:t>223</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bCs/>
              </w:rPr>
              <w:t>Figure 5.3</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bCs/>
              </w:rPr>
              <w:t>Overexpression of recombinant Atl(glu) and SagB proteins</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bCs/>
              </w:rPr>
              <w:t>225</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5.4</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rPr>
              <w:t>Peptidoglycan hydrolase activity of putative glucosaminidases rAtl(glu) and rSagB</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rPr>
              <w:t>228</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5.5</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rPr>
              <w:t>Construction of glucosaminidase knockout mutants</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rPr>
              <w:t>233</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5.6</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rPr>
              <w:t>Phenotype anlaysis of glucosaminidase mutants</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rPr>
              <w:t>239</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5.7</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rPr>
              <w:t>Salt sensitivity of triple glucosaminidase mutants</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rPr>
              <w:t>241</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5.8</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rPr>
              <w:t xml:space="preserve">Glycan strand length distribution in </w:t>
            </w:r>
            <w:r w:rsidRPr="008249BF">
              <w:rPr>
                <w:rFonts w:ascii="Times New Roman" w:hAnsi="Times New Roman" w:cs="Times New Roman"/>
                <w:i/>
              </w:rPr>
              <w:t xml:space="preserve">S. aureus </w:t>
            </w:r>
            <w:r w:rsidRPr="008249BF">
              <w:rPr>
                <w:rFonts w:ascii="Times New Roman" w:hAnsi="Times New Roman" w:cs="Times New Roman"/>
              </w:rPr>
              <w:t>triple mutants</w:t>
            </w:r>
          </w:p>
        </w:tc>
        <w:tc>
          <w:tcPr>
            <w:tcW w:w="571" w:type="dxa"/>
            <w:tcMar>
              <w:left w:w="28" w:type="dxa"/>
            </w:tcMar>
          </w:tcPr>
          <w:p w:rsidR="003205E5" w:rsidRPr="008249BF" w:rsidRDefault="003205E5" w:rsidP="003673FE">
            <w:pPr>
              <w:rPr>
                <w:rFonts w:ascii="Times New Roman" w:hAnsi="Times New Roman" w:cs="Times New Roman"/>
              </w:rPr>
            </w:pPr>
            <w:r w:rsidRPr="008249BF">
              <w:rPr>
                <w:rFonts w:ascii="Times New Roman" w:hAnsi="Times New Roman" w:cs="Times New Roman"/>
              </w:rPr>
              <w:t>243</w:t>
            </w:r>
          </w:p>
        </w:tc>
      </w:tr>
      <w:tr w:rsidR="003205E5" w:rsidTr="008C31BA">
        <w:tc>
          <w:tcPr>
            <w:tcW w:w="1363" w:type="dxa"/>
          </w:tcPr>
          <w:p w:rsidR="003205E5" w:rsidRPr="008249BF" w:rsidRDefault="003205E5" w:rsidP="003673FE">
            <w:pPr>
              <w:rPr>
                <w:rFonts w:ascii="Times New Roman" w:hAnsi="Times New Roman" w:cs="Times New Roman"/>
                <w:b/>
              </w:rPr>
            </w:pPr>
            <w:r w:rsidRPr="008249BF">
              <w:rPr>
                <w:rFonts w:ascii="Times New Roman" w:hAnsi="Times New Roman" w:cs="Times New Roman"/>
                <w:b/>
              </w:rPr>
              <w:t>Figure 5.9</w:t>
            </w:r>
          </w:p>
        </w:tc>
        <w:tc>
          <w:tcPr>
            <w:tcW w:w="6580" w:type="dxa"/>
          </w:tcPr>
          <w:p w:rsidR="003205E5" w:rsidRPr="008249BF" w:rsidRDefault="003205E5" w:rsidP="003673FE">
            <w:pPr>
              <w:rPr>
                <w:rFonts w:ascii="Times New Roman" w:hAnsi="Times New Roman" w:cs="Times New Roman"/>
              </w:rPr>
            </w:pPr>
            <w:r w:rsidRPr="008249BF">
              <w:rPr>
                <w:rFonts w:ascii="Times New Roman" w:hAnsi="Times New Roman" w:cs="Times New Roman"/>
              </w:rPr>
              <w:t xml:space="preserve">Construction of the IPTG-inducible </w:t>
            </w:r>
            <w:r w:rsidRPr="008249BF">
              <w:rPr>
                <w:rFonts w:ascii="Times New Roman" w:hAnsi="Times New Roman" w:cs="Times New Roman"/>
                <w:i/>
              </w:rPr>
              <w:t>sagB</w:t>
            </w:r>
            <w:r w:rsidRPr="008249BF">
              <w:rPr>
                <w:rFonts w:ascii="Times New Roman" w:hAnsi="Times New Roman" w:cs="Times New Roman"/>
              </w:rPr>
              <w:t xml:space="preserve"> strain SJF4090 (RN4220 P</w:t>
            </w:r>
            <w:r w:rsidRPr="008249BF">
              <w:rPr>
                <w:rFonts w:ascii="Times New Roman" w:hAnsi="Times New Roman" w:cs="Times New Roman"/>
                <w:vertAlign w:val="subscript"/>
              </w:rPr>
              <w:t>Spac</w:t>
            </w:r>
            <w:r w:rsidRPr="008249BF">
              <w:rPr>
                <w:rFonts w:ascii="Times New Roman" w:hAnsi="Times New Roman" w:cs="Times New Roman"/>
              </w:rPr>
              <w:t>-</w:t>
            </w:r>
            <w:r w:rsidRPr="008249BF">
              <w:rPr>
                <w:rFonts w:ascii="Times New Roman" w:hAnsi="Times New Roman" w:cs="Times New Roman"/>
                <w:i/>
              </w:rPr>
              <w:t>sagB</w:t>
            </w:r>
            <w:r w:rsidRPr="008249BF">
              <w:rPr>
                <w:rFonts w:ascii="Times New Roman" w:hAnsi="Times New Roman" w:cs="Times New Roman"/>
              </w:rPr>
              <w:t>)</w:t>
            </w:r>
          </w:p>
        </w:tc>
        <w:tc>
          <w:tcPr>
            <w:tcW w:w="571" w:type="dxa"/>
            <w:tcMar>
              <w:left w:w="28" w:type="dxa"/>
            </w:tcMar>
          </w:tcPr>
          <w:p w:rsidR="003205E5" w:rsidRPr="008249BF" w:rsidRDefault="008249BF" w:rsidP="003673FE">
            <w:pPr>
              <w:rPr>
                <w:rFonts w:ascii="Times New Roman" w:hAnsi="Times New Roman" w:cs="Times New Roman"/>
              </w:rPr>
            </w:pPr>
            <w:r w:rsidRPr="008249BF">
              <w:rPr>
                <w:rFonts w:ascii="Times New Roman" w:hAnsi="Times New Roman" w:cs="Times New Roman"/>
              </w:rPr>
              <w:t>246</w:t>
            </w:r>
          </w:p>
        </w:tc>
      </w:tr>
      <w:tr w:rsidR="003205E5" w:rsidTr="008C31BA">
        <w:tc>
          <w:tcPr>
            <w:tcW w:w="1363" w:type="dxa"/>
          </w:tcPr>
          <w:p w:rsidR="003205E5" w:rsidRPr="008249BF" w:rsidRDefault="008249BF" w:rsidP="003673FE">
            <w:pPr>
              <w:rPr>
                <w:rFonts w:ascii="Times New Roman" w:hAnsi="Times New Roman" w:cs="Times New Roman"/>
                <w:b/>
              </w:rPr>
            </w:pPr>
            <w:r w:rsidRPr="008249BF">
              <w:rPr>
                <w:rFonts w:ascii="Times New Roman" w:hAnsi="Times New Roman" w:cs="Times New Roman"/>
                <w:b/>
              </w:rPr>
              <w:t>Figure 5.10</w:t>
            </w:r>
          </w:p>
        </w:tc>
        <w:tc>
          <w:tcPr>
            <w:tcW w:w="6580" w:type="dxa"/>
          </w:tcPr>
          <w:p w:rsidR="003205E5" w:rsidRPr="008249BF" w:rsidRDefault="008249BF" w:rsidP="003673FE">
            <w:pPr>
              <w:rPr>
                <w:rFonts w:ascii="Times New Roman" w:hAnsi="Times New Roman" w:cs="Times New Roman"/>
              </w:rPr>
            </w:pPr>
            <w:r w:rsidRPr="008249BF">
              <w:rPr>
                <w:rFonts w:ascii="Times New Roman" w:hAnsi="Times New Roman" w:cs="Times New Roman"/>
              </w:rPr>
              <w:t>Defective growth of a conditional quadruple glucosaminidase mutant</w:t>
            </w:r>
          </w:p>
        </w:tc>
        <w:tc>
          <w:tcPr>
            <w:tcW w:w="571" w:type="dxa"/>
            <w:tcMar>
              <w:left w:w="28" w:type="dxa"/>
            </w:tcMar>
          </w:tcPr>
          <w:p w:rsidR="003205E5" w:rsidRPr="008249BF" w:rsidRDefault="008249BF" w:rsidP="007454C4">
            <w:pPr>
              <w:rPr>
                <w:rFonts w:ascii="Times New Roman" w:hAnsi="Times New Roman" w:cs="Times New Roman"/>
              </w:rPr>
            </w:pPr>
            <w:r w:rsidRPr="008249BF">
              <w:rPr>
                <w:rFonts w:ascii="Times New Roman" w:hAnsi="Times New Roman" w:cs="Times New Roman"/>
              </w:rPr>
              <w:t>2</w:t>
            </w:r>
            <w:r w:rsidR="007454C4">
              <w:rPr>
                <w:rFonts w:ascii="Times New Roman" w:hAnsi="Times New Roman" w:cs="Times New Roman"/>
              </w:rPr>
              <w:t>48</w:t>
            </w:r>
          </w:p>
        </w:tc>
      </w:tr>
      <w:tr w:rsidR="003205E5" w:rsidTr="008C31BA">
        <w:tc>
          <w:tcPr>
            <w:tcW w:w="1363" w:type="dxa"/>
          </w:tcPr>
          <w:p w:rsidR="003205E5" w:rsidRPr="008249BF" w:rsidRDefault="008249BF" w:rsidP="003673FE">
            <w:pPr>
              <w:rPr>
                <w:rFonts w:ascii="Times New Roman" w:hAnsi="Times New Roman" w:cs="Times New Roman"/>
                <w:b/>
              </w:rPr>
            </w:pPr>
            <w:r w:rsidRPr="008249BF">
              <w:rPr>
                <w:rFonts w:ascii="Times New Roman" w:hAnsi="Times New Roman" w:cs="Times New Roman"/>
                <w:b/>
              </w:rPr>
              <w:t>Figure 5.11</w:t>
            </w:r>
          </w:p>
        </w:tc>
        <w:tc>
          <w:tcPr>
            <w:tcW w:w="6580" w:type="dxa"/>
          </w:tcPr>
          <w:p w:rsidR="003205E5" w:rsidRPr="008249BF" w:rsidRDefault="008249BF" w:rsidP="001378D4">
            <w:pPr>
              <w:rPr>
                <w:rFonts w:ascii="Times New Roman" w:hAnsi="Times New Roman" w:cs="Times New Roman"/>
              </w:rPr>
            </w:pPr>
            <w:r w:rsidRPr="008249BF">
              <w:rPr>
                <w:rFonts w:ascii="Times New Roman" w:hAnsi="Times New Roman" w:cs="Times New Roman"/>
              </w:rPr>
              <w:t xml:space="preserve">Morphological analysis of a conditional quadruple mutant devoid of </w:t>
            </w:r>
            <w:r w:rsidR="001378D4">
              <w:rPr>
                <w:rFonts w:ascii="Times New Roman" w:hAnsi="Times New Roman" w:cs="Times New Roman"/>
              </w:rPr>
              <w:t>three</w:t>
            </w:r>
            <w:r w:rsidRPr="008249BF">
              <w:rPr>
                <w:rFonts w:ascii="Times New Roman" w:hAnsi="Times New Roman" w:cs="Times New Roman"/>
              </w:rPr>
              <w:t xml:space="preserve"> glucosaminidase activities</w:t>
            </w:r>
          </w:p>
        </w:tc>
        <w:tc>
          <w:tcPr>
            <w:tcW w:w="571" w:type="dxa"/>
            <w:tcMar>
              <w:left w:w="28" w:type="dxa"/>
            </w:tcMar>
          </w:tcPr>
          <w:p w:rsidR="003205E5" w:rsidRPr="008249BF" w:rsidRDefault="008249BF" w:rsidP="003673FE">
            <w:pPr>
              <w:rPr>
                <w:rFonts w:ascii="Times New Roman" w:hAnsi="Times New Roman" w:cs="Times New Roman"/>
              </w:rPr>
            </w:pPr>
            <w:r w:rsidRPr="008249BF">
              <w:rPr>
                <w:rFonts w:ascii="Times New Roman" w:hAnsi="Times New Roman" w:cs="Times New Roman"/>
              </w:rPr>
              <w:t>252</w:t>
            </w:r>
          </w:p>
        </w:tc>
      </w:tr>
      <w:tr w:rsidR="003205E5" w:rsidTr="008C31BA">
        <w:tc>
          <w:tcPr>
            <w:tcW w:w="1363" w:type="dxa"/>
          </w:tcPr>
          <w:p w:rsidR="003205E5" w:rsidRPr="008249BF" w:rsidRDefault="008249BF" w:rsidP="003673FE">
            <w:pPr>
              <w:rPr>
                <w:rFonts w:ascii="Times New Roman" w:hAnsi="Times New Roman" w:cs="Times New Roman"/>
                <w:b/>
              </w:rPr>
            </w:pPr>
            <w:r w:rsidRPr="008249BF">
              <w:rPr>
                <w:rFonts w:ascii="Times New Roman" w:hAnsi="Times New Roman" w:cs="Times New Roman"/>
                <w:b/>
              </w:rPr>
              <w:t>Figure 5.12</w:t>
            </w:r>
          </w:p>
        </w:tc>
        <w:tc>
          <w:tcPr>
            <w:tcW w:w="6580" w:type="dxa"/>
          </w:tcPr>
          <w:p w:rsidR="003205E5" w:rsidRPr="008249BF" w:rsidRDefault="008249BF" w:rsidP="003673FE">
            <w:pPr>
              <w:rPr>
                <w:rFonts w:ascii="Times New Roman" w:hAnsi="Times New Roman" w:cs="Times New Roman"/>
              </w:rPr>
            </w:pPr>
            <w:r w:rsidRPr="008249BF">
              <w:rPr>
                <w:rFonts w:ascii="Times New Roman" w:hAnsi="Times New Roman" w:cs="Times New Roman"/>
              </w:rPr>
              <w:t xml:space="preserve">SEM of </w:t>
            </w:r>
            <w:r w:rsidRPr="008249BF">
              <w:rPr>
                <w:rFonts w:ascii="Times New Roman" w:hAnsi="Times New Roman" w:cs="Times New Roman"/>
                <w:i/>
              </w:rPr>
              <w:t xml:space="preserve">S. aureus </w:t>
            </w:r>
            <w:r w:rsidRPr="008249BF">
              <w:rPr>
                <w:rFonts w:ascii="Times New Roman" w:hAnsi="Times New Roman" w:cs="Times New Roman"/>
              </w:rPr>
              <w:t>glucosaminidase mutant cell walls</w:t>
            </w:r>
          </w:p>
        </w:tc>
        <w:tc>
          <w:tcPr>
            <w:tcW w:w="571" w:type="dxa"/>
            <w:tcMar>
              <w:left w:w="28" w:type="dxa"/>
            </w:tcMar>
          </w:tcPr>
          <w:p w:rsidR="003205E5" w:rsidRPr="008249BF" w:rsidRDefault="008249BF" w:rsidP="003673FE">
            <w:pPr>
              <w:rPr>
                <w:rFonts w:ascii="Times New Roman" w:hAnsi="Times New Roman" w:cs="Times New Roman"/>
              </w:rPr>
            </w:pPr>
            <w:r w:rsidRPr="008249BF">
              <w:rPr>
                <w:rFonts w:ascii="Times New Roman" w:hAnsi="Times New Roman" w:cs="Times New Roman"/>
              </w:rPr>
              <w:t>258</w:t>
            </w:r>
          </w:p>
        </w:tc>
      </w:tr>
      <w:tr w:rsidR="003205E5" w:rsidTr="008C31BA">
        <w:tc>
          <w:tcPr>
            <w:tcW w:w="1363" w:type="dxa"/>
          </w:tcPr>
          <w:p w:rsidR="003205E5" w:rsidRPr="008249BF" w:rsidRDefault="008249BF" w:rsidP="003673FE">
            <w:pPr>
              <w:rPr>
                <w:rFonts w:ascii="Times New Roman" w:hAnsi="Times New Roman" w:cs="Times New Roman"/>
                <w:b/>
              </w:rPr>
            </w:pPr>
            <w:r w:rsidRPr="008249BF">
              <w:rPr>
                <w:rFonts w:ascii="Times New Roman" w:hAnsi="Times New Roman" w:cs="Times New Roman"/>
                <w:b/>
              </w:rPr>
              <w:t>Figure 5.13</w:t>
            </w:r>
          </w:p>
        </w:tc>
        <w:tc>
          <w:tcPr>
            <w:tcW w:w="6580" w:type="dxa"/>
          </w:tcPr>
          <w:p w:rsidR="003205E5" w:rsidRPr="008249BF" w:rsidRDefault="008249BF" w:rsidP="003673FE">
            <w:pPr>
              <w:rPr>
                <w:rFonts w:ascii="Times New Roman" w:hAnsi="Times New Roman" w:cs="Times New Roman"/>
              </w:rPr>
            </w:pPr>
            <w:r w:rsidRPr="008249BF">
              <w:rPr>
                <w:rFonts w:ascii="Times New Roman" w:hAnsi="Times New Roman" w:cs="Times New Roman"/>
              </w:rPr>
              <w:t xml:space="preserve">TEM of </w:t>
            </w:r>
            <w:r w:rsidRPr="008249BF">
              <w:rPr>
                <w:rFonts w:ascii="Times New Roman" w:hAnsi="Times New Roman" w:cs="Times New Roman"/>
                <w:i/>
              </w:rPr>
              <w:t xml:space="preserve">S. aureus </w:t>
            </w:r>
            <w:r w:rsidRPr="008249BF">
              <w:rPr>
                <w:rFonts w:ascii="Times New Roman" w:hAnsi="Times New Roman" w:cs="Times New Roman"/>
              </w:rPr>
              <w:t>glucosaminidase mutant cells</w:t>
            </w:r>
          </w:p>
        </w:tc>
        <w:tc>
          <w:tcPr>
            <w:tcW w:w="571" w:type="dxa"/>
            <w:tcMar>
              <w:left w:w="28" w:type="dxa"/>
            </w:tcMar>
          </w:tcPr>
          <w:p w:rsidR="003205E5" w:rsidRPr="008249BF" w:rsidRDefault="008249BF" w:rsidP="003673FE">
            <w:pPr>
              <w:rPr>
                <w:rFonts w:ascii="Times New Roman" w:hAnsi="Times New Roman" w:cs="Times New Roman"/>
              </w:rPr>
            </w:pPr>
            <w:r w:rsidRPr="008249BF">
              <w:rPr>
                <w:rFonts w:ascii="Times New Roman" w:hAnsi="Times New Roman" w:cs="Times New Roman"/>
              </w:rPr>
              <w:t>260</w:t>
            </w:r>
          </w:p>
        </w:tc>
      </w:tr>
      <w:tr w:rsidR="008249BF" w:rsidTr="008C31BA">
        <w:tc>
          <w:tcPr>
            <w:tcW w:w="1363" w:type="dxa"/>
          </w:tcPr>
          <w:p w:rsidR="008249BF" w:rsidRPr="008249BF" w:rsidRDefault="008249BF" w:rsidP="003673FE">
            <w:pPr>
              <w:rPr>
                <w:rFonts w:ascii="Times New Roman" w:hAnsi="Times New Roman" w:cs="Times New Roman"/>
                <w:b/>
              </w:rPr>
            </w:pPr>
            <w:r w:rsidRPr="008249BF">
              <w:rPr>
                <w:rFonts w:ascii="Times New Roman" w:hAnsi="Times New Roman" w:cs="Times New Roman"/>
                <w:b/>
              </w:rPr>
              <w:t>Figure 5.14</w:t>
            </w:r>
          </w:p>
        </w:tc>
        <w:tc>
          <w:tcPr>
            <w:tcW w:w="6580" w:type="dxa"/>
          </w:tcPr>
          <w:p w:rsidR="008249BF" w:rsidRPr="008249BF" w:rsidRDefault="008249BF" w:rsidP="00F1540B">
            <w:pPr>
              <w:rPr>
                <w:rFonts w:ascii="Times New Roman" w:hAnsi="Times New Roman" w:cs="Times New Roman"/>
              </w:rPr>
            </w:pPr>
            <w:r w:rsidRPr="008249BF">
              <w:rPr>
                <w:rFonts w:ascii="Times New Roman" w:hAnsi="Times New Roman" w:cs="Times New Roman"/>
              </w:rPr>
              <w:t xml:space="preserve">Gallery of AFM images showing the peptidoglycan architecture of an </w:t>
            </w:r>
            <w:r w:rsidRPr="008249BF">
              <w:rPr>
                <w:rFonts w:ascii="Times New Roman" w:hAnsi="Times New Roman" w:cs="Times New Roman"/>
                <w:i/>
              </w:rPr>
              <w:t>S.</w:t>
            </w:r>
            <w:r w:rsidR="00F1540B">
              <w:rPr>
                <w:rFonts w:ascii="Times New Roman" w:hAnsi="Times New Roman" w:cs="Times New Roman"/>
                <w:i/>
              </w:rPr>
              <w:t> </w:t>
            </w:r>
            <w:r w:rsidRPr="008249BF">
              <w:rPr>
                <w:rFonts w:ascii="Times New Roman" w:hAnsi="Times New Roman" w:cs="Times New Roman"/>
                <w:i/>
              </w:rPr>
              <w:t xml:space="preserve">aureus </w:t>
            </w:r>
            <w:r w:rsidRPr="008249BF">
              <w:rPr>
                <w:rFonts w:ascii="Times New Roman" w:hAnsi="Times New Roman" w:cs="Times New Roman"/>
              </w:rPr>
              <w:t>conditional quadruple glucosaminidase mutant</w:t>
            </w:r>
          </w:p>
        </w:tc>
        <w:tc>
          <w:tcPr>
            <w:tcW w:w="571" w:type="dxa"/>
            <w:tcMar>
              <w:left w:w="28" w:type="dxa"/>
            </w:tcMar>
          </w:tcPr>
          <w:p w:rsidR="008249BF" w:rsidRPr="008249BF" w:rsidRDefault="008249BF" w:rsidP="003673FE">
            <w:pPr>
              <w:rPr>
                <w:rFonts w:ascii="Times New Roman" w:hAnsi="Times New Roman" w:cs="Times New Roman"/>
              </w:rPr>
            </w:pPr>
            <w:r w:rsidRPr="008249BF">
              <w:rPr>
                <w:rFonts w:ascii="Times New Roman" w:hAnsi="Times New Roman" w:cs="Times New Roman"/>
              </w:rPr>
              <w:t>262</w:t>
            </w:r>
          </w:p>
        </w:tc>
      </w:tr>
      <w:tr w:rsidR="008249BF" w:rsidTr="008C31BA">
        <w:tc>
          <w:tcPr>
            <w:tcW w:w="1363" w:type="dxa"/>
          </w:tcPr>
          <w:p w:rsidR="008249BF" w:rsidRPr="008249BF" w:rsidRDefault="008249BF" w:rsidP="003673FE">
            <w:pPr>
              <w:rPr>
                <w:rFonts w:ascii="Times New Roman" w:hAnsi="Times New Roman" w:cs="Times New Roman"/>
                <w:b/>
              </w:rPr>
            </w:pPr>
            <w:r w:rsidRPr="008249BF">
              <w:rPr>
                <w:rFonts w:ascii="Times New Roman" w:hAnsi="Times New Roman" w:cs="Times New Roman"/>
                <w:b/>
              </w:rPr>
              <w:t>Figure 5.15</w:t>
            </w:r>
          </w:p>
        </w:tc>
        <w:tc>
          <w:tcPr>
            <w:tcW w:w="6580" w:type="dxa"/>
          </w:tcPr>
          <w:p w:rsidR="008249BF" w:rsidRPr="008249BF" w:rsidRDefault="008249BF" w:rsidP="003673FE">
            <w:pPr>
              <w:rPr>
                <w:rFonts w:ascii="Times New Roman" w:hAnsi="Times New Roman" w:cs="Times New Roman"/>
              </w:rPr>
            </w:pPr>
            <w:r w:rsidRPr="008249BF">
              <w:rPr>
                <w:rFonts w:ascii="Times New Roman" w:hAnsi="Times New Roman" w:cs="Times New Roman"/>
              </w:rPr>
              <w:t xml:space="preserve">Model of growth by hydrolysis in </w:t>
            </w:r>
            <w:r w:rsidRPr="008249BF">
              <w:rPr>
                <w:rFonts w:ascii="Times New Roman" w:hAnsi="Times New Roman" w:cs="Times New Roman"/>
                <w:i/>
              </w:rPr>
              <w:t>S. aureus</w:t>
            </w:r>
          </w:p>
        </w:tc>
        <w:tc>
          <w:tcPr>
            <w:tcW w:w="571" w:type="dxa"/>
            <w:tcMar>
              <w:left w:w="28" w:type="dxa"/>
            </w:tcMar>
          </w:tcPr>
          <w:p w:rsidR="008249BF" w:rsidRPr="008249BF" w:rsidRDefault="008249BF" w:rsidP="003673FE">
            <w:pPr>
              <w:rPr>
                <w:rFonts w:ascii="Times New Roman" w:hAnsi="Times New Roman" w:cs="Times New Roman"/>
              </w:rPr>
            </w:pPr>
            <w:r w:rsidRPr="008249BF">
              <w:rPr>
                <w:rFonts w:ascii="Times New Roman" w:hAnsi="Times New Roman" w:cs="Times New Roman"/>
              </w:rPr>
              <w:t>269</w:t>
            </w:r>
          </w:p>
        </w:tc>
      </w:tr>
      <w:tr w:rsidR="008249BF" w:rsidTr="008C31BA">
        <w:tc>
          <w:tcPr>
            <w:tcW w:w="1363" w:type="dxa"/>
          </w:tcPr>
          <w:p w:rsidR="008249BF" w:rsidRPr="008249BF" w:rsidRDefault="008249BF" w:rsidP="003673FE">
            <w:pPr>
              <w:rPr>
                <w:rFonts w:ascii="Times New Roman" w:hAnsi="Times New Roman" w:cs="Times New Roman"/>
                <w:b/>
              </w:rPr>
            </w:pPr>
          </w:p>
        </w:tc>
        <w:tc>
          <w:tcPr>
            <w:tcW w:w="6580" w:type="dxa"/>
          </w:tcPr>
          <w:p w:rsidR="008249BF" w:rsidRPr="008249BF" w:rsidRDefault="008249BF" w:rsidP="003673FE">
            <w:pPr>
              <w:rPr>
                <w:rFonts w:ascii="Times New Roman" w:hAnsi="Times New Roman" w:cs="Times New Roman"/>
              </w:rPr>
            </w:pPr>
          </w:p>
        </w:tc>
        <w:tc>
          <w:tcPr>
            <w:tcW w:w="571" w:type="dxa"/>
            <w:tcMar>
              <w:left w:w="28" w:type="dxa"/>
            </w:tcMar>
          </w:tcPr>
          <w:p w:rsidR="008249BF" w:rsidRPr="008249BF" w:rsidRDefault="008249BF" w:rsidP="003673FE">
            <w:pPr>
              <w:rPr>
                <w:rFonts w:ascii="Times New Roman" w:hAnsi="Times New Roman" w:cs="Times New Roman"/>
              </w:rPr>
            </w:pPr>
          </w:p>
        </w:tc>
      </w:tr>
      <w:tr w:rsidR="008249BF" w:rsidTr="008C31BA">
        <w:tc>
          <w:tcPr>
            <w:tcW w:w="1363" w:type="dxa"/>
          </w:tcPr>
          <w:p w:rsidR="008249BF" w:rsidRPr="008249BF" w:rsidRDefault="008249BF" w:rsidP="003673FE">
            <w:pPr>
              <w:rPr>
                <w:rFonts w:ascii="Times New Roman" w:hAnsi="Times New Roman" w:cs="Times New Roman"/>
                <w:b/>
              </w:rPr>
            </w:pPr>
            <w:r w:rsidRPr="008249BF">
              <w:rPr>
                <w:rFonts w:ascii="Times New Roman" w:hAnsi="Times New Roman" w:cs="Times New Roman"/>
                <w:b/>
              </w:rPr>
              <w:t>Figure 6.1</w:t>
            </w:r>
          </w:p>
        </w:tc>
        <w:tc>
          <w:tcPr>
            <w:tcW w:w="6580" w:type="dxa"/>
          </w:tcPr>
          <w:p w:rsidR="008249BF" w:rsidRPr="008249BF" w:rsidRDefault="008249BF" w:rsidP="003673FE">
            <w:pPr>
              <w:rPr>
                <w:rFonts w:ascii="Times New Roman" w:hAnsi="Times New Roman" w:cs="Times New Roman"/>
              </w:rPr>
            </w:pPr>
            <w:r w:rsidRPr="008249BF">
              <w:rPr>
                <w:rFonts w:ascii="Times New Roman" w:hAnsi="Times New Roman" w:cs="Times New Roman"/>
              </w:rPr>
              <w:t>Growth of the nascent cell wall by hydrolysis</w:t>
            </w:r>
          </w:p>
        </w:tc>
        <w:tc>
          <w:tcPr>
            <w:tcW w:w="571" w:type="dxa"/>
            <w:tcMar>
              <w:left w:w="28" w:type="dxa"/>
            </w:tcMar>
          </w:tcPr>
          <w:p w:rsidR="008249BF" w:rsidRPr="008249BF" w:rsidRDefault="008249BF" w:rsidP="003673FE">
            <w:pPr>
              <w:rPr>
                <w:rFonts w:ascii="Times New Roman" w:hAnsi="Times New Roman" w:cs="Times New Roman"/>
              </w:rPr>
            </w:pPr>
            <w:r w:rsidRPr="008249BF">
              <w:rPr>
                <w:rFonts w:ascii="Times New Roman" w:hAnsi="Times New Roman" w:cs="Times New Roman"/>
              </w:rPr>
              <w:t>275</w:t>
            </w:r>
          </w:p>
        </w:tc>
      </w:tr>
      <w:tr w:rsidR="008249BF" w:rsidTr="008C31BA">
        <w:tc>
          <w:tcPr>
            <w:tcW w:w="1363" w:type="dxa"/>
          </w:tcPr>
          <w:p w:rsidR="008249BF" w:rsidRPr="008249BF" w:rsidRDefault="008249BF" w:rsidP="003673FE">
            <w:pPr>
              <w:rPr>
                <w:rFonts w:ascii="Times New Roman" w:hAnsi="Times New Roman" w:cs="Times New Roman"/>
                <w:b/>
              </w:rPr>
            </w:pPr>
            <w:r w:rsidRPr="008249BF">
              <w:rPr>
                <w:rFonts w:ascii="Times New Roman" w:hAnsi="Times New Roman" w:cs="Times New Roman"/>
                <w:b/>
              </w:rPr>
              <w:t>Figure 6.2</w:t>
            </w:r>
          </w:p>
        </w:tc>
        <w:tc>
          <w:tcPr>
            <w:tcW w:w="6580" w:type="dxa"/>
          </w:tcPr>
          <w:p w:rsidR="008249BF" w:rsidRPr="008249BF" w:rsidRDefault="008249BF" w:rsidP="003673FE">
            <w:pPr>
              <w:rPr>
                <w:rFonts w:ascii="Times New Roman" w:hAnsi="Times New Roman" w:cs="Times New Roman"/>
              </w:rPr>
            </w:pPr>
            <w:r w:rsidRPr="008249BF">
              <w:rPr>
                <w:rFonts w:ascii="Times New Roman" w:hAnsi="Times New Roman" w:cs="Times New Roman"/>
              </w:rPr>
              <w:t>A chromosome segregation-driven model for division on orthogonal planes</w:t>
            </w:r>
          </w:p>
        </w:tc>
        <w:tc>
          <w:tcPr>
            <w:tcW w:w="571" w:type="dxa"/>
            <w:tcMar>
              <w:left w:w="28" w:type="dxa"/>
            </w:tcMar>
          </w:tcPr>
          <w:p w:rsidR="008249BF" w:rsidRPr="008249BF" w:rsidRDefault="008249BF" w:rsidP="003673FE">
            <w:pPr>
              <w:rPr>
                <w:rFonts w:ascii="Times New Roman" w:hAnsi="Times New Roman" w:cs="Times New Roman"/>
              </w:rPr>
            </w:pPr>
            <w:r w:rsidRPr="008249BF">
              <w:rPr>
                <w:rFonts w:ascii="Times New Roman" w:hAnsi="Times New Roman" w:cs="Times New Roman"/>
              </w:rPr>
              <w:t>280</w:t>
            </w:r>
          </w:p>
        </w:tc>
      </w:tr>
      <w:tr w:rsidR="008249BF" w:rsidTr="008C31BA">
        <w:tc>
          <w:tcPr>
            <w:tcW w:w="1363" w:type="dxa"/>
          </w:tcPr>
          <w:p w:rsidR="008249BF" w:rsidRPr="008249BF" w:rsidRDefault="008249BF" w:rsidP="003673FE">
            <w:pPr>
              <w:rPr>
                <w:rFonts w:ascii="Times New Roman" w:hAnsi="Times New Roman" w:cs="Times New Roman"/>
                <w:b/>
              </w:rPr>
            </w:pPr>
            <w:r w:rsidRPr="008249BF">
              <w:rPr>
                <w:rFonts w:ascii="Times New Roman" w:hAnsi="Times New Roman" w:cs="Times New Roman"/>
                <w:b/>
              </w:rPr>
              <w:t>Figure 6.3</w:t>
            </w:r>
          </w:p>
        </w:tc>
        <w:tc>
          <w:tcPr>
            <w:tcW w:w="6580" w:type="dxa"/>
          </w:tcPr>
          <w:p w:rsidR="008249BF" w:rsidRPr="008249BF" w:rsidRDefault="008249BF" w:rsidP="003673FE">
            <w:pPr>
              <w:rPr>
                <w:rFonts w:ascii="Times New Roman" w:hAnsi="Times New Roman" w:cs="Times New Roman"/>
              </w:rPr>
            </w:pPr>
            <w:r w:rsidRPr="008249BF">
              <w:rPr>
                <w:rFonts w:ascii="Times New Roman" w:hAnsi="Times New Roman" w:cs="Times New Roman"/>
              </w:rPr>
              <w:t>Possible mechanisms for coordination of cell division via peptidoglycan ribs</w:t>
            </w:r>
          </w:p>
        </w:tc>
        <w:tc>
          <w:tcPr>
            <w:tcW w:w="571" w:type="dxa"/>
            <w:tcMar>
              <w:left w:w="28" w:type="dxa"/>
            </w:tcMar>
          </w:tcPr>
          <w:p w:rsidR="008249BF" w:rsidRPr="008249BF" w:rsidRDefault="008249BF" w:rsidP="003673FE">
            <w:pPr>
              <w:rPr>
                <w:rFonts w:ascii="Times New Roman" w:hAnsi="Times New Roman" w:cs="Times New Roman"/>
              </w:rPr>
            </w:pPr>
            <w:r w:rsidRPr="008249BF">
              <w:rPr>
                <w:rFonts w:ascii="Times New Roman" w:hAnsi="Times New Roman" w:cs="Times New Roman"/>
              </w:rPr>
              <w:t>282</w:t>
            </w:r>
          </w:p>
        </w:tc>
      </w:tr>
    </w:tbl>
    <w:p w:rsidR="003673FE" w:rsidRDefault="003673FE" w:rsidP="00460946">
      <w:pPr>
        <w:spacing w:after="0" w:line="240" w:lineRule="auto"/>
        <w:jc w:val="center"/>
        <w:rPr>
          <w:rFonts w:ascii="Times New Roman" w:hAnsi="Times New Roman" w:cs="Times New Roman"/>
          <w:sz w:val="28"/>
          <w:szCs w:val="28"/>
        </w:rPr>
      </w:pPr>
    </w:p>
    <w:p w:rsidR="00185F6F" w:rsidRDefault="000A24EC" w:rsidP="000A24EC">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ascii="Times New Roman" w:hAnsi="Times New Roman" w:cs="Times New Roman"/>
          <w:sz w:val="28"/>
          <w:szCs w:val="28"/>
        </w:rPr>
      </w:pPr>
      <w:r>
        <w:rPr>
          <w:rFonts w:ascii="Times New Roman" w:hAnsi="Times New Roman" w:cs="Times New Roman"/>
          <w:sz w:val="24"/>
          <w:szCs w:val="24"/>
        </w:rPr>
        <w:br w:type="page"/>
      </w:r>
      <w:r>
        <w:rPr>
          <w:rFonts w:ascii="Times New Roman" w:hAnsi="Times New Roman" w:cs="Times New Roman"/>
          <w:sz w:val="28"/>
          <w:szCs w:val="28"/>
        </w:rPr>
        <w:lastRenderedPageBreak/>
        <w:t>List of Tables</w:t>
      </w:r>
    </w:p>
    <w:p w:rsidR="000A24EC" w:rsidRDefault="000A24EC" w:rsidP="000A24EC">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ascii="Times New Roman" w:hAnsi="Times New Roman" w:cs="Times New Roman"/>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tblPr>
      <w:tblGrid>
        <w:gridCol w:w="1361"/>
        <w:gridCol w:w="6572"/>
        <w:gridCol w:w="571"/>
      </w:tblGrid>
      <w:tr w:rsidR="000A24EC" w:rsidRPr="008C31BA" w:rsidTr="008C31BA">
        <w:tc>
          <w:tcPr>
            <w:tcW w:w="1361" w:type="dxa"/>
          </w:tcPr>
          <w:p w:rsidR="000A24EC" w:rsidRPr="008C31BA" w:rsidRDefault="000A24EC" w:rsidP="008C31BA">
            <w:pPr>
              <w:spacing w:after="60"/>
              <w:jc w:val="both"/>
              <w:rPr>
                <w:rFonts w:ascii="Times New Roman" w:hAnsi="Times New Roman" w:cs="Times New Roman"/>
                <w:b/>
              </w:rPr>
            </w:pPr>
            <w:r w:rsidRPr="008C31BA">
              <w:rPr>
                <w:rFonts w:ascii="Times New Roman" w:hAnsi="Times New Roman" w:cs="Times New Roman"/>
                <w:b/>
              </w:rPr>
              <w:t xml:space="preserve">Table 2.1 </w:t>
            </w:r>
          </w:p>
        </w:tc>
        <w:tc>
          <w:tcPr>
            <w:tcW w:w="6572" w:type="dxa"/>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rPr>
              <w:t>Antibiotic stock solutions and concentrations</w:t>
            </w:r>
          </w:p>
        </w:tc>
        <w:tc>
          <w:tcPr>
            <w:tcW w:w="571" w:type="dxa"/>
            <w:tcMar>
              <w:left w:w="28" w:type="dxa"/>
            </w:tcMar>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rPr>
              <w:t>57</w:t>
            </w:r>
          </w:p>
        </w:tc>
      </w:tr>
      <w:tr w:rsidR="000A24EC" w:rsidRPr="008C31BA" w:rsidTr="008C31BA">
        <w:tc>
          <w:tcPr>
            <w:tcW w:w="1361" w:type="dxa"/>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b/>
              </w:rPr>
              <w:t>Table 2.2</w:t>
            </w:r>
          </w:p>
        </w:tc>
        <w:tc>
          <w:tcPr>
            <w:tcW w:w="6572" w:type="dxa"/>
          </w:tcPr>
          <w:p w:rsidR="000A24EC" w:rsidRPr="008C31BA" w:rsidRDefault="000A24EC" w:rsidP="008C31BA">
            <w:pPr>
              <w:tabs>
                <w:tab w:val="left" w:pos="3909"/>
              </w:tabs>
              <w:spacing w:after="60"/>
              <w:rPr>
                <w:rFonts w:ascii="Times New Roman" w:hAnsi="Times New Roman" w:cs="Times New Roman"/>
              </w:rPr>
            </w:pPr>
            <w:r w:rsidRPr="008C31BA">
              <w:rPr>
                <w:rFonts w:ascii="Times New Roman" w:hAnsi="Times New Roman" w:cs="Times New Roman"/>
                <w:i/>
              </w:rPr>
              <w:t xml:space="preserve">E. coli </w:t>
            </w:r>
            <w:r w:rsidRPr="008C31BA">
              <w:rPr>
                <w:rFonts w:ascii="Times New Roman" w:hAnsi="Times New Roman" w:cs="Times New Roman"/>
              </w:rPr>
              <w:t>strains used in this study</w:t>
            </w:r>
          </w:p>
        </w:tc>
        <w:tc>
          <w:tcPr>
            <w:tcW w:w="571" w:type="dxa"/>
            <w:tcMar>
              <w:left w:w="28" w:type="dxa"/>
            </w:tcMar>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rPr>
              <w:t>66</w:t>
            </w:r>
          </w:p>
        </w:tc>
      </w:tr>
      <w:tr w:rsidR="000A24EC" w:rsidRPr="008C31BA" w:rsidTr="008C31BA">
        <w:tc>
          <w:tcPr>
            <w:tcW w:w="1361" w:type="dxa"/>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b/>
              </w:rPr>
              <w:t>Table 2.3</w:t>
            </w:r>
          </w:p>
        </w:tc>
        <w:tc>
          <w:tcPr>
            <w:tcW w:w="6572" w:type="dxa"/>
          </w:tcPr>
          <w:p w:rsidR="000A24EC" w:rsidRPr="008C31BA" w:rsidRDefault="000A24EC" w:rsidP="008C31BA">
            <w:pPr>
              <w:tabs>
                <w:tab w:val="left" w:pos="1795"/>
              </w:tabs>
              <w:spacing w:after="60"/>
              <w:rPr>
                <w:rFonts w:ascii="Times New Roman" w:hAnsi="Times New Roman" w:cs="Times New Roman"/>
              </w:rPr>
            </w:pPr>
            <w:r w:rsidRPr="008C31BA">
              <w:rPr>
                <w:rFonts w:ascii="Times New Roman" w:hAnsi="Times New Roman" w:cs="Times New Roman"/>
                <w:i/>
              </w:rPr>
              <w:t>L. lactis</w:t>
            </w:r>
            <w:r w:rsidRPr="008C31BA">
              <w:rPr>
                <w:rFonts w:ascii="Times New Roman" w:hAnsi="Times New Roman" w:cs="Times New Roman"/>
              </w:rPr>
              <w:t xml:space="preserve"> strains used in this study</w:t>
            </w:r>
          </w:p>
        </w:tc>
        <w:tc>
          <w:tcPr>
            <w:tcW w:w="571" w:type="dxa"/>
            <w:tcMar>
              <w:left w:w="28" w:type="dxa"/>
            </w:tcMar>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rPr>
              <w:t>66</w:t>
            </w:r>
          </w:p>
        </w:tc>
      </w:tr>
      <w:tr w:rsidR="000A24EC" w:rsidRPr="008C31BA" w:rsidTr="008C31BA">
        <w:tc>
          <w:tcPr>
            <w:tcW w:w="1361" w:type="dxa"/>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b/>
              </w:rPr>
              <w:t>Table 2.4</w:t>
            </w:r>
          </w:p>
        </w:tc>
        <w:tc>
          <w:tcPr>
            <w:tcW w:w="6572" w:type="dxa"/>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i/>
              </w:rPr>
              <w:t>S. aureus</w:t>
            </w:r>
            <w:r w:rsidRPr="008C31BA">
              <w:rPr>
                <w:rFonts w:ascii="Times New Roman" w:hAnsi="Times New Roman" w:cs="Times New Roman"/>
              </w:rPr>
              <w:t xml:space="preserve"> strains used in this study</w:t>
            </w:r>
          </w:p>
        </w:tc>
        <w:tc>
          <w:tcPr>
            <w:tcW w:w="571" w:type="dxa"/>
            <w:tcMar>
              <w:left w:w="28" w:type="dxa"/>
            </w:tcMar>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rPr>
              <w:t>66</w:t>
            </w:r>
          </w:p>
        </w:tc>
      </w:tr>
      <w:tr w:rsidR="000A24EC" w:rsidRPr="008C31BA" w:rsidTr="008C31BA">
        <w:tc>
          <w:tcPr>
            <w:tcW w:w="1361" w:type="dxa"/>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b/>
              </w:rPr>
              <w:t>Table 2.5</w:t>
            </w:r>
          </w:p>
        </w:tc>
        <w:tc>
          <w:tcPr>
            <w:tcW w:w="6572" w:type="dxa"/>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rPr>
              <w:t>Plasmids used in this study</w:t>
            </w:r>
          </w:p>
        </w:tc>
        <w:tc>
          <w:tcPr>
            <w:tcW w:w="571" w:type="dxa"/>
            <w:tcMar>
              <w:left w:w="28" w:type="dxa"/>
            </w:tcMar>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rPr>
              <w:t>69</w:t>
            </w:r>
          </w:p>
        </w:tc>
      </w:tr>
      <w:tr w:rsidR="000A24EC" w:rsidRPr="008C31BA" w:rsidTr="008C31BA">
        <w:tc>
          <w:tcPr>
            <w:tcW w:w="1361" w:type="dxa"/>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b/>
              </w:rPr>
              <w:t>Table 2.6</w:t>
            </w:r>
          </w:p>
        </w:tc>
        <w:tc>
          <w:tcPr>
            <w:tcW w:w="6572" w:type="dxa"/>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rPr>
              <w:t>Stock solutions and concentrations</w:t>
            </w:r>
          </w:p>
        </w:tc>
        <w:tc>
          <w:tcPr>
            <w:tcW w:w="571" w:type="dxa"/>
            <w:tcMar>
              <w:left w:w="28" w:type="dxa"/>
            </w:tcMar>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rPr>
              <w:t>71</w:t>
            </w:r>
          </w:p>
        </w:tc>
      </w:tr>
      <w:tr w:rsidR="000A24EC" w:rsidRPr="008C31BA" w:rsidTr="008C31BA">
        <w:tc>
          <w:tcPr>
            <w:tcW w:w="1361" w:type="dxa"/>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b/>
              </w:rPr>
              <w:t>Table 2.7</w:t>
            </w:r>
          </w:p>
        </w:tc>
        <w:tc>
          <w:tcPr>
            <w:tcW w:w="6572" w:type="dxa"/>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rPr>
              <w:t>Autolysin digest conditions</w:t>
            </w:r>
          </w:p>
        </w:tc>
        <w:tc>
          <w:tcPr>
            <w:tcW w:w="571" w:type="dxa"/>
            <w:tcMar>
              <w:left w:w="28" w:type="dxa"/>
            </w:tcMar>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rPr>
              <w:t>72</w:t>
            </w:r>
          </w:p>
        </w:tc>
      </w:tr>
      <w:tr w:rsidR="000A24EC" w:rsidRPr="008C31BA" w:rsidTr="008C31BA">
        <w:tc>
          <w:tcPr>
            <w:tcW w:w="1361" w:type="dxa"/>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b/>
              </w:rPr>
              <w:t>Table 2.8</w:t>
            </w:r>
          </w:p>
        </w:tc>
        <w:tc>
          <w:tcPr>
            <w:tcW w:w="6572" w:type="dxa"/>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rPr>
              <w:t>Oligonucleotides used as primers</w:t>
            </w:r>
          </w:p>
        </w:tc>
        <w:tc>
          <w:tcPr>
            <w:tcW w:w="571" w:type="dxa"/>
            <w:tcMar>
              <w:left w:w="28" w:type="dxa"/>
            </w:tcMar>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rPr>
              <w:t>80</w:t>
            </w:r>
          </w:p>
        </w:tc>
      </w:tr>
      <w:tr w:rsidR="000A24EC" w:rsidRPr="008C31BA" w:rsidTr="008C31BA">
        <w:tc>
          <w:tcPr>
            <w:tcW w:w="1361" w:type="dxa"/>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b/>
              </w:rPr>
              <w:t>Table 2.9</w:t>
            </w:r>
          </w:p>
        </w:tc>
        <w:tc>
          <w:tcPr>
            <w:tcW w:w="6572" w:type="dxa"/>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rPr>
              <w:t>DeltaVision filter sets</w:t>
            </w:r>
          </w:p>
        </w:tc>
        <w:tc>
          <w:tcPr>
            <w:tcW w:w="571" w:type="dxa"/>
            <w:tcMar>
              <w:left w:w="28" w:type="dxa"/>
            </w:tcMar>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rPr>
              <w:t>98</w:t>
            </w:r>
          </w:p>
        </w:tc>
      </w:tr>
      <w:tr w:rsidR="000A24EC" w:rsidRPr="008C31BA" w:rsidTr="008C31BA">
        <w:tc>
          <w:tcPr>
            <w:tcW w:w="1361" w:type="dxa"/>
          </w:tcPr>
          <w:p w:rsidR="000A24EC" w:rsidRPr="008C31BA" w:rsidRDefault="000A24EC" w:rsidP="008C31BA">
            <w:pPr>
              <w:spacing w:after="60"/>
              <w:rPr>
                <w:rFonts w:ascii="Times New Roman" w:hAnsi="Times New Roman" w:cs="Times New Roman"/>
              </w:rPr>
            </w:pPr>
          </w:p>
        </w:tc>
        <w:tc>
          <w:tcPr>
            <w:tcW w:w="6572" w:type="dxa"/>
          </w:tcPr>
          <w:p w:rsidR="000A24EC" w:rsidRPr="008C31BA" w:rsidRDefault="000A24EC" w:rsidP="008C31BA">
            <w:pPr>
              <w:spacing w:after="60"/>
              <w:rPr>
                <w:rFonts w:ascii="Times New Roman" w:hAnsi="Times New Roman" w:cs="Times New Roman"/>
              </w:rPr>
            </w:pPr>
          </w:p>
        </w:tc>
        <w:tc>
          <w:tcPr>
            <w:tcW w:w="571" w:type="dxa"/>
            <w:tcMar>
              <w:left w:w="28" w:type="dxa"/>
            </w:tcMar>
          </w:tcPr>
          <w:p w:rsidR="000A24EC" w:rsidRPr="008C31BA" w:rsidRDefault="000A24EC" w:rsidP="008C31BA">
            <w:pPr>
              <w:spacing w:after="60"/>
              <w:rPr>
                <w:rFonts w:ascii="Times New Roman" w:hAnsi="Times New Roman" w:cs="Times New Roman"/>
              </w:rPr>
            </w:pPr>
          </w:p>
        </w:tc>
      </w:tr>
      <w:tr w:rsidR="000A24EC" w:rsidRPr="008C31BA" w:rsidTr="008C31BA">
        <w:tc>
          <w:tcPr>
            <w:tcW w:w="1361" w:type="dxa"/>
          </w:tcPr>
          <w:p w:rsidR="000A24EC" w:rsidRPr="008C31BA" w:rsidRDefault="000A24EC" w:rsidP="008C31BA">
            <w:pPr>
              <w:spacing w:after="60"/>
              <w:rPr>
                <w:rFonts w:ascii="Times New Roman" w:hAnsi="Times New Roman" w:cs="Times New Roman"/>
              </w:rPr>
            </w:pPr>
            <w:r w:rsidRPr="008C31BA">
              <w:rPr>
                <w:rStyle w:val="justifytxt"/>
                <w:rFonts w:ascii="Times New Roman" w:hAnsi="Times New Roman" w:cs="Times New Roman"/>
                <w:b/>
              </w:rPr>
              <w:t>Table 3.1</w:t>
            </w:r>
          </w:p>
        </w:tc>
        <w:tc>
          <w:tcPr>
            <w:tcW w:w="6572" w:type="dxa"/>
          </w:tcPr>
          <w:p w:rsidR="000A24EC" w:rsidRPr="008C31BA" w:rsidRDefault="000A24EC" w:rsidP="008C31BA">
            <w:pPr>
              <w:spacing w:after="60"/>
              <w:rPr>
                <w:rFonts w:ascii="Times New Roman" w:hAnsi="Times New Roman" w:cs="Times New Roman"/>
              </w:rPr>
            </w:pPr>
            <w:r w:rsidRPr="008C31BA">
              <w:rPr>
                <w:rStyle w:val="justifytxt"/>
                <w:rFonts w:ascii="Times New Roman" w:hAnsi="Times New Roman" w:cs="Times New Roman"/>
              </w:rPr>
              <w:t>Glycan chain length distribution in Gram-positive bacteria determined by size-exclusion chromatography</w:t>
            </w:r>
          </w:p>
        </w:tc>
        <w:tc>
          <w:tcPr>
            <w:tcW w:w="571" w:type="dxa"/>
            <w:tcMar>
              <w:left w:w="28" w:type="dxa"/>
            </w:tcMar>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rPr>
              <w:t>120</w:t>
            </w:r>
          </w:p>
        </w:tc>
      </w:tr>
      <w:tr w:rsidR="000A24EC" w:rsidRPr="008C31BA" w:rsidTr="008C31BA">
        <w:tc>
          <w:tcPr>
            <w:tcW w:w="1361" w:type="dxa"/>
          </w:tcPr>
          <w:p w:rsidR="000A24EC" w:rsidRPr="008C31BA" w:rsidRDefault="000A24EC" w:rsidP="008C31BA">
            <w:pPr>
              <w:spacing w:after="60"/>
              <w:rPr>
                <w:rFonts w:ascii="Times New Roman" w:hAnsi="Times New Roman" w:cs="Times New Roman"/>
              </w:rPr>
            </w:pPr>
            <w:r w:rsidRPr="008C31BA">
              <w:rPr>
                <w:rStyle w:val="justifytxt"/>
                <w:rFonts w:ascii="Times New Roman" w:hAnsi="Times New Roman" w:cs="Times New Roman"/>
                <w:b/>
              </w:rPr>
              <w:t>Table 3.2</w:t>
            </w:r>
          </w:p>
        </w:tc>
        <w:tc>
          <w:tcPr>
            <w:tcW w:w="6572" w:type="dxa"/>
          </w:tcPr>
          <w:p w:rsidR="000A24EC" w:rsidRPr="008C31BA" w:rsidRDefault="000A24EC" w:rsidP="008C31BA">
            <w:pPr>
              <w:tabs>
                <w:tab w:val="left" w:pos="2132"/>
              </w:tabs>
              <w:spacing w:after="60"/>
              <w:rPr>
                <w:rFonts w:ascii="Times New Roman" w:hAnsi="Times New Roman" w:cs="Times New Roman"/>
              </w:rPr>
            </w:pPr>
            <w:r w:rsidRPr="008C31BA">
              <w:rPr>
                <w:rStyle w:val="justifytxt"/>
                <w:rFonts w:ascii="Times New Roman" w:hAnsi="Times New Roman" w:cs="Times New Roman"/>
              </w:rPr>
              <w:t>Average cell length and width of ovococci</w:t>
            </w:r>
          </w:p>
        </w:tc>
        <w:tc>
          <w:tcPr>
            <w:tcW w:w="571" w:type="dxa"/>
            <w:tcMar>
              <w:left w:w="28" w:type="dxa"/>
            </w:tcMar>
          </w:tcPr>
          <w:p w:rsidR="000A24EC" w:rsidRPr="008C31BA" w:rsidRDefault="000A24EC" w:rsidP="008C31BA">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8504"/>
              </w:tabs>
              <w:spacing w:after="60"/>
              <w:rPr>
                <w:rFonts w:ascii="Times New Roman" w:hAnsi="Times New Roman" w:cs="Times New Roman"/>
              </w:rPr>
            </w:pPr>
            <w:r w:rsidRPr="008C31BA">
              <w:rPr>
                <w:rFonts w:ascii="Times New Roman" w:hAnsi="Times New Roman" w:cs="Times New Roman"/>
              </w:rPr>
              <w:t>147</w:t>
            </w:r>
          </w:p>
        </w:tc>
      </w:tr>
      <w:tr w:rsidR="000A24EC" w:rsidRPr="008C31BA" w:rsidTr="008C31BA">
        <w:tc>
          <w:tcPr>
            <w:tcW w:w="1361" w:type="dxa"/>
          </w:tcPr>
          <w:p w:rsidR="000A24EC" w:rsidRPr="008C31BA" w:rsidRDefault="000A24EC" w:rsidP="008C31BA">
            <w:pPr>
              <w:spacing w:after="60"/>
              <w:rPr>
                <w:rFonts w:ascii="Times New Roman" w:hAnsi="Times New Roman" w:cs="Times New Roman"/>
              </w:rPr>
            </w:pPr>
          </w:p>
        </w:tc>
        <w:tc>
          <w:tcPr>
            <w:tcW w:w="6572" w:type="dxa"/>
          </w:tcPr>
          <w:p w:rsidR="000A24EC" w:rsidRPr="008C31BA" w:rsidRDefault="000A24EC" w:rsidP="008C31BA">
            <w:pPr>
              <w:spacing w:after="60"/>
              <w:rPr>
                <w:rFonts w:ascii="Times New Roman" w:hAnsi="Times New Roman" w:cs="Times New Roman"/>
              </w:rPr>
            </w:pPr>
          </w:p>
        </w:tc>
        <w:tc>
          <w:tcPr>
            <w:tcW w:w="571" w:type="dxa"/>
            <w:tcMar>
              <w:left w:w="28" w:type="dxa"/>
            </w:tcMar>
          </w:tcPr>
          <w:p w:rsidR="000A24EC" w:rsidRPr="008C31BA" w:rsidRDefault="000A24EC" w:rsidP="008C31BA">
            <w:pPr>
              <w:spacing w:after="60"/>
              <w:rPr>
                <w:rFonts w:ascii="Times New Roman" w:hAnsi="Times New Roman" w:cs="Times New Roman"/>
              </w:rPr>
            </w:pPr>
          </w:p>
        </w:tc>
      </w:tr>
      <w:tr w:rsidR="000A24EC" w:rsidRPr="008C31BA" w:rsidTr="008C31BA">
        <w:tc>
          <w:tcPr>
            <w:tcW w:w="1361" w:type="dxa"/>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b/>
                <w:bCs/>
              </w:rPr>
              <w:t>Table 5.1</w:t>
            </w:r>
          </w:p>
        </w:tc>
        <w:tc>
          <w:tcPr>
            <w:tcW w:w="6572" w:type="dxa"/>
          </w:tcPr>
          <w:p w:rsidR="000A24EC" w:rsidRPr="008C31BA" w:rsidRDefault="000A24EC" w:rsidP="008C31BA">
            <w:pPr>
              <w:tabs>
                <w:tab w:val="left" w:pos="1926"/>
              </w:tabs>
              <w:spacing w:after="60"/>
              <w:rPr>
                <w:rFonts w:ascii="Times New Roman" w:hAnsi="Times New Roman" w:cs="Times New Roman"/>
              </w:rPr>
            </w:pPr>
            <w:r w:rsidRPr="008C31BA">
              <w:rPr>
                <w:rFonts w:ascii="Times New Roman" w:hAnsi="Times New Roman" w:cs="Times New Roman"/>
              </w:rPr>
              <w:t xml:space="preserve">Putative autolysins identified by an </w:t>
            </w:r>
            <w:r w:rsidRPr="008C31BA">
              <w:rPr>
                <w:rFonts w:ascii="Times New Roman" w:hAnsi="Times New Roman" w:cs="Times New Roman"/>
                <w:i/>
              </w:rPr>
              <w:t>in silico</w:t>
            </w:r>
            <w:r w:rsidRPr="008C31BA">
              <w:rPr>
                <w:rFonts w:ascii="Times New Roman" w:hAnsi="Times New Roman" w:cs="Times New Roman"/>
              </w:rPr>
              <w:t xml:space="preserve"> screen of the </w:t>
            </w:r>
            <w:r w:rsidRPr="008C31BA">
              <w:rPr>
                <w:rFonts w:ascii="Times New Roman" w:hAnsi="Times New Roman" w:cs="Times New Roman"/>
                <w:i/>
              </w:rPr>
              <w:t xml:space="preserve">S. aureus </w:t>
            </w:r>
            <w:r w:rsidRPr="008C31BA">
              <w:rPr>
                <w:rFonts w:ascii="Times New Roman" w:hAnsi="Times New Roman" w:cs="Times New Roman"/>
              </w:rPr>
              <w:t>COL genome</w:t>
            </w:r>
          </w:p>
        </w:tc>
        <w:tc>
          <w:tcPr>
            <w:tcW w:w="571" w:type="dxa"/>
            <w:tcMar>
              <w:left w:w="28" w:type="dxa"/>
            </w:tcMar>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rPr>
              <w:t>224</w:t>
            </w:r>
          </w:p>
        </w:tc>
      </w:tr>
      <w:tr w:rsidR="000A24EC" w:rsidRPr="008C31BA" w:rsidTr="008C31BA">
        <w:tc>
          <w:tcPr>
            <w:tcW w:w="1361" w:type="dxa"/>
          </w:tcPr>
          <w:p w:rsidR="000A24EC" w:rsidRPr="008C31BA" w:rsidRDefault="000A24EC" w:rsidP="008C31BA">
            <w:pPr>
              <w:spacing w:after="60"/>
              <w:rPr>
                <w:rFonts w:ascii="Times New Roman" w:hAnsi="Times New Roman" w:cs="Times New Roman"/>
              </w:rPr>
            </w:pPr>
            <w:r w:rsidRPr="008C31BA">
              <w:rPr>
                <w:rStyle w:val="justifytxt"/>
                <w:rFonts w:ascii="Times New Roman" w:hAnsi="Times New Roman" w:cs="Times New Roman"/>
                <w:b/>
              </w:rPr>
              <w:t>Table 5.2</w:t>
            </w:r>
          </w:p>
        </w:tc>
        <w:tc>
          <w:tcPr>
            <w:tcW w:w="6572" w:type="dxa"/>
          </w:tcPr>
          <w:p w:rsidR="000A24EC" w:rsidRPr="008C31BA" w:rsidRDefault="000A24EC" w:rsidP="008C31BA">
            <w:pPr>
              <w:spacing w:after="60"/>
              <w:rPr>
                <w:rFonts w:ascii="Times New Roman" w:hAnsi="Times New Roman" w:cs="Times New Roman"/>
              </w:rPr>
            </w:pPr>
            <w:r w:rsidRPr="008C31BA">
              <w:rPr>
                <w:rStyle w:val="justifytxt"/>
                <w:rFonts w:ascii="Times New Roman" w:hAnsi="Times New Roman" w:cs="Times New Roman"/>
              </w:rPr>
              <w:t xml:space="preserve">Distribution of glycan chain length </w:t>
            </w:r>
            <w:r w:rsidRPr="008C31BA">
              <w:rPr>
                <w:rStyle w:val="justifytxt"/>
                <w:rFonts w:ascii="Times New Roman" w:hAnsi="Times New Roman" w:cs="Times New Roman"/>
                <w:i/>
              </w:rPr>
              <w:t xml:space="preserve">S. aureus </w:t>
            </w:r>
            <w:r w:rsidRPr="008C31BA">
              <w:rPr>
                <w:rStyle w:val="justifytxt"/>
                <w:rFonts w:ascii="Times New Roman" w:hAnsi="Times New Roman" w:cs="Times New Roman"/>
              </w:rPr>
              <w:t>glucosaminidase mutants</w:t>
            </w:r>
          </w:p>
        </w:tc>
        <w:tc>
          <w:tcPr>
            <w:tcW w:w="571" w:type="dxa"/>
            <w:tcMar>
              <w:left w:w="28" w:type="dxa"/>
            </w:tcMar>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rPr>
              <w:t>244</w:t>
            </w:r>
          </w:p>
        </w:tc>
      </w:tr>
      <w:tr w:rsidR="000A24EC" w:rsidRPr="008C31BA" w:rsidTr="008C31BA">
        <w:trPr>
          <w:trHeight w:val="85"/>
        </w:trPr>
        <w:tc>
          <w:tcPr>
            <w:tcW w:w="1361" w:type="dxa"/>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b/>
              </w:rPr>
              <w:t>Table 5.3</w:t>
            </w:r>
          </w:p>
        </w:tc>
        <w:tc>
          <w:tcPr>
            <w:tcW w:w="6572" w:type="dxa"/>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rPr>
              <w:t>Summary of cell measurements</w:t>
            </w:r>
          </w:p>
        </w:tc>
        <w:tc>
          <w:tcPr>
            <w:tcW w:w="571" w:type="dxa"/>
            <w:tcMar>
              <w:left w:w="28" w:type="dxa"/>
            </w:tcMar>
          </w:tcPr>
          <w:p w:rsidR="000A24EC" w:rsidRPr="008C31BA" w:rsidRDefault="000A24EC" w:rsidP="008C31BA">
            <w:pPr>
              <w:spacing w:after="60"/>
              <w:rPr>
                <w:rFonts w:ascii="Times New Roman" w:hAnsi="Times New Roman" w:cs="Times New Roman"/>
              </w:rPr>
            </w:pPr>
            <w:r w:rsidRPr="008C31BA">
              <w:rPr>
                <w:rFonts w:ascii="Times New Roman" w:hAnsi="Times New Roman" w:cs="Times New Roman"/>
              </w:rPr>
              <w:t>255</w:t>
            </w:r>
          </w:p>
        </w:tc>
      </w:tr>
    </w:tbl>
    <w:p w:rsidR="00BC7652" w:rsidRDefault="00BC7652" w:rsidP="000A24EC">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ascii="Times New Roman" w:hAnsi="Times New Roman" w:cs="Times New Roman"/>
          <w:sz w:val="28"/>
          <w:szCs w:val="28"/>
        </w:rPr>
      </w:pPr>
    </w:p>
    <w:p w:rsidR="00BC7652" w:rsidRDefault="00BC7652">
      <w:pPr>
        <w:rPr>
          <w:rFonts w:ascii="Times New Roman" w:hAnsi="Times New Roman" w:cs="Times New Roman"/>
          <w:sz w:val="28"/>
          <w:szCs w:val="28"/>
        </w:rPr>
      </w:pPr>
      <w:r>
        <w:rPr>
          <w:rFonts w:ascii="Times New Roman" w:hAnsi="Times New Roman" w:cs="Times New Roman"/>
          <w:sz w:val="28"/>
          <w:szCs w:val="28"/>
        </w:rPr>
        <w:br w:type="page"/>
      </w:r>
    </w:p>
    <w:p w:rsidR="00BC7652" w:rsidRDefault="00BC7652" w:rsidP="00BC7652">
      <w:pPr>
        <w:spacing w:line="480" w:lineRule="auto"/>
        <w:jc w:val="center"/>
        <w:rPr>
          <w:rFonts w:ascii="Times New Roman" w:hAnsi="Times New Roman" w:cs="Times New Roman"/>
          <w:sz w:val="28"/>
          <w:szCs w:val="28"/>
        </w:rPr>
        <w:sectPr w:rsidR="00BC7652" w:rsidSect="00BC7652">
          <w:footerReference w:type="default" r:id="rId8"/>
          <w:pgSz w:w="11906" w:h="16838"/>
          <w:pgMar w:top="1440" w:right="1134" w:bottom="1440" w:left="2268" w:header="708" w:footer="708" w:gutter="0"/>
          <w:pgNumType w:fmt="lowerRoman"/>
          <w:cols w:space="708"/>
          <w:docGrid w:linePitch="360"/>
        </w:sectPr>
      </w:pPr>
    </w:p>
    <w:p w:rsidR="00BC7652" w:rsidRDefault="00BC7652" w:rsidP="00BC7652">
      <w:pPr>
        <w:spacing w:line="480" w:lineRule="auto"/>
        <w:jc w:val="center"/>
        <w:rPr>
          <w:rFonts w:ascii="Times New Roman" w:hAnsi="Times New Roman" w:cs="Times New Roman"/>
          <w:sz w:val="28"/>
          <w:szCs w:val="28"/>
        </w:rPr>
      </w:pPr>
      <w:r w:rsidRPr="00A7211C">
        <w:rPr>
          <w:rFonts w:ascii="Times New Roman" w:hAnsi="Times New Roman" w:cs="Times New Roman"/>
          <w:sz w:val="28"/>
          <w:szCs w:val="28"/>
        </w:rPr>
        <w:lastRenderedPageBreak/>
        <w:t xml:space="preserve">Chapter </w:t>
      </w:r>
      <w:r>
        <w:rPr>
          <w:rFonts w:ascii="Times New Roman" w:hAnsi="Times New Roman" w:cs="Times New Roman"/>
          <w:sz w:val="28"/>
          <w:szCs w:val="28"/>
        </w:rPr>
        <w:t>1</w:t>
      </w:r>
    </w:p>
    <w:p w:rsidR="00BC7652" w:rsidRDefault="00BC7652" w:rsidP="00BC7652">
      <w:pPr>
        <w:spacing w:line="480" w:lineRule="auto"/>
        <w:jc w:val="center"/>
        <w:rPr>
          <w:rFonts w:ascii="Times New Roman" w:hAnsi="Times New Roman" w:cs="Times New Roman"/>
          <w:sz w:val="28"/>
          <w:szCs w:val="28"/>
        </w:rPr>
      </w:pPr>
      <w:r>
        <w:rPr>
          <w:rFonts w:ascii="Times New Roman" w:hAnsi="Times New Roman" w:cs="Times New Roman"/>
          <w:sz w:val="28"/>
          <w:szCs w:val="28"/>
        </w:rPr>
        <w:t>Introduction</w:t>
      </w:r>
    </w:p>
    <w:p w:rsidR="00BC7652" w:rsidRPr="003D494A" w:rsidRDefault="00BC7652" w:rsidP="00BC7652">
      <w:pPr>
        <w:spacing w:line="480" w:lineRule="auto"/>
        <w:jc w:val="center"/>
        <w:rPr>
          <w:rFonts w:ascii="Times New Roman" w:hAnsi="Times New Roman" w:cs="Times New Roman"/>
          <w:sz w:val="24"/>
          <w:szCs w:val="24"/>
        </w:rPr>
      </w:pPr>
    </w:p>
    <w:p w:rsidR="00BC7652" w:rsidRPr="00067DD9" w:rsidRDefault="00BC7652" w:rsidP="00BC7652">
      <w:pPr>
        <w:autoSpaceDE w:val="0"/>
        <w:autoSpaceDN w:val="0"/>
        <w:adjustRightInd w:val="0"/>
        <w:spacing w:after="120" w:line="480" w:lineRule="auto"/>
        <w:jc w:val="both"/>
        <w:rPr>
          <w:rFonts w:ascii="Times New Roman" w:hAnsi="Times New Roman" w:cs="Times New Roman"/>
          <w:color w:val="000000"/>
          <w:sz w:val="24"/>
          <w:szCs w:val="24"/>
        </w:rPr>
      </w:pPr>
      <w:r w:rsidRPr="00067DD9">
        <w:rPr>
          <w:rFonts w:ascii="Times New Roman" w:hAnsi="Times New Roman" w:cs="Times New Roman"/>
          <w:color w:val="000000"/>
          <w:sz w:val="24"/>
          <w:szCs w:val="24"/>
        </w:rPr>
        <w:t>The major structural component of the bacterial cell wall, peptidoglycan, is essential for shape determination and cellular integrity</w:t>
      </w:r>
      <w:r>
        <w:rPr>
          <w:rFonts w:ascii="Times New Roman" w:hAnsi="Times New Roman" w:cs="Times New Roman"/>
          <w:color w:val="000000"/>
          <w:sz w:val="24"/>
          <w:szCs w:val="24"/>
        </w:rPr>
        <w:t>, as it</w:t>
      </w:r>
      <w:r w:rsidRPr="00067DD9">
        <w:rPr>
          <w:rFonts w:ascii="Times New Roman" w:hAnsi="Times New Roman" w:cs="Times New Roman"/>
          <w:color w:val="000000"/>
          <w:sz w:val="24"/>
          <w:szCs w:val="24"/>
        </w:rPr>
        <w:t xml:space="preserve"> </w:t>
      </w:r>
      <w:r w:rsidRPr="00D01EB8">
        <w:rPr>
          <w:rFonts w:ascii="Times New Roman" w:hAnsi="Times New Roman" w:cs="Times New Roman"/>
          <w:sz w:val="24"/>
          <w:szCs w:val="24"/>
        </w:rPr>
        <w:t>provid</w:t>
      </w:r>
      <w:r>
        <w:rPr>
          <w:rFonts w:ascii="Times New Roman" w:hAnsi="Times New Roman" w:cs="Times New Roman"/>
          <w:sz w:val="24"/>
          <w:szCs w:val="24"/>
        </w:rPr>
        <w:t>es</w:t>
      </w:r>
      <w:r w:rsidRPr="00D01EB8">
        <w:rPr>
          <w:rFonts w:ascii="Times New Roman" w:hAnsi="Times New Roman" w:cs="Times New Roman"/>
          <w:sz w:val="24"/>
          <w:szCs w:val="24"/>
        </w:rPr>
        <w:t xml:space="preserve"> mechanical strength to </w:t>
      </w:r>
      <w:r>
        <w:rPr>
          <w:rFonts w:ascii="Times New Roman" w:hAnsi="Times New Roman" w:cs="Times New Roman"/>
          <w:sz w:val="24"/>
          <w:szCs w:val="24"/>
        </w:rPr>
        <w:t>resist</w:t>
      </w:r>
      <w:r w:rsidRPr="00D01EB8">
        <w:rPr>
          <w:rFonts w:ascii="Times New Roman" w:hAnsi="Times New Roman" w:cs="Times New Roman"/>
          <w:sz w:val="24"/>
          <w:szCs w:val="24"/>
        </w:rPr>
        <w:t xml:space="preserve"> high </w:t>
      </w:r>
      <w:r>
        <w:rPr>
          <w:rFonts w:ascii="Times New Roman" w:hAnsi="Times New Roman" w:cs="Times New Roman"/>
          <w:sz w:val="24"/>
          <w:szCs w:val="24"/>
        </w:rPr>
        <w:t>intracellular turgor</w:t>
      </w:r>
      <w:r w:rsidRPr="00D01EB8">
        <w:rPr>
          <w:rFonts w:ascii="Times New Roman" w:hAnsi="Times New Roman" w:cs="Times New Roman"/>
          <w:sz w:val="24"/>
          <w:szCs w:val="24"/>
        </w:rPr>
        <w:t xml:space="preserve"> </w:t>
      </w:r>
      <w:r w:rsidRPr="0086053E">
        <w:rPr>
          <w:rFonts w:ascii="Times New Roman" w:hAnsi="Times New Roman" w:cs="Times New Roman"/>
          <w:color w:val="000000" w:themeColor="text1"/>
          <w:sz w:val="24"/>
          <w:szCs w:val="24"/>
        </w:rPr>
        <w:t>pressure (Weidel and Pelzer, 1964). Peptidoglycan</w:t>
      </w:r>
      <w:r w:rsidRPr="00067DD9">
        <w:rPr>
          <w:rFonts w:ascii="Times New Roman" w:hAnsi="Times New Roman" w:cs="Times New Roman"/>
          <w:color w:val="000000"/>
          <w:sz w:val="24"/>
          <w:szCs w:val="24"/>
        </w:rPr>
        <w:t xml:space="preserve"> is unique to the bacterial kingdom and its biosynthesis is the site of action of some of the most clinically </w:t>
      </w:r>
      <w:r w:rsidRPr="0086053E">
        <w:rPr>
          <w:rFonts w:ascii="Times New Roman" w:hAnsi="Times New Roman" w:cs="Times New Roman"/>
          <w:color w:val="000000" w:themeColor="text1"/>
          <w:sz w:val="24"/>
          <w:szCs w:val="24"/>
        </w:rPr>
        <w:t>important antibiotics such as the beta-lactams (e.g. penicillin) and glycopeptides (e.g. vancomycin) (Park and Strominger, 1957; Courvalin, 2006). Despite an essential structural role, the bacterial cell wall is highly dynamic and intimately involved in a broad range of cellular processes</w:t>
      </w:r>
      <w:r>
        <w:rPr>
          <w:rFonts w:ascii="Times New Roman" w:hAnsi="Times New Roman" w:cs="Times New Roman"/>
          <w:sz w:val="24"/>
          <w:szCs w:val="24"/>
        </w:rPr>
        <w:t xml:space="preserve">, including growth and division, morphogenesis, chromosome segregation, interaction between the bacterium and environment, biofilm formation, pathogenesis, </w:t>
      </w:r>
      <w:r w:rsidRPr="0086053E">
        <w:rPr>
          <w:rFonts w:ascii="Times New Roman" w:hAnsi="Times New Roman" w:cs="Times New Roman"/>
          <w:color w:val="000000" w:themeColor="text1"/>
          <w:sz w:val="24"/>
          <w:szCs w:val="24"/>
        </w:rPr>
        <w:t xml:space="preserve">homeostasis of the membrane-proximal ionic environment and movement of material in and out of the cell </w:t>
      </w:r>
      <w:r w:rsidRPr="0086053E">
        <w:rPr>
          <w:rFonts w:ascii="Times New Roman" w:hAnsi="Times New Roman" w:cs="Times New Roman"/>
          <w:color w:val="000000" w:themeColor="text1"/>
          <w:sz w:val="24"/>
          <w:szCs w:val="24"/>
        </w:rPr>
        <w:fldChar w:fldCharType="begin"/>
      </w:r>
      <w:r w:rsidRPr="0086053E">
        <w:rPr>
          <w:rFonts w:ascii="Times New Roman" w:hAnsi="Times New Roman" w:cs="Times New Roman"/>
          <w:color w:val="000000" w:themeColor="text1"/>
          <w:sz w:val="24"/>
          <w:szCs w:val="24"/>
        </w:rPr>
        <w:instrText xml:space="preserve"> ADDIN ZOTERO_ITEM CSL_CITATION {"citationID":"stuc0apj9","properties":{"formattedCitation":"(Archibald et al., 1993)","plainCitation":"(Archibald et al., 1993)"},"citationItems":[{"id":170,"uris":["http://zotero.org/users/944474/items/BWD8VX7D"],"uri":["http://zotero.org/users/944474/items/BWD8VX7D"],"itemData":{"id":170,"type":"chapter","title":"Cell wall structure, synthesis and turnover","container-title":"Bacillus subtilis and other gram-positive bacteria : biochemistry, physiology, and molecular genetics","publisher":"American Society for Microbiology","publisher-place":"Washington, D.C.","page":"381-410","event-place":"Washington, D.C.","ISBN":"1555810535 9781555810535","language":"English","editor":[{"family":"Sonenshein","given":"A. L"},{"family":"Hoch","given":"James A"},{"family":"Losick","given":"Richard"}],"author":[{"family":"Archibald","given":"A. R"},{"family":"Hancock","given":"I. C"},{"family":"Harwood","given":"C. R"}],"issued":{"year":1993},"page-first":"381"}}],"schema":"https://github.com/citation-style-language/schema/raw/master/csl-citation.json"} </w:instrText>
      </w:r>
      <w:r w:rsidRPr="0086053E">
        <w:rPr>
          <w:rFonts w:ascii="Times New Roman" w:hAnsi="Times New Roman" w:cs="Times New Roman"/>
          <w:color w:val="000000" w:themeColor="text1"/>
          <w:sz w:val="24"/>
          <w:szCs w:val="24"/>
        </w:rPr>
        <w:fldChar w:fldCharType="separate"/>
      </w:r>
      <w:r w:rsidRPr="0086053E">
        <w:rPr>
          <w:rFonts w:ascii="Times New Roman" w:hAnsi="Times New Roman" w:cs="Times New Roman"/>
          <w:color w:val="000000" w:themeColor="text1"/>
          <w:sz w:val="24"/>
        </w:rPr>
        <w:t xml:space="preserve">(Archibald </w:t>
      </w:r>
      <w:r w:rsidRPr="002F5D6E">
        <w:rPr>
          <w:rFonts w:ascii="Times New Roman" w:hAnsi="Times New Roman" w:cs="Times New Roman"/>
          <w:i/>
          <w:color w:val="000000" w:themeColor="text1"/>
          <w:sz w:val="24"/>
        </w:rPr>
        <w:t>et al</w:t>
      </w:r>
      <w:r w:rsidRPr="0086053E">
        <w:rPr>
          <w:rFonts w:ascii="Times New Roman" w:hAnsi="Times New Roman" w:cs="Times New Roman"/>
          <w:color w:val="000000" w:themeColor="text1"/>
          <w:sz w:val="24"/>
        </w:rPr>
        <w:t>., 1993)</w:t>
      </w:r>
      <w:r w:rsidRPr="0086053E">
        <w:rPr>
          <w:rFonts w:ascii="Times New Roman" w:hAnsi="Times New Roman" w:cs="Times New Roman"/>
          <w:color w:val="000000" w:themeColor="text1"/>
          <w:sz w:val="24"/>
          <w:szCs w:val="24"/>
        </w:rPr>
        <w:fldChar w:fldCharType="end"/>
      </w:r>
      <w:r w:rsidRPr="0086053E">
        <w:rPr>
          <w:rFonts w:ascii="Times New Roman" w:hAnsi="Times New Roman" w:cs="Times New Roman"/>
          <w:color w:val="000000" w:themeColor="text1"/>
          <w:sz w:val="24"/>
          <w:szCs w:val="24"/>
        </w:rPr>
        <w:t>. These dynamic processes must occur without</w:t>
      </w:r>
      <w:r>
        <w:rPr>
          <w:rFonts w:ascii="Times New Roman" w:hAnsi="Times New Roman" w:cs="Times New Roman"/>
          <w:sz w:val="24"/>
          <w:szCs w:val="24"/>
        </w:rPr>
        <w:t xml:space="preserve"> compromising cell wall integrity, which would lead to lysis and death.</w:t>
      </w:r>
    </w:p>
    <w:p w:rsidR="00BC7652" w:rsidRPr="00E36DA8" w:rsidRDefault="00BC7652" w:rsidP="00BC7652">
      <w:pPr>
        <w:spacing w:line="480" w:lineRule="auto"/>
        <w:jc w:val="both"/>
        <w:rPr>
          <w:rFonts w:ascii="Times New Roman" w:hAnsi="Times New Roman" w:cs="Times New Roman"/>
          <w:sz w:val="24"/>
          <w:szCs w:val="24"/>
        </w:rPr>
      </w:pPr>
    </w:p>
    <w:p w:rsidR="00BC7652" w:rsidRPr="005E7F7B" w:rsidRDefault="00BC7652" w:rsidP="00BC7652">
      <w:pPr>
        <w:pStyle w:val="ListParagraph"/>
        <w:numPr>
          <w:ilvl w:val="1"/>
          <w:numId w:val="1"/>
        </w:numPr>
        <w:spacing w:line="480" w:lineRule="auto"/>
        <w:ind w:left="1276" w:hanging="1276"/>
        <w:rPr>
          <w:rFonts w:ascii="Times New Roman" w:hAnsi="Times New Roman" w:cs="Times New Roman"/>
          <w:sz w:val="28"/>
          <w:szCs w:val="28"/>
        </w:rPr>
      </w:pPr>
      <w:r w:rsidRPr="005E7F7B">
        <w:rPr>
          <w:rFonts w:ascii="Times New Roman" w:hAnsi="Times New Roman" w:cs="Times New Roman"/>
          <w:sz w:val="28"/>
          <w:szCs w:val="28"/>
        </w:rPr>
        <w:t>The bacterial cell wall</w:t>
      </w:r>
    </w:p>
    <w:p w:rsidR="00BC7652" w:rsidRDefault="00BC7652" w:rsidP="00BC7652">
      <w:pPr>
        <w:spacing w:line="480" w:lineRule="auto"/>
        <w:jc w:val="both"/>
        <w:rPr>
          <w:rFonts w:ascii="Times New Roman" w:hAnsi="Times New Roman" w:cs="Times New Roman"/>
          <w:sz w:val="24"/>
          <w:szCs w:val="24"/>
        </w:rPr>
      </w:pPr>
      <w:r>
        <w:rPr>
          <w:rFonts w:ascii="Times New Roman" w:hAnsi="Times New Roman" w:cs="Times New Roman"/>
          <w:sz w:val="24"/>
          <w:szCs w:val="24"/>
        </w:rPr>
        <w:t>The bacterial cell wall protects and maintains the underlying, membrane-bound cytoplasm in a broad range of environments. The f</w:t>
      </w:r>
      <w:r w:rsidRPr="00D01EB8">
        <w:rPr>
          <w:rFonts w:ascii="Times New Roman" w:hAnsi="Times New Roman" w:cs="Times New Roman"/>
          <w:sz w:val="24"/>
          <w:szCs w:val="24"/>
        </w:rPr>
        <w:t xml:space="preserve">ew species </w:t>
      </w:r>
      <w:r>
        <w:rPr>
          <w:rFonts w:ascii="Times New Roman" w:hAnsi="Times New Roman" w:cs="Times New Roman"/>
          <w:sz w:val="24"/>
          <w:szCs w:val="24"/>
        </w:rPr>
        <w:t xml:space="preserve">that </w:t>
      </w:r>
      <w:r w:rsidRPr="00D01EB8">
        <w:rPr>
          <w:rFonts w:ascii="Times New Roman" w:hAnsi="Times New Roman" w:cs="Times New Roman"/>
          <w:sz w:val="24"/>
          <w:szCs w:val="24"/>
        </w:rPr>
        <w:t xml:space="preserve">do not possess </w:t>
      </w:r>
      <w:r>
        <w:rPr>
          <w:rFonts w:ascii="Times New Roman" w:hAnsi="Times New Roman" w:cs="Times New Roman"/>
          <w:sz w:val="24"/>
          <w:szCs w:val="24"/>
        </w:rPr>
        <w:t>a cell wall are</w:t>
      </w:r>
      <w:r w:rsidRPr="00D01EB8">
        <w:rPr>
          <w:rFonts w:ascii="Times New Roman" w:hAnsi="Times New Roman" w:cs="Times New Roman"/>
          <w:sz w:val="24"/>
          <w:szCs w:val="24"/>
        </w:rPr>
        <w:t xml:space="preserve"> halophiles or intracellular parasites, which </w:t>
      </w:r>
      <w:r>
        <w:rPr>
          <w:rFonts w:ascii="Times New Roman" w:hAnsi="Times New Roman" w:cs="Times New Roman"/>
          <w:sz w:val="24"/>
          <w:szCs w:val="24"/>
        </w:rPr>
        <w:t>survive as</w:t>
      </w:r>
      <w:r w:rsidRPr="00D01EB8">
        <w:rPr>
          <w:rFonts w:ascii="Times New Roman" w:hAnsi="Times New Roman" w:cs="Times New Roman"/>
          <w:sz w:val="24"/>
          <w:szCs w:val="24"/>
        </w:rPr>
        <w:t xml:space="preserve"> protoplast</w:t>
      </w:r>
      <w:r>
        <w:rPr>
          <w:rFonts w:ascii="Times New Roman" w:hAnsi="Times New Roman" w:cs="Times New Roman"/>
          <w:sz w:val="24"/>
          <w:szCs w:val="24"/>
        </w:rPr>
        <w:t>s</w:t>
      </w:r>
      <w:r w:rsidRPr="00D01EB8">
        <w:rPr>
          <w:rFonts w:ascii="Times New Roman" w:hAnsi="Times New Roman" w:cs="Times New Roman"/>
          <w:sz w:val="24"/>
          <w:szCs w:val="24"/>
        </w:rPr>
        <w:t xml:space="preserve"> </w:t>
      </w:r>
      <w:r>
        <w:rPr>
          <w:rFonts w:ascii="Times New Roman" w:hAnsi="Times New Roman" w:cs="Times New Roman"/>
          <w:sz w:val="24"/>
          <w:szCs w:val="24"/>
        </w:rPr>
        <w:t>restricted to their osmotically favourable niches</w:t>
      </w:r>
      <w:r w:rsidRPr="00D01EB8">
        <w:rPr>
          <w:rFonts w:ascii="Times New Roman" w:hAnsi="Times New Roman" w:cs="Times New Roman"/>
          <w:sz w:val="24"/>
          <w:szCs w:val="24"/>
        </w:rPr>
        <w:t>.</w:t>
      </w:r>
      <w:r>
        <w:rPr>
          <w:rFonts w:ascii="Times New Roman" w:hAnsi="Times New Roman" w:cs="Times New Roman"/>
          <w:sz w:val="24"/>
          <w:szCs w:val="24"/>
        </w:rPr>
        <w:t xml:space="preserve"> C</w:t>
      </w:r>
      <w:r w:rsidRPr="00E36DA8">
        <w:rPr>
          <w:rFonts w:ascii="Times New Roman" w:hAnsi="Times New Roman" w:cs="Times New Roman"/>
          <w:sz w:val="24"/>
          <w:szCs w:val="24"/>
        </w:rPr>
        <w:t>ell wall containing bacteria</w:t>
      </w:r>
      <w:r>
        <w:rPr>
          <w:rFonts w:ascii="Times New Roman" w:hAnsi="Times New Roman" w:cs="Times New Roman"/>
          <w:sz w:val="24"/>
          <w:szCs w:val="24"/>
        </w:rPr>
        <w:t xml:space="preserve"> fall into two groups,</w:t>
      </w:r>
      <w:r w:rsidRPr="00911616">
        <w:rPr>
          <w:rFonts w:ascii="Times New Roman" w:hAnsi="Times New Roman" w:cs="Times New Roman"/>
          <w:sz w:val="24"/>
          <w:szCs w:val="24"/>
        </w:rPr>
        <w:t xml:space="preserve"> </w:t>
      </w:r>
      <w:r>
        <w:rPr>
          <w:rFonts w:ascii="Times New Roman" w:hAnsi="Times New Roman" w:cs="Times New Roman"/>
          <w:sz w:val="24"/>
          <w:szCs w:val="24"/>
        </w:rPr>
        <w:t xml:space="preserve">Gram-positive and Gram-negative, based on fundamental difference in the cell envelope </w:t>
      </w:r>
      <w:r w:rsidRPr="0086053E">
        <w:rPr>
          <w:rFonts w:ascii="Times New Roman" w:hAnsi="Times New Roman" w:cs="Times New Roman"/>
          <w:color w:val="000000" w:themeColor="text1"/>
          <w:sz w:val="24"/>
          <w:szCs w:val="24"/>
        </w:rPr>
        <w:lastRenderedPageBreak/>
        <w:t>structure (Figure 1.1</w:t>
      </w:r>
      <w:r>
        <w:rPr>
          <w:rFonts w:ascii="Times New Roman" w:hAnsi="Times New Roman" w:cs="Times New Roman"/>
          <w:color w:val="000000" w:themeColor="text1"/>
          <w:sz w:val="24"/>
          <w:szCs w:val="24"/>
        </w:rPr>
        <w:t>;</w:t>
      </w:r>
      <w:r w:rsidRPr="0086053E">
        <w:rPr>
          <w:rFonts w:ascii="Times New Roman" w:hAnsi="Times New Roman" w:cs="Times New Roman"/>
          <w:color w:val="000000" w:themeColor="text1"/>
          <w:sz w:val="24"/>
          <w:szCs w:val="24"/>
        </w:rPr>
        <w:t xml:space="preserve"> </w:t>
      </w:r>
      <w:r w:rsidRPr="0086053E">
        <w:rPr>
          <w:rFonts w:ascii="Times New Roman" w:hAnsi="Times New Roman" w:cs="Times New Roman"/>
          <w:color w:val="000000" w:themeColor="text1"/>
          <w:sz w:val="24"/>
          <w:szCs w:val="24"/>
        </w:rPr>
        <w:fldChar w:fldCharType="begin"/>
      </w:r>
      <w:r w:rsidRPr="0086053E">
        <w:rPr>
          <w:rFonts w:ascii="Times New Roman" w:hAnsi="Times New Roman" w:cs="Times New Roman"/>
          <w:color w:val="000000" w:themeColor="text1"/>
          <w:sz w:val="24"/>
          <w:szCs w:val="24"/>
        </w:rPr>
        <w:instrText xml:space="preserve"> ADDIN ZOTERO_ITEM CSL_CITATION {"citationID":"p1h7kgje","properties":{"formattedCitation":"(Madigan et al., 2002)","plainCitation":"(Madigan et al., 2002)"},"citationItems":[{"id":171,"uris":["http://zotero.org/users/944474/items/TRXXKNTH"],"uri":["http://zotero.org/users/944474/items/TRXXKNTH"],"itemData":{"id":171,"type":"book","title":"Brock biology of microorganisms","publisher":"Prentice Hall/Pearson Education","publisher-place":"Upper Saddle River, NJ","event-place":"Upper Saddle River, NJ","ISBN":"0130662712 9780130662712 0130491470 9780130491473","language":"English","author":[{"family":"Madigan","given":"Michael T"},{"family":"Martinko","given":"John M"},{"family":"Parker","given":"Jack"}],"issued":{"year":2002}}}],"schema":"https://github.com/citation-style-language/schema/raw/master/csl-citation.json"} </w:instrText>
      </w:r>
      <w:r w:rsidRPr="0086053E">
        <w:rPr>
          <w:rFonts w:ascii="Times New Roman" w:hAnsi="Times New Roman" w:cs="Times New Roman"/>
          <w:color w:val="000000" w:themeColor="text1"/>
          <w:sz w:val="24"/>
          <w:szCs w:val="24"/>
        </w:rPr>
        <w:fldChar w:fldCharType="separate"/>
      </w:r>
      <w:r w:rsidRPr="0086053E">
        <w:rPr>
          <w:rFonts w:ascii="Times New Roman" w:hAnsi="Times New Roman" w:cs="Times New Roman"/>
          <w:color w:val="000000" w:themeColor="text1"/>
          <w:sz w:val="24"/>
        </w:rPr>
        <w:t xml:space="preserve">Madigan </w:t>
      </w:r>
      <w:r w:rsidRPr="002F5D6E">
        <w:rPr>
          <w:rFonts w:ascii="Times New Roman" w:hAnsi="Times New Roman" w:cs="Times New Roman"/>
          <w:i/>
          <w:color w:val="000000" w:themeColor="text1"/>
          <w:sz w:val="24"/>
        </w:rPr>
        <w:t>et al</w:t>
      </w:r>
      <w:r w:rsidRPr="0086053E">
        <w:rPr>
          <w:rFonts w:ascii="Times New Roman" w:hAnsi="Times New Roman" w:cs="Times New Roman"/>
          <w:color w:val="000000" w:themeColor="text1"/>
          <w:sz w:val="24"/>
        </w:rPr>
        <w:t>., 2002)</w:t>
      </w:r>
      <w:r w:rsidRPr="0086053E">
        <w:rPr>
          <w:rFonts w:ascii="Times New Roman" w:hAnsi="Times New Roman" w:cs="Times New Roman"/>
          <w:color w:val="000000" w:themeColor="text1"/>
          <w:sz w:val="24"/>
          <w:szCs w:val="24"/>
        </w:rPr>
        <w:fldChar w:fldCharType="end"/>
      </w:r>
      <w:r w:rsidRPr="0086053E">
        <w:rPr>
          <w:rFonts w:ascii="Times New Roman" w:hAnsi="Times New Roman" w:cs="Times New Roman"/>
          <w:color w:val="000000" w:themeColor="text1"/>
          <w:sz w:val="24"/>
          <w:szCs w:val="24"/>
        </w:rPr>
        <w:t>. A few species, such</w:t>
      </w:r>
      <w:r>
        <w:rPr>
          <w:rFonts w:ascii="Times New Roman" w:hAnsi="Times New Roman" w:cs="Times New Roman"/>
          <w:sz w:val="24"/>
          <w:szCs w:val="24"/>
        </w:rPr>
        <w:t xml:space="preserve"> as </w:t>
      </w:r>
      <w:r>
        <w:rPr>
          <w:rFonts w:ascii="Times New Roman" w:hAnsi="Times New Roman" w:cs="Times New Roman"/>
          <w:i/>
          <w:sz w:val="24"/>
          <w:szCs w:val="24"/>
        </w:rPr>
        <w:t>Mycobacteria</w:t>
      </w:r>
      <w:r>
        <w:rPr>
          <w:rFonts w:ascii="Times New Roman" w:hAnsi="Times New Roman" w:cs="Times New Roman"/>
          <w:sz w:val="24"/>
          <w:szCs w:val="24"/>
        </w:rPr>
        <w:t>, are difficult to classify as they have a unique envelope composition.</w:t>
      </w:r>
    </w:p>
    <w:p w:rsidR="00BC7652" w:rsidRDefault="00BC7652" w:rsidP="00BC7652">
      <w:pPr>
        <w:spacing w:line="480" w:lineRule="auto"/>
        <w:jc w:val="both"/>
        <w:rPr>
          <w:rFonts w:ascii="Times New Roman" w:hAnsi="Times New Roman" w:cs="Times New Roman"/>
          <w:sz w:val="24"/>
          <w:szCs w:val="24"/>
        </w:rPr>
      </w:pPr>
    </w:p>
    <w:p w:rsidR="00BC7652" w:rsidRPr="00E863A1" w:rsidRDefault="00BC7652" w:rsidP="00BC7652">
      <w:pPr>
        <w:tabs>
          <w:tab w:val="left" w:pos="1276"/>
        </w:tabs>
        <w:spacing w:line="480" w:lineRule="auto"/>
        <w:jc w:val="both"/>
        <w:rPr>
          <w:rFonts w:ascii="Times New Roman" w:hAnsi="Times New Roman" w:cs="Times New Roman"/>
          <w:sz w:val="28"/>
          <w:szCs w:val="28"/>
        </w:rPr>
      </w:pPr>
      <w:r w:rsidRPr="00E863A1">
        <w:rPr>
          <w:rFonts w:ascii="Times New Roman" w:hAnsi="Times New Roman" w:cs="Times New Roman"/>
          <w:sz w:val="28"/>
          <w:szCs w:val="28"/>
        </w:rPr>
        <w:t>1.1.1</w:t>
      </w:r>
      <w:r w:rsidRPr="00E863A1">
        <w:rPr>
          <w:rFonts w:ascii="Times New Roman" w:hAnsi="Times New Roman" w:cs="Times New Roman"/>
          <w:sz w:val="28"/>
          <w:szCs w:val="28"/>
        </w:rPr>
        <w:tab/>
        <w:t>The Gram</w:t>
      </w:r>
      <w:r>
        <w:rPr>
          <w:rFonts w:ascii="Times New Roman" w:hAnsi="Times New Roman" w:cs="Times New Roman"/>
          <w:sz w:val="28"/>
          <w:szCs w:val="28"/>
        </w:rPr>
        <w:t xml:space="preserve"> negative envelope</w:t>
      </w:r>
    </w:p>
    <w:p w:rsidR="00BC7652" w:rsidRPr="000D1271" w:rsidRDefault="00BC7652" w:rsidP="00BC7652">
      <w:pPr>
        <w:spacing w:line="48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The innermost layer of the cell envelope is the cytoplasmic membrane, the major hydrophobic barrier between the cytoplasm and the external environment. Gram-negative bacteria have a second, outer membrane</w:t>
      </w:r>
      <w:r w:rsidRPr="000D1271">
        <w:rPr>
          <w:rFonts w:ascii="Times New Roman" w:hAnsi="Times New Roman" w:cs="Times New Roman"/>
          <w:color w:val="000000" w:themeColor="text1"/>
          <w:sz w:val="24"/>
          <w:szCs w:val="24"/>
        </w:rPr>
        <w:t xml:space="preserve">, the external leaf comprising mainly negatively charged lipopolysaccharide (LPS)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{"citationID":"525v59lj4","properties":{"formattedCitation":"(Silhavy et al., 2010)","plainCitation":"(Silhavy et al., 2010)"},"citationItems":[{"id":176,"uris":["http://zotero.org/users/944474/items/2GNTTPSR"],"uri":["http://zotero.org/users/944474/items/2GNTTPSR"],"itemData":{"id":176,"type":"article-journal","title":"The bacterial cell envelope","container-title":"Cold Spring Harbor perspectives in biology","page":"a000414","volume":"2","issue":"5","abstract":"The bacteria cell envelope is a complex multilayered structure that serves to protect these organisms from their unpredictable and often hostile environment. The cell envelopes of most bacteria fall into one of two major groups. Gram-negative bacteria are surrounded by a thin peptidoglycan cell wall, which itself is surrounded by an outer membrane containing lipopolysaccharide. Gram-positive bacteria lack an outer membrane but are surrounded by layers of peptidoglycan many times thicker than is found in the gram-negatives. Threading through these layers of peptidoglycan are long anionic polymers, called teichoic acids. The composition and organization of these envelope layers and recent insights into the mechanisms of cell envelope assembly are discussed.","DOI":"10.1101/cshperspect.a000414","note":"PMID: 20452953","journalAbbreviation":"Cold Spring Harb Perspect Biol","author":[{"family":"Silhavy","given":"Thomas J"},{"family":"Kahne","given":"Daniel"},{"family":"Walker","given":"Suzanne"}],"issued":{"year":2010,"month":5},"accessed":{"year":2012,"month":5,"day":9},"page-first":"a000414"}}],"schema":"https://github.com/citation-style-language/schema/raw/master/csl-citation.json"}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 xml:space="preserve">(Silhavy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2010)</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 The</w:t>
      </w:r>
      <w:r>
        <w:rPr>
          <w:rFonts w:ascii="Times New Roman" w:hAnsi="Times New Roman" w:cs="Times New Roman"/>
          <w:sz w:val="24"/>
          <w:szCs w:val="24"/>
        </w:rPr>
        <w:t xml:space="preserve"> outer </w:t>
      </w:r>
      <w:r w:rsidRPr="000D1271">
        <w:rPr>
          <w:rFonts w:ascii="Times New Roman" w:hAnsi="Times New Roman" w:cs="Times New Roman"/>
          <w:color w:val="000000" w:themeColor="text1"/>
          <w:sz w:val="24"/>
          <w:szCs w:val="24"/>
        </w:rPr>
        <w:t>membrane is permeable to low molecular mass solutes due to the presence of trimeric porin proteins (Figure 1.1A</w:t>
      </w:r>
      <w:r>
        <w:rPr>
          <w:rFonts w:ascii="Times New Roman" w:hAnsi="Times New Roman" w:cs="Times New Roman"/>
          <w:color w:val="000000" w:themeColor="text1"/>
          <w:sz w:val="24"/>
          <w:szCs w:val="24"/>
        </w:rPr>
        <w:t>;</w:t>
      </w:r>
      <w:r w:rsidRPr="000D1271">
        <w:rPr>
          <w:rFonts w:ascii="Times New Roman" w:hAnsi="Times New Roman" w:cs="Times New Roman"/>
          <w:color w:val="000000" w:themeColor="text1"/>
          <w:sz w:val="24"/>
          <w:szCs w:val="24"/>
        </w:rPr>
        <w:t xml:space="preserve">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{"citationID":"17q3q7h83","properties":{"formattedCitation":"(Madigan et al., 2002)","plainCitation":"(Madigan et al., 2002)"},"citationItems":[{"id":171,"uris":["http://zotero.org/users/944474/items/TRXXKNTH"],"uri":["http://zotero.org/users/944474/items/TRXXKNTH"],"itemData":{"id":171,"type":"book","title":"Brock biology of microorganisms","publisher":"Prentice Hall/Pearson Education","publisher-place":"Upper Saddle River, NJ","event-place":"Upper Saddle River, NJ","ISBN":"0130662712 9780130662712 0130491470 9780130491473","language":"English","author":[{"family":"Madigan","given":"Michael T"},{"family":"Martinko","given":"John M"},{"family":"Parker","given":"Jack"}],"issued":{"year":2002}}}],"schema":"https://github.com/citation-style-language/schema/raw/master/csl-citation.json"}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 xml:space="preserve">Madigan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2002)</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 The inner</w:t>
      </w:r>
      <w:r>
        <w:rPr>
          <w:rFonts w:ascii="Times New Roman" w:hAnsi="Times New Roman" w:cs="Times New Roman"/>
          <w:sz w:val="24"/>
          <w:szCs w:val="24"/>
        </w:rPr>
        <w:t xml:space="preserve"> and outer membranes enclose a protein-rich periplasmic space, which contains a thin layer of peptidoglycan, typically ~2-6 nm in </w:t>
      </w:r>
      <w:r w:rsidRPr="000D1271">
        <w:rPr>
          <w:rFonts w:ascii="Times New Roman" w:hAnsi="Times New Roman" w:cs="Times New Roman"/>
          <w:color w:val="000000" w:themeColor="text1"/>
          <w:sz w:val="24"/>
          <w:szCs w:val="24"/>
        </w:rPr>
        <w:t xml:space="preserve">thickness (Figure 1.1A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{"citationID":"geee8774g","properties":{"formattedCitation":"(Vollmer and Seligman, 2010)","plainCitation":"(Vollmer and Seligman, 2010)"},"citationItems":[{"id":86,"uris":["http://zotero.org/users/944474/items/EJQB4RC2"],"uri":["http://zotero.org/users/944474/items/EJQB4RC2"],"itemData":{"id":86,"type":"article-journal","title":"Architecture of peptidoglycan: more data and more models","container-title":"Trends in Microbiology","page":"59-66","volume":"18","issue":"2","abstract":"Peptidoglycan forms a net-like sacculus made of glycan strands crosslinked by peptides. The length of the glycan strands and the degree of crosslinkage vary with bacterial species, strains and growth conditions. Several models for the three-dimensional architecture of peptidoglycan have been proposed, some of which have been tested experimentally. The new data support a layered model in Gram-negative bacteria, and a more elaborate peptidoglycan architecture, with bands made of coiled bundles of glycan strands, in the rod-shaped Bacillus subtilis. However, many questions remain unanswered and, therefore, more data and more models are required to decipher the complex cell wall architecture in bacteria.","DOI":"10.1016/j.tim.2009.12.004","note":"PMID: 20060721","shortTitle":"Architecture of peptidoglycan","journalAbbreviation":"Trends Microbiol.","author":[{"family":"Vollmer","given":"Waldemar"},{"family":"Seligman","given":"Stephen J"}],"issued":{"year":2010,"month":2},"accessed":{"year":2012,"month":4,"day":2},"page-first":"59"}}],"schema":"https://github.com/citation-style-language/schema/raw/master/csl-citation.json"}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 </w:t>
      </w:r>
      <w:r w:rsidRPr="000D1271">
        <w:rPr>
          <w:rFonts w:ascii="Times New Roman" w:hAnsi="Times New Roman" w:cs="Times New Roman"/>
          <w:color w:val="000000" w:themeColor="text1"/>
          <w:sz w:val="24"/>
        </w:rPr>
        <w:t>Vollmer and Seligman, 2010)</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w:t>
      </w:r>
    </w:p>
    <w:p w:rsidR="00BC7652" w:rsidRDefault="00BC7652" w:rsidP="00BC7652">
      <w:pPr>
        <w:spacing w:line="480" w:lineRule="auto"/>
        <w:jc w:val="both"/>
        <w:rPr>
          <w:rFonts w:ascii="Times New Roman" w:hAnsi="Times New Roman" w:cs="Times New Roman"/>
          <w:sz w:val="24"/>
          <w:szCs w:val="24"/>
        </w:rPr>
      </w:pPr>
    </w:p>
    <w:p w:rsidR="00BC7652" w:rsidRPr="00E863A1" w:rsidRDefault="00BC7652" w:rsidP="00BC7652">
      <w:pPr>
        <w:tabs>
          <w:tab w:val="left" w:pos="1276"/>
        </w:tabs>
        <w:spacing w:line="480" w:lineRule="auto"/>
        <w:jc w:val="both"/>
        <w:rPr>
          <w:rFonts w:ascii="Times New Roman" w:hAnsi="Times New Roman" w:cs="Times New Roman"/>
          <w:sz w:val="28"/>
          <w:szCs w:val="28"/>
        </w:rPr>
      </w:pPr>
      <w:r w:rsidRPr="00E863A1">
        <w:rPr>
          <w:rFonts w:ascii="Times New Roman" w:hAnsi="Times New Roman" w:cs="Times New Roman"/>
          <w:sz w:val="28"/>
          <w:szCs w:val="28"/>
        </w:rPr>
        <w:t>1.1.2</w:t>
      </w:r>
      <w:r w:rsidRPr="00E863A1">
        <w:rPr>
          <w:rFonts w:ascii="Times New Roman" w:hAnsi="Times New Roman" w:cs="Times New Roman"/>
          <w:sz w:val="28"/>
          <w:szCs w:val="28"/>
        </w:rPr>
        <w:tab/>
        <w:t>The Gram-positive envelope</w:t>
      </w:r>
    </w:p>
    <w:p w:rsidR="00BC7652" w:rsidRDefault="00BC7652" w:rsidP="00BC7652">
      <w:pPr>
        <w:spacing w:line="480" w:lineRule="auto"/>
        <w:jc w:val="both"/>
        <w:rPr>
          <w:rFonts w:ascii="Times New Roman" w:hAnsi="Times New Roman" w:cs="Times New Roman"/>
          <w:sz w:val="24"/>
          <w:szCs w:val="24"/>
        </w:rPr>
        <w:sectPr w:rsidR="00BC7652" w:rsidSect="00BC7652">
          <w:pgSz w:w="11906" w:h="16838"/>
          <w:pgMar w:top="1440" w:right="1134" w:bottom="1440" w:left="2268" w:header="708" w:footer="708" w:gutter="0"/>
          <w:pgNumType w:start="1"/>
          <w:cols w:space="708"/>
          <w:docGrid w:linePitch="360"/>
        </w:sectPr>
      </w:pPr>
      <w:r>
        <w:rPr>
          <w:rFonts w:ascii="Times New Roman" w:hAnsi="Times New Roman" w:cs="Times New Roman"/>
          <w:sz w:val="24"/>
          <w:szCs w:val="24"/>
        </w:rPr>
        <w:t xml:space="preserve">Gram-positive bacteria have no </w:t>
      </w:r>
      <w:r w:rsidRPr="000D1271">
        <w:rPr>
          <w:rFonts w:ascii="Times New Roman" w:hAnsi="Times New Roman" w:cs="Times New Roman"/>
          <w:color w:val="000000" w:themeColor="text1"/>
          <w:sz w:val="24"/>
          <w:szCs w:val="24"/>
        </w:rPr>
        <w:t xml:space="preserve">outer membrane (Figure 1.1B), but are encompassed by a thicker (typically 20-35 nm) peptidoglycan layer, which accounts for 30-70% of the total cell wall mass, compared with just 5-10% in Gram-negatives (Figure 1.1B;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{"citationID":"2ku6eemnv9","properties":{"formattedCitation":"(Schleifer and Kandler, 1972; Vollmer and Seligman, 2010)","plainCitation":"(Schleifer and Kandler, 1972; Vollmer and Seligman, 2010)"},"citationItems":[{"id":329,"uris":["http://zotero.org/users/944474/items/KR5XXNHT"],"uri":["http://zotero.org/users/944474/items/KR5XXNHT"],"itemData":{"id":329,"type":"article-journal","title":"Peptidoglycan types of bacterial cell walls and their taxonomic implications","container-title":"Bacteriological reviews","page":"407-477","volume":"36","issue":"4","note":"PMID: 4568761","journalAbbreviation":"Bacteriol Rev","author":[{"family":"Schleifer","given":"K H"},{"family":"Kandler","given":"O"}],"issued":{"year":1972,"month":12},"accessed":{"year":2012,"month":6,"day":3},"page-first":"407"}},{"id":86,"uris":["http://zotero.org/users/944474/items/EJQB4RC2"],"uri":["http://zotero.org/users/944474/items/EJQB4RC2"],"itemData":{"id":86,"type":"article-journal","title":"Architecture of peptidoglycan: more data and more models","container-title":"Trends in Microbiology","page":"59-66","volume":"18","issue":"2","abstract":"Peptidoglycan forms a net-like sacculus made of glycan strands crosslinked by peptides. The length of the glycan strands and the degree of crosslinkage vary with bacterial species, strains and growth conditions. Several models for the three-dimensional architecture of peptidoglycan have been proposed, some of which have been tested experimentally. The new data support a layered model in Gram-negative bacteria, and a more elaborate peptidoglycan architecture, with bands made of coiled bundles of glycan strands, in the rod-shaped Bacillus subtilis. However, many questions remain unanswered and, therefore, more data and more models are required to decipher the complex cell wall architecture in bacteria.","DOI":"10.1016/j.tim.2009.12.004","note":"PMID: 20060721","shortTitle":"Architecture of peptidoglycan","journalAbbreviation":"Trends Microbiol.","author":[{"family":"Vollmer","given":"Waldemar"},{"family":"Seligman","given":"Stephen J"}],"issued":{"year":2010,"month":2},"accessed":{"year":2012,"month":4,"day":2},"page-first":"59"}}],"schema":"https://github.com/citation-style-language/schema/raw/master/csl-citation.json"}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Schleifer and Kandler, 1972; Vollmer and Seligman, 2010)</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 The</w:t>
      </w:r>
      <w:r>
        <w:rPr>
          <w:rFonts w:ascii="Times New Roman" w:hAnsi="Times New Roman" w:cs="Times New Roman"/>
          <w:sz w:val="24"/>
          <w:szCs w:val="24"/>
        </w:rPr>
        <w:t xml:space="preserve"> peptidoglycan layer functions as a scaffold for a variety of molecules, including anionic polymers, and </w:t>
      </w:r>
      <w:r>
        <w:rPr>
          <w:rFonts w:ascii="Times New Roman" w:hAnsi="Times New Roman" w:cs="Times New Roman"/>
          <w:color w:val="000000" w:themeColor="text1"/>
          <w:sz w:val="24"/>
          <w:szCs w:val="24"/>
        </w:rPr>
        <w:t>proteins</w:t>
      </w:r>
      <w:r w:rsidRPr="000D1271">
        <w:rPr>
          <w:rFonts w:ascii="Times New Roman" w:hAnsi="Times New Roman" w:cs="Times New Roman"/>
          <w:color w:val="000000" w:themeColor="text1"/>
          <w:sz w:val="24"/>
          <w:szCs w:val="24"/>
        </w:rPr>
        <w:t xml:space="preserve">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{"citationID":"15fhnd4bcb","properties":{"formattedCitation":"(Madigan et al., 2002)","plainCitation":"(Madigan et al., 2002)"},"citationItems":[{"id":171,"uris":["http://zotero.org/users/944474/items/TRXXKNTH"],"uri":["http://zotero.org/users/944474/items/TRXXKNTH"],"itemData":{"id":171,"type":"book","title":"Brock biology of microorganisms","publisher":"Prentice Hall/Pearson Education","publisher-place":"Upper Saddle River, NJ","event-place":"Upper Saddle River, NJ","ISBN":"0130662712 9780130662712 0130491470 9780130491473","language":"English","author":[{"family":"Madigan","given":"Michael T"},{"family":"Martinko","given":"John M"},{"family":"Parker","given":"Jack"}],"issued":{"year":2002}}}],"schema":"https://github.com/citation-style-language/schema/raw/master/csl-citation.json"}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szCs w:val="24"/>
        </w:rPr>
        <w:t xml:space="preserve">(Madigan </w:t>
      </w:r>
      <w:r w:rsidRPr="00C521B3">
        <w:rPr>
          <w:rFonts w:ascii="Times New Roman" w:hAnsi="Times New Roman" w:cs="Times New Roman"/>
          <w:i/>
          <w:color w:val="000000" w:themeColor="text1"/>
          <w:sz w:val="24"/>
          <w:szCs w:val="24"/>
        </w:rPr>
        <w:t>et al</w:t>
      </w:r>
      <w:r w:rsidRPr="000D1271">
        <w:rPr>
          <w:rFonts w:ascii="Times New Roman" w:hAnsi="Times New Roman" w:cs="Times New Roman"/>
          <w:color w:val="000000" w:themeColor="text1"/>
          <w:sz w:val="24"/>
          <w:szCs w:val="24"/>
        </w:rPr>
        <w:t>., 2002)</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 Teichoic acids (TAs) are the major class of anionic polymers present in most Gram-positive cell walls, and are covalently attached to the peptidoglycan layer (wall teichoic acids, WTAs) or anchored to the cytoplasmic membrane (lipoteichoic acids, LTAs) (Figure 1.1B). Gram</w:t>
      </w:r>
      <w:r>
        <w:rPr>
          <w:rFonts w:ascii="Times New Roman" w:hAnsi="Times New Roman" w:cs="Times New Roman"/>
          <w:sz w:val="24"/>
          <w:szCs w:val="24"/>
        </w:rPr>
        <w:t xml:space="preserve">-positive bacteria possess a </w:t>
      </w:r>
    </w:p>
    <w:p w:rsidR="00BC7652" w:rsidRDefault="00BC7652" w:rsidP="00BC7652">
      <w:pPr>
        <w:spacing w:line="480" w:lineRule="auto"/>
        <w:rPr>
          <w:rFonts w:ascii="Times New Roman" w:hAnsi="Times New Roman" w:cs="Times New Roman"/>
          <w:sz w:val="28"/>
          <w:szCs w:val="28"/>
        </w:rPr>
      </w:pPr>
      <w:r>
        <w:rPr>
          <w:rFonts w:ascii="Times New Roman" w:hAnsi="Times New Roman" w:cs="Times New Roman"/>
          <w:noProof/>
          <w:sz w:val="28"/>
          <w:szCs w:val="28"/>
          <w:lang w:eastAsia="en-GB"/>
        </w:rPr>
        <w:lastRenderedPageBreak/>
        <w:pict>
          <v:shapetype id="_x0000_t202" coordsize="21600,21600" o:spt="202" path="m,l,21600r21600,l21600,xe">
            <v:stroke joinstyle="miter"/>
            <v:path gradientshapeok="t" o:connecttype="rect"/>
          </v:shapetype>
          <v:shape id="_x0000_s1027" type="#_x0000_t202" style="position:absolute;margin-left:-9pt;margin-top:231.35pt;width:41.15pt;height:31.8pt;z-index:251661312;mso-width-relative:margin;mso-height-relative:margin" stroked="f">
            <v:textbox>
              <w:txbxContent>
                <w:p w:rsidR="002D7C9B" w:rsidRPr="000602B6" w:rsidRDefault="002D7C9B" w:rsidP="00BC7652">
                  <w:pPr>
                    <w:jc w:val="center"/>
                    <w:rPr>
                      <w:rFonts w:ascii="Times New Roman" w:hAnsi="Times New Roman" w:cs="Times New Roman"/>
                      <w:sz w:val="40"/>
                      <w:szCs w:val="40"/>
                    </w:rPr>
                  </w:pPr>
                  <w:r>
                    <w:rPr>
                      <w:rFonts w:ascii="Times New Roman" w:hAnsi="Times New Roman" w:cs="Times New Roman"/>
                      <w:sz w:val="40"/>
                      <w:szCs w:val="40"/>
                    </w:rPr>
                    <w:t>B</w:t>
                  </w:r>
                </w:p>
              </w:txbxContent>
            </v:textbox>
          </v:shape>
        </w:pict>
      </w:r>
      <w:r>
        <w:rPr>
          <w:rFonts w:ascii="Times New Roman" w:hAnsi="Times New Roman" w:cs="Times New Roman"/>
          <w:noProof/>
          <w:sz w:val="28"/>
          <w:szCs w:val="28"/>
          <w:lang w:eastAsia="en-GB"/>
        </w:rPr>
        <w:pict>
          <v:shape id="_x0000_s1028" type="#_x0000_t202" style="position:absolute;margin-left:-9pt;margin-top:2.7pt;width:41.15pt;height:31.8pt;z-index:251662336;mso-width-relative:margin;mso-height-relative:margin" stroked="f">
            <v:textbox style="mso-next-textbox:#_x0000_s1028">
              <w:txbxContent>
                <w:p w:rsidR="002D7C9B" w:rsidRPr="000602B6" w:rsidRDefault="002D7C9B" w:rsidP="00BC7652">
                  <w:pPr>
                    <w:jc w:val="center"/>
                    <w:rPr>
                      <w:rFonts w:ascii="Times New Roman" w:hAnsi="Times New Roman" w:cs="Times New Roman"/>
                      <w:sz w:val="40"/>
                      <w:szCs w:val="40"/>
                    </w:rPr>
                  </w:pPr>
                  <w:r w:rsidRPr="000602B6">
                    <w:rPr>
                      <w:rFonts w:ascii="Times New Roman" w:hAnsi="Times New Roman" w:cs="Times New Roman"/>
                      <w:sz w:val="40"/>
                      <w:szCs w:val="40"/>
                    </w:rPr>
                    <w:t>A</w:t>
                  </w:r>
                </w:p>
              </w:txbxContent>
            </v:textbox>
          </v:shape>
        </w:pict>
      </w:r>
      <w:r>
        <w:rPr>
          <w:rFonts w:ascii="Times New Roman" w:hAnsi="Times New Roman" w:cs="Times New Roman"/>
          <w:noProof/>
          <w:sz w:val="28"/>
          <w:szCs w:val="28"/>
          <w:lang w:eastAsia="en-GB"/>
        </w:rPr>
        <w:drawing>
          <wp:inline distT="0" distB="0" distL="0" distR="0">
            <wp:extent cx="5151611" cy="2613804"/>
            <wp:effectExtent l="19050" t="0" r="0" b="0"/>
            <wp:docPr id="6" name="Picture 9" descr="Gram negative envelope.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m negative envelope.emf"/>
                    <pic:cNvPicPr/>
                  </pic:nvPicPr>
                  <pic:blipFill>
                    <a:blip r:embed="rId9" cstate="print"/>
                    <a:srcRect l="817" r="1634"/>
                    <a:stretch>
                      <a:fillRect/>
                    </a:stretch>
                  </pic:blipFill>
                  <pic:spPr>
                    <a:xfrm>
                      <a:off x="0" y="0"/>
                      <a:ext cx="5151611" cy="2613804"/>
                    </a:xfrm>
                    <a:prstGeom prst="rect">
                      <a:avLst/>
                    </a:prstGeom>
                  </pic:spPr>
                </pic:pic>
              </a:graphicData>
            </a:graphic>
          </wp:inline>
        </w:drawing>
      </w:r>
    </w:p>
    <w:p w:rsidR="00BC7652" w:rsidRDefault="00BC7652" w:rsidP="00BC7652">
      <w:pPr>
        <w:spacing w:line="480" w:lineRule="auto"/>
        <w:rPr>
          <w:rFonts w:ascii="Times New Roman" w:hAnsi="Times New Roman" w:cs="Times New Roman"/>
          <w:sz w:val="28"/>
          <w:szCs w:val="28"/>
        </w:rPr>
      </w:pPr>
      <w:r w:rsidRPr="00A74453">
        <w:rPr>
          <w:rFonts w:ascii="Times New Roman" w:hAnsi="Times New Roman" w:cs="Times New Roman"/>
          <w:b/>
          <w:noProof/>
          <w:sz w:val="24"/>
          <w:szCs w:val="24"/>
          <w:lang w:eastAsia="en-GB"/>
        </w:rPr>
        <w:pict>
          <v:shape id="_x0000_s1029" type="#_x0000_t202" style="position:absolute;margin-left:-7.5pt;margin-top:1.2pt;width:41.15pt;height:31.8pt;z-index:251663360;mso-width-relative:margin;mso-height-relative:margin" stroked="f">
            <v:textbox style="mso-next-textbox:#_x0000_s1029">
              <w:txbxContent>
                <w:p w:rsidR="002D7C9B" w:rsidRPr="000602B6" w:rsidRDefault="002D7C9B" w:rsidP="00BC7652">
                  <w:pPr>
                    <w:jc w:val="center"/>
                    <w:rPr>
                      <w:rFonts w:ascii="Times New Roman" w:hAnsi="Times New Roman" w:cs="Times New Roman"/>
                      <w:sz w:val="40"/>
                      <w:szCs w:val="40"/>
                    </w:rPr>
                  </w:pPr>
                  <w:r>
                    <w:rPr>
                      <w:rFonts w:ascii="Times New Roman" w:hAnsi="Times New Roman" w:cs="Times New Roman"/>
                      <w:sz w:val="40"/>
                      <w:szCs w:val="40"/>
                    </w:rPr>
                    <w:t>B</w:t>
                  </w:r>
                </w:p>
              </w:txbxContent>
            </v:textbox>
          </v:shape>
        </w:pict>
      </w:r>
      <w:r>
        <w:rPr>
          <w:rFonts w:ascii="Times New Roman" w:hAnsi="Times New Roman" w:cs="Times New Roman"/>
          <w:noProof/>
          <w:sz w:val="28"/>
          <w:szCs w:val="28"/>
          <w:lang w:eastAsia="en-GB"/>
        </w:rPr>
        <w:drawing>
          <wp:inline distT="0" distB="0" distL="0" distR="0">
            <wp:extent cx="5731510" cy="3261360"/>
            <wp:effectExtent l="0" t="0" r="0" b="0"/>
            <wp:docPr id="7" name="Picture 0" descr="Gram positive envelope.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m positive envelope.emf"/>
                    <pic:cNvPicPr/>
                  </pic:nvPicPr>
                  <pic:blipFill>
                    <a:blip r:embed="rId10" cstate="print"/>
                    <a:stretch>
                      <a:fillRect/>
                    </a:stretch>
                  </pic:blipFill>
                  <pic:spPr>
                    <a:xfrm>
                      <a:off x="0" y="0"/>
                      <a:ext cx="5731510" cy="3261360"/>
                    </a:xfrm>
                    <a:prstGeom prst="rect">
                      <a:avLst/>
                    </a:prstGeom>
                  </pic:spPr>
                </pic:pic>
              </a:graphicData>
            </a:graphic>
          </wp:inline>
        </w:drawing>
      </w:r>
    </w:p>
    <w:p w:rsidR="00BC7652" w:rsidRPr="00C521B3" w:rsidRDefault="00BC7652" w:rsidP="00BC7652">
      <w:pPr>
        <w:spacing w:line="360" w:lineRule="auto"/>
        <w:jc w:val="both"/>
        <w:rPr>
          <w:color w:val="000000" w:themeColor="text1"/>
        </w:rPr>
      </w:pPr>
      <w:proofErr w:type="gramStart"/>
      <w:r w:rsidRPr="000C061E">
        <w:rPr>
          <w:rFonts w:ascii="Times New Roman" w:hAnsi="Times New Roman" w:cs="Times New Roman"/>
          <w:b/>
          <w:sz w:val="24"/>
          <w:szCs w:val="24"/>
        </w:rPr>
        <w:t>Figure 1.1.</w:t>
      </w:r>
      <w:proofErr w:type="gramEnd"/>
      <w:r w:rsidRPr="000C061E">
        <w:rPr>
          <w:rFonts w:ascii="Times New Roman" w:hAnsi="Times New Roman" w:cs="Times New Roman"/>
          <w:b/>
          <w:sz w:val="24"/>
          <w:szCs w:val="24"/>
        </w:rPr>
        <w:t xml:space="preserve"> </w:t>
      </w:r>
      <w:proofErr w:type="gramStart"/>
      <w:r>
        <w:rPr>
          <w:rFonts w:ascii="Times New Roman" w:hAnsi="Times New Roman" w:cs="Times New Roman"/>
          <w:b/>
          <w:sz w:val="24"/>
          <w:szCs w:val="24"/>
        </w:rPr>
        <w:t>General structure</w:t>
      </w:r>
      <w:r w:rsidRPr="000C061E">
        <w:rPr>
          <w:rFonts w:ascii="Times New Roman" w:hAnsi="Times New Roman" w:cs="Times New Roman"/>
          <w:b/>
          <w:sz w:val="24"/>
          <w:szCs w:val="24"/>
        </w:rPr>
        <w:t xml:space="preserve"> of </w:t>
      </w:r>
      <w:r>
        <w:rPr>
          <w:rFonts w:ascii="Times New Roman" w:hAnsi="Times New Roman" w:cs="Times New Roman"/>
          <w:b/>
          <w:sz w:val="24"/>
          <w:szCs w:val="24"/>
        </w:rPr>
        <w:t xml:space="preserve">the Gram-negative and Gram-positive </w:t>
      </w:r>
      <w:r w:rsidRPr="000C061E">
        <w:rPr>
          <w:rFonts w:ascii="Times New Roman" w:hAnsi="Times New Roman" w:cs="Times New Roman"/>
          <w:b/>
          <w:sz w:val="24"/>
          <w:szCs w:val="24"/>
        </w:rPr>
        <w:t>cell envelope.</w:t>
      </w:r>
      <w:proofErr w:type="gramEnd"/>
      <w:r>
        <w:rPr>
          <w:rFonts w:ascii="Times New Roman" w:hAnsi="Times New Roman" w:cs="Times New Roman"/>
          <w:sz w:val="24"/>
          <w:szCs w:val="24"/>
        </w:rPr>
        <w:t xml:space="preserve"> A, </w:t>
      </w:r>
      <w:proofErr w:type="gramStart"/>
      <w:r>
        <w:rPr>
          <w:rFonts w:ascii="Times New Roman" w:hAnsi="Times New Roman" w:cs="Times New Roman"/>
          <w:sz w:val="24"/>
          <w:szCs w:val="24"/>
        </w:rPr>
        <w:t>The</w:t>
      </w:r>
      <w:proofErr w:type="gramEnd"/>
      <w:r>
        <w:rPr>
          <w:rFonts w:ascii="Times New Roman" w:hAnsi="Times New Roman" w:cs="Times New Roman"/>
          <w:sz w:val="24"/>
          <w:szCs w:val="24"/>
        </w:rPr>
        <w:t xml:space="preserve"> Gram-negative envelope. The major structural features of the cytoplasmic membrane, periplasm and outer membrane are indicated. B, </w:t>
      </w:r>
      <w:proofErr w:type="gramStart"/>
      <w:r>
        <w:rPr>
          <w:rFonts w:ascii="Times New Roman" w:hAnsi="Times New Roman" w:cs="Times New Roman"/>
          <w:sz w:val="24"/>
          <w:szCs w:val="24"/>
        </w:rPr>
        <w:t>The</w:t>
      </w:r>
      <w:proofErr w:type="gramEnd"/>
      <w:r>
        <w:rPr>
          <w:rFonts w:ascii="Times New Roman" w:hAnsi="Times New Roman" w:cs="Times New Roman"/>
          <w:sz w:val="24"/>
          <w:szCs w:val="24"/>
        </w:rPr>
        <w:t xml:space="preserve"> Gram-positive envelope</w:t>
      </w:r>
      <w:r w:rsidRPr="00C521B3">
        <w:rPr>
          <w:rFonts w:ascii="Times New Roman" w:hAnsi="Times New Roman" w:cs="Times New Roman"/>
          <w:color w:val="000000" w:themeColor="text1"/>
          <w:sz w:val="24"/>
          <w:szCs w:val="24"/>
        </w:rPr>
        <w:t xml:space="preserve">, showing the major structural components of the cytoplasmic membrane and thick peptidoglycan layer. Adapted from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{"citationID":"l6s17it1u","properties":{"formattedCitation":"(Madigan et al., 2002; Matias and Beveridge, 2008)","plainCitation":"(Madigan et al., 2002; Matias and Beveridge, 2008)"},"citationItems":[{"id":171,"uris":["http://zotero.org/users/944474/items/TRXXKNTH"],"uri":["http://zotero.org/users/944474/items/TRXXKNTH"],"itemData":{"id":171,"type":"book","title":"Brock biology of microorganisms","publisher":"Prentice Hall/Pearson Education","publisher-place":"Upper Saddle River, NJ","event-place":"Upper Saddle River, NJ","ISBN":"0130662712 9780130662712 0130491470 9780130491473","language":"English","author":[{"family":"Madigan","given":"Michael T"},{"family":"Martinko","given":"John M"},{"family":"Parker","given":"Jack"}],"issued":{"year":2002}}},{"id":486,"uris":["http://zotero.org/users/944474/items/6RBFTGTI"],"uri":["http://zotero.org/users/944474/items/6RBFTGTI"],"itemData":{"id":486,"type":"article-journal","title":"Lipoteichoic acid is a major component of the Bacillus subtilis periplasm","container-title":"Journal of bacteriology","page":"7414-7418","volume":"190","issue":"22","abstract":"Cryo-electron microscopy (cryo-EM) of frozen-hydrated specimens allows high-resolution observation of structures in optimally preserved samples. In gram-positive bacteria, this method reveals the presence of a periplasmic space between the plasma membrane and an often differentiated cell wall matrix. Since virtually nothing is known about the composition of its constituent matter (i.e., the periplasm), it is still unclear what structures (or mechanism) sustain a gram-positive periplasmic space. Here we have used cryo-EM of frozen-hydrated sections in combination with various labels to probe the model gram-positive organism Bacillus subtilis for major periplasmic components. Incubation of cells with positively charged gold nanoparticles showed almost similar levels of gold binding to the periplasm and the cell wall. On cells whose cell walls were enzymatically hydrolyzed (i.e., on protoplasts), a surface diffuse layer extending approximately 30 nm from the membrane was revealed. The thickness and density of this layer were not significantly altered after treatment with a nonspecific protease, whereas it was labeled with anti-lipoteichoic acid (LTA) antibodies conjugated to nanogold. Further, the LTA layer spans most of the thickness of the periplasmic space, which strongly suggests that LTA is a major component of the B. subtilis periplasm.","DOI":"10.1128/JB.00581-08","note":"PMID: 18790869","journalAbbreviation":"J. Bacteriol.","author":[{"family":"Matias","given":"Valério R F"},{"family":"Beveridge","given":"Terry J"}],"issued":{"year":2008,"month":11},"accessed":{"year":2012,"month":6,"day":18},"page-first":"7414"}}],"schema":"https://github.com/citation-style-language/schema/raw/master/csl-citation.json"}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 xml:space="preserve">(Madigan </w:t>
      </w:r>
      <w:r w:rsidRPr="00C521B3">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2002; Matias and Beveridge, 2008)</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w:t>
      </w:r>
    </w:p>
    <w:p w:rsidR="00BC7652" w:rsidRPr="000D1271" w:rsidRDefault="00BC7652" w:rsidP="00BC7652">
      <w:pPr>
        <w:spacing w:line="48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lastRenderedPageBreak/>
        <w:t xml:space="preserve">narrow periplasm-like region between the cytoplasmic membrane and peptidoglycan </w:t>
      </w:r>
      <w:r w:rsidRPr="000D1271">
        <w:rPr>
          <w:rFonts w:ascii="Times New Roman" w:hAnsi="Times New Roman" w:cs="Times New Roman"/>
          <w:color w:val="000000" w:themeColor="text1"/>
          <w:sz w:val="24"/>
          <w:szCs w:val="24"/>
        </w:rPr>
        <w:t xml:space="preserve">layer (Figure 1.1B;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{"citationID":"1n082671ip","properties":{"formattedCitation":"(Matias and Beveridge, 2005, 2006, 2007)","plainCitation":"(Matias and Beveridge, 2005, 2006, 2007)"},"citationItems":[{"id":330,"uris":["http://zotero.org/users/944474/items/WT8UE247"],"uri":["http://zotero.org/users/944474/items/WT8UE247"],"itemData":{"id":330,"type":"article-journal","title":"Cryo-electron microscopy reveals native polymeric cell wall structure in Bacillus subtilis 168 and the existence of a periplasmic space","container-title":"Molecular microbiology","page":"240-251","volume":"56","issue":"1","abstract":"Ultrarapid freezing of bacteria (i.e. vitrification) results in optimal preservation of native structure. In this study, cryo-transmission electron microscopy of frozen-hydrated sections was used to gain insight into the organization of the Bacillus subtilis 168 cell envelope. A bipartite structure was seen above the plasma membrane consisting of a low-density 22 nm region above which a higher-density 33 nm region or outer wall zone (OWZ) resided. The interface between these two regions appeared to possess the most mass. In intact and in teichoic acid-extracted wall fragments, only a single region was seen but the mass distribution varied from being dense on the inside to less dense on the outside (i.e. similar to the OWZ). In plasmolysed cells, the inner wall zone (IWZ)'s thickness expanded in size but the OWZ's thickness remained constant. As the IWZ expanded it became filled with plasma membrane vesicles indicating that the IWZ had little substance and was empty of the wall's polymeric network of peptidoglycan and teichoic acid. Together these results strongly suggest that the inner zone actually represents a periplasmic space confined between the plasma membrane and the wall matrix and that the OWZ is the peptidoglycan-teichoic acid polymeric network of the wall.","DOI":"10.1111/j.1365-2958.2005.04535.x","note":"PMID: 15773993","journalAbbreviation":"Mol. Microbiol.","author":[{"family":"Matias","given":"Valério R F"},{"family":"Beveridge","given":"Terry J"}],"issued":{"year":2005,"month":4},"accessed":{"year":2012,"month":6,"day":3},"page-first":"240"}},{"id":146,"uris":["http://zotero.org/users/944474/items/5V6TNU2C"],"uri":["http://zotero.org/users/944474/items/5V6TNU2C"],"itemData":{"id":146,"type":"article-journal","title":"Native cell wall organization shown by cryo-electron microscopy confirms the existence of a periplasmic space in Staphylococcus aureus","container-title":"Journal of Bacteriology","page":"1011-1021","volume":"188","issue":"3","abstract":"The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division.","DOI":"10.1128/JB.188.3.1011-1021.2006","note":"PMID: 16428405","journalAbbreviation":"J. Bacteriol.","author":[{"family":"Matias","given":"Valério R F"},{"family":"Beveridge","given":"Terry J"}],"issued":{"year":2006,"month":2},"accessed":{"year":2012,"month":4,"day":22},"page-first":"1011"}},{"id":59,"uris":["http://zotero.org/users/944474/items/4H6RQTGD"],"uri":["http://zotero.org/users/944474/items/4H6RQTGD"],"itemData":{"id":59,"type":"article-journal","title":"Cryo-electron microscopy of cell division in Staphylococcus aureus reveals a mid-zone between nascent cross walls","container-title":"Molecular Microbiology","page":"195-206","volume":"64","issue":"1","abstract":"Cryo-electron microscopy of frozen-hydrated thin sections permits the observation of the real distribution of mass in biological specimens allowing the native structure of bacteria to be seen, including the natural orientation of their surface layers. Here, we use this approach to study the fine ultrastructure of the division site, or septum, of Staphylococcus aureus D(2)C. Frozen-hydrated sections revealed a differentiated cell wall at the septum, showing two high-density regions sandwiched between three low-density zones. The two zones adjacent to the membrane appeared as an extension of the periplasmic space seen in this organism's cell envelope and showed no distinguishing structures within them. Immediately next to these were higher-density zones that corresponded to nascent cross walls of the septum. Unexpectedly, a rather broad low-density zone was seen separating cross walls in the septum. This mid-zone of low density appeared inflated and without visible structures in isolated cell walls, which showed only the high-density zones of the septum. Here, we suggest that frozen-hydrated thin sections have captured a highly fragile septal region, the mid-zone, which results from the dynamic action of autolysis and actively separates daughter cells during division. The two zones next to the membranes are periplasmic spaces. Immediately next to these are the growing cross walls composed of peptidoglycan, teichoic acid and protein.","DOI":"10.1111/j.1365-2958.2007.05634.x","note":"PMID: 17376082","journalAbbreviation":"Mol. Microbiol.","author":[{"family":"Matias","given":"Valério R F"},{"family":"Beveridge","given":"Terry J"}],"issued":{"year":2007,"month":4},"accessed":{"year":2012,"month":3,"day":6},"page-first":"195"}}],"schema":"https://github.com/citation-style-language/schema/raw/master/csl-citation.json"}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Matias and Beveridge, 2005, 2006, 2007)</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 LTAs</w:t>
      </w:r>
      <w:r>
        <w:rPr>
          <w:rFonts w:ascii="Times New Roman" w:hAnsi="Times New Roman" w:cs="Times New Roman"/>
          <w:sz w:val="24"/>
          <w:szCs w:val="24"/>
        </w:rPr>
        <w:t xml:space="preserve"> are thought to be a major component of the Gram-</w:t>
      </w:r>
      <w:r w:rsidRPr="000D1271">
        <w:rPr>
          <w:rFonts w:ascii="Times New Roman" w:hAnsi="Times New Roman" w:cs="Times New Roman"/>
          <w:color w:val="000000" w:themeColor="text1"/>
          <w:sz w:val="24"/>
          <w:szCs w:val="24"/>
        </w:rPr>
        <w:t xml:space="preserve">positive periplasm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{"citationID":"1s0sefimah","properties":{"formattedCitation":"(Matias and Beveridge, 2008)","plainCitation":"(Matias and Beveridge, 2008)"},"citationItems":[{"id":486,"uris":["http://zotero.org/users/944474/items/6RBFTGTI"],"uri":["http://zotero.org/users/944474/items/6RBFTGTI"],"itemData":{"id":486,"type":"article-journal","title":"Lipoteichoic acid is a major component of the Bacillus subtilis periplasm","container-title":"Journal of bacteriology","page":"7414-7418","volume":"190","issue":"22","abstract":"Cryo-electron microscopy (cryo-EM) of frozen-hydrated specimens allows high-resolution observation of structures in optimally preserved samples. In gram-positive bacteria, this method reveals the presence of a periplasmic space between the plasma membrane and an often differentiated cell wall matrix. Since virtually nothing is known about the composition of its constituent matter (i.e., the periplasm), it is still unclear what structures (or mechanism) sustain a gram-positive periplasmic space. Here we have used cryo-EM of frozen-hydrated sections in combination with various labels to probe the model gram-positive organism Bacillus subtilis for major periplasmic components. Incubation of cells with positively charged gold nanoparticles showed almost similar levels of gold binding to the periplasm and the cell wall. On cells whose cell walls were enzymatically hydrolyzed (i.e., on protoplasts), a surface diffuse layer extending approximately 30 nm from the membrane was revealed. The thickness and density of this layer were not significantly altered after treatment with a nonspecific protease, whereas it was labeled with anti-lipoteichoic acid (LTA) antibodies conjugated to nanogold. Further, the LTA layer spans most of the thickness of the periplasmic space, which strongly suggests that LTA is a major component of the B. subtilis periplasm.","DOI":"10.1128/JB.00581-08","note":"PMID: 18790869","journalAbbreviation":"J. Bacteriol.","author":[{"family":"Matias","given":"Valério R F"},{"family":"Beveridge","given":"Terry J"}],"issued":{"year":2008,"month":11},"accessed":{"year":2012,"month":6,"day":18},"page-first":"7414"}}],"schema":"https://github.com/citation-style-language/schema/raw/master/csl-citation.json"}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(Matias and Beveridge, 2008)</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w:t>
      </w:r>
    </w:p>
    <w:p w:rsidR="00BC7652" w:rsidRPr="00E863A1" w:rsidRDefault="00BC7652" w:rsidP="00BC7652">
      <w:pPr>
        <w:spacing w:line="480" w:lineRule="auto"/>
        <w:jc w:val="both"/>
        <w:rPr>
          <w:rFonts w:ascii="Times New Roman" w:hAnsi="Times New Roman" w:cs="Times New Roman"/>
          <w:sz w:val="24"/>
          <w:szCs w:val="24"/>
        </w:rPr>
      </w:pPr>
      <w:r w:rsidRPr="00E863A1">
        <w:rPr>
          <w:rFonts w:ascii="Times New Roman" w:hAnsi="Times New Roman" w:cs="Times New Roman"/>
          <w:sz w:val="24"/>
          <w:szCs w:val="24"/>
        </w:rPr>
        <w:t xml:space="preserve">Additional surface structures may also be present </w:t>
      </w:r>
      <w:r>
        <w:rPr>
          <w:rFonts w:ascii="Times New Roman" w:hAnsi="Times New Roman" w:cs="Times New Roman"/>
          <w:sz w:val="24"/>
          <w:szCs w:val="24"/>
        </w:rPr>
        <w:t>in both Gram-positive and Gram-</w:t>
      </w:r>
      <w:r w:rsidRPr="000D1271">
        <w:rPr>
          <w:rFonts w:ascii="Times New Roman" w:hAnsi="Times New Roman" w:cs="Times New Roman"/>
          <w:color w:val="000000" w:themeColor="text1"/>
          <w:sz w:val="24"/>
          <w:szCs w:val="24"/>
        </w:rPr>
        <w:t xml:space="preserve">negative species. These include proteinaceous S-layers, capsules, fimbriae and flagella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{"citationID":"b5ei9vbdp","properties":{"formattedCitation":"(Beveridge and Graham, 1991)","plainCitation":"(Beveridge and Graham, 1991)"},"citationItems":[{"id":293,"uris":["http://zotero.org/users/944474/items/NZHRT6FM"],"uri":["http://zotero.org/users/944474/items/NZHRT6FM"],"itemData":{"id":293,"type":"article-journal","title":"Surface layers of bacteria","container-title":"Microbiological reviews","page":"684-705","volume":"55","issue":"4","abstract":"Since bacteria are so small, microscopy has traditionally been used to study them as individual cells. To this end, electron microscopy has been a most powerful tool for studying bacterial surfaces; the viewing of macromolecular arrangements of some surfaces is now possible. This review compares older conventional electron-microscopic methods with new cryotechniques currently available and the results each has produced. Emphasis is not placed on the methodology but, rather, on the importance of the results in terms of our perception of the makeup and function of bacterial surfaces and their interaction with the surrounding environment.","note":"PMID: 1723487","journalAbbreviation":"Microbiol. Rev.","author":[{"family":"Beveridge","given":"T J"},{"family":"Graham","given":"L L"}],"issued":{"year":1991,"month":12},"accessed":{"year":2012,"month":5,"day":28},"page-first":"684"}}],"schema":"https://github.com/citation-style-language/schema/raw/master/csl-citation.json"}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(Beveridge and Graham, 1991)</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w:t>
      </w:r>
    </w:p>
    <w:p w:rsidR="00BC7652" w:rsidRDefault="00BC7652" w:rsidP="00BC7652">
      <w:pPr>
        <w:spacing w:line="480" w:lineRule="auto"/>
        <w:jc w:val="both"/>
        <w:rPr>
          <w:rFonts w:ascii="Times New Roman" w:hAnsi="Times New Roman" w:cs="Times New Roman"/>
          <w:sz w:val="24"/>
          <w:szCs w:val="24"/>
        </w:rPr>
      </w:pPr>
    </w:p>
    <w:p w:rsidR="00BC7652" w:rsidRDefault="00BC7652" w:rsidP="00BC7652">
      <w:pPr>
        <w:tabs>
          <w:tab w:val="left" w:pos="1276"/>
        </w:tabs>
        <w:spacing w:line="480" w:lineRule="auto"/>
        <w:rPr>
          <w:rFonts w:ascii="Times New Roman" w:hAnsi="Times New Roman" w:cs="Times New Roman"/>
          <w:sz w:val="28"/>
          <w:szCs w:val="28"/>
        </w:rPr>
      </w:pPr>
      <w:r>
        <w:rPr>
          <w:rFonts w:ascii="Times New Roman" w:hAnsi="Times New Roman" w:cs="Times New Roman"/>
          <w:sz w:val="28"/>
          <w:szCs w:val="28"/>
        </w:rPr>
        <w:t>1.2</w:t>
      </w:r>
      <w:r>
        <w:rPr>
          <w:rFonts w:ascii="Times New Roman" w:hAnsi="Times New Roman" w:cs="Times New Roman"/>
          <w:sz w:val="28"/>
          <w:szCs w:val="28"/>
        </w:rPr>
        <w:tab/>
      </w:r>
      <w:r>
        <w:rPr>
          <w:rFonts w:ascii="Times New Roman" w:hAnsi="Times New Roman" w:cs="Times New Roman"/>
          <w:color w:val="000000"/>
          <w:sz w:val="28"/>
          <w:szCs w:val="28"/>
        </w:rPr>
        <w:t>The biochemistry of peptidoglycan</w:t>
      </w:r>
      <w:r>
        <w:rPr>
          <w:rFonts w:ascii="Times New Roman" w:hAnsi="Times New Roman" w:cs="Times New Roman"/>
          <w:sz w:val="28"/>
          <w:szCs w:val="28"/>
        </w:rPr>
        <w:t xml:space="preserve"> </w:t>
      </w:r>
    </w:p>
    <w:p w:rsidR="00BC7652" w:rsidRPr="00C71005" w:rsidRDefault="00BC7652" w:rsidP="00BC7652">
      <w:pPr>
        <w:autoSpaceDE w:val="0"/>
        <w:autoSpaceDN w:val="0"/>
        <w:adjustRightInd w:val="0"/>
        <w:spacing w:after="120" w:line="480" w:lineRule="auto"/>
        <w:jc w:val="both"/>
        <w:rPr>
          <w:rFonts w:ascii="Times New Roman" w:hAnsi="Times New Roman" w:cs="Times New Roman"/>
          <w:color w:val="000000"/>
          <w:sz w:val="24"/>
          <w:szCs w:val="24"/>
        </w:rPr>
      </w:pPr>
      <w:r w:rsidRPr="009449DC">
        <w:rPr>
          <w:rFonts w:ascii="Times New Roman" w:hAnsi="Times New Roman" w:cs="Times New Roman"/>
          <w:color w:val="000000"/>
          <w:sz w:val="24"/>
          <w:szCs w:val="24"/>
        </w:rPr>
        <w:t xml:space="preserve">Peptidoglycan </w:t>
      </w:r>
      <w:r>
        <w:rPr>
          <w:rFonts w:ascii="Times New Roman" w:hAnsi="Times New Roman" w:cs="Times New Roman"/>
          <w:color w:val="000000"/>
          <w:sz w:val="24"/>
          <w:szCs w:val="24"/>
        </w:rPr>
        <w:t xml:space="preserve">is a complex polymer comprising glycan chains, cross-linked via short </w:t>
      </w:r>
      <w:r w:rsidRPr="000D1271">
        <w:rPr>
          <w:rFonts w:ascii="Times New Roman" w:hAnsi="Times New Roman" w:cs="Times New Roman"/>
          <w:color w:val="000000" w:themeColor="text1"/>
          <w:sz w:val="24"/>
          <w:szCs w:val="24"/>
        </w:rPr>
        <w:t xml:space="preserve">peptide stems (Vollmer </w:t>
      </w:r>
      <w:r w:rsidRPr="000D1271">
        <w:rPr>
          <w:rFonts w:ascii="Times New Roman" w:hAnsi="Times New Roman" w:cs="Times New Roman"/>
          <w:i/>
          <w:iCs/>
          <w:color w:val="000000" w:themeColor="text1"/>
          <w:sz w:val="24"/>
          <w:szCs w:val="24"/>
        </w:rPr>
        <w:t>et al</w:t>
      </w:r>
      <w:r w:rsidRPr="000D1271">
        <w:rPr>
          <w:rFonts w:ascii="Times New Roman" w:hAnsi="Times New Roman" w:cs="Times New Roman"/>
          <w:color w:val="000000" w:themeColor="text1"/>
          <w:sz w:val="24"/>
          <w:szCs w:val="24"/>
        </w:rPr>
        <w:t>., 2008). The glycan</w:t>
      </w:r>
      <w:r>
        <w:rPr>
          <w:rFonts w:ascii="Times New Roman" w:hAnsi="Times New Roman" w:cs="Times New Roman"/>
          <w:color w:val="000000"/>
          <w:sz w:val="24"/>
          <w:szCs w:val="24"/>
        </w:rPr>
        <w:t xml:space="preserve"> strands are a repeating disaccharide of </w:t>
      </w:r>
      <w:r>
        <w:rPr>
          <w:rFonts w:ascii="Times New Roman" w:hAnsi="Times New Roman" w:cs="Times New Roman"/>
          <w:i/>
          <w:color w:val="000000"/>
          <w:sz w:val="24"/>
          <w:szCs w:val="24"/>
        </w:rPr>
        <w:t>N</w:t>
      </w:r>
      <w:r>
        <w:rPr>
          <w:rFonts w:ascii="Times New Roman" w:hAnsi="Times New Roman" w:cs="Times New Roman"/>
          <w:color w:val="000000"/>
          <w:sz w:val="24"/>
          <w:szCs w:val="24"/>
        </w:rPr>
        <w:t>-acetylmuramic acid (Mur</w:t>
      </w:r>
      <w:r w:rsidRPr="007A7D68">
        <w:rPr>
          <w:rFonts w:ascii="Times New Roman" w:hAnsi="Times New Roman" w:cs="Times New Roman"/>
          <w:i/>
          <w:color w:val="000000"/>
          <w:sz w:val="24"/>
          <w:szCs w:val="24"/>
        </w:rPr>
        <w:t>N</w:t>
      </w:r>
      <w:r>
        <w:rPr>
          <w:rFonts w:ascii="Times New Roman" w:hAnsi="Times New Roman" w:cs="Times New Roman"/>
          <w:color w:val="000000"/>
          <w:sz w:val="24"/>
          <w:szCs w:val="24"/>
        </w:rPr>
        <w:t xml:space="preserve">Ac) and </w:t>
      </w:r>
      <w:r>
        <w:rPr>
          <w:rFonts w:ascii="Times New Roman" w:hAnsi="Times New Roman" w:cs="Times New Roman"/>
          <w:i/>
          <w:color w:val="000000"/>
          <w:sz w:val="24"/>
          <w:szCs w:val="24"/>
        </w:rPr>
        <w:t>N</w:t>
      </w:r>
      <w:r>
        <w:rPr>
          <w:rFonts w:ascii="Times New Roman" w:hAnsi="Times New Roman" w:cs="Times New Roman"/>
          <w:color w:val="000000"/>
          <w:sz w:val="24"/>
          <w:szCs w:val="24"/>
        </w:rPr>
        <w:t>-acetylglucosamine (Glc</w:t>
      </w:r>
      <w:r w:rsidRPr="007A7D68">
        <w:rPr>
          <w:rFonts w:ascii="Times New Roman" w:hAnsi="Times New Roman" w:cs="Times New Roman"/>
          <w:i/>
          <w:color w:val="000000"/>
          <w:sz w:val="24"/>
          <w:szCs w:val="24"/>
        </w:rPr>
        <w:t>N</w:t>
      </w:r>
      <w:r>
        <w:rPr>
          <w:rFonts w:ascii="Times New Roman" w:hAnsi="Times New Roman" w:cs="Times New Roman"/>
          <w:color w:val="000000"/>
          <w:sz w:val="24"/>
          <w:szCs w:val="24"/>
        </w:rPr>
        <w:t>Ac) linked by β-1</w:t>
      </w:r>
      <w:proofErr w:type="gramStart"/>
      <w:r>
        <w:rPr>
          <w:rFonts w:ascii="Times New Roman" w:hAnsi="Times New Roman" w:cs="Times New Roman"/>
          <w:color w:val="000000"/>
          <w:sz w:val="24"/>
          <w:szCs w:val="24"/>
        </w:rPr>
        <w:t>,4</w:t>
      </w:r>
      <w:proofErr w:type="gramEnd"/>
      <w:r>
        <w:rPr>
          <w:rFonts w:ascii="Times New Roman" w:hAnsi="Times New Roman" w:cs="Times New Roman"/>
          <w:color w:val="000000"/>
          <w:sz w:val="24"/>
          <w:szCs w:val="24"/>
        </w:rPr>
        <w:t xml:space="preserve"> glycosidic </w:t>
      </w:r>
      <w:r w:rsidRPr="000D1271">
        <w:rPr>
          <w:rFonts w:ascii="Times New Roman" w:hAnsi="Times New Roman" w:cs="Times New Roman"/>
          <w:color w:val="000000" w:themeColor="text1"/>
          <w:sz w:val="24"/>
          <w:szCs w:val="24"/>
        </w:rPr>
        <w:t>bonds (Figure 1.2). Peptide</w:t>
      </w:r>
      <w:r>
        <w:rPr>
          <w:rFonts w:ascii="Times New Roman" w:hAnsi="Times New Roman" w:cs="Times New Roman"/>
          <w:sz w:val="24"/>
          <w:szCs w:val="24"/>
        </w:rPr>
        <w:t xml:space="preserve"> stems comprise alternating </w:t>
      </w:r>
      <w:r w:rsidRPr="00C71005">
        <w:rPr>
          <w:rFonts w:ascii="Times New Roman" w:hAnsi="Times New Roman" w:cs="Times New Roman"/>
          <w:sz w:val="16"/>
          <w:szCs w:val="16"/>
        </w:rPr>
        <w:t>L</w:t>
      </w:r>
      <w:r>
        <w:rPr>
          <w:rFonts w:ascii="Times New Roman" w:hAnsi="Times New Roman" w:cs="Times New Roman"/>
          <w:sz w:val="24"/>
          <w:szCs w:val="24"/>
        </w:rPr>
        <w:t xml:space="preserve">- and </w:t>
      </w:r>
      <w:r w:rsidRPr="00C71005">
        <w:rPr>
          <w:rFonts w:ascii="Times New Roman" w:hAnsi="Times New Roman" w:cs="Times New Roman"/>
          <w:sz w:val="16"/>
          <w:szCs w:val="16"/>
        </w:rPr>
        <w:t>D</w:t>
      </w:r>
      <w:r>
        <w:rPr>
          <w:rFonts w:ascii="Times New Roman" w:hAnsi="Times New Roman" w:cs="Times New Roman"/>
          <w:sz w:val="24"/>
          <w:szCs w:val="24"/>
        </w:rPr>
        <w:t>-isoform amino acids, and are covalently attached to Mur</w:t>
      </w:r>
      <w:r w:rsidRPr="005D77F2">
        <w:rPr>
          <w:rFonts w:ascii="Times New Roman" w:hAnsi="Times New Roman" w:cs="Times New Roman"/>
          <w:i/>
          <w:sz w:val="24"/>
          <w:szCs w:val="24"/>
        </w:rPr>
        <w:t>N</w:t>
      </w:r>
      <w:r>
        <w:rPr>
          <w:rFonts w:ascii="Times New Roman" w:hAnsi="Times New Roman" w:cs="Times New Roman"/>
          <w:sz w:val="24"/>
          <w:szCs w:val="24"/>
        </w:rPr>
        <w:t xml:space="preserve">Ac </w:t>
      </w:r>
      <w:r w:rsidRPr="000D1271">
        <w:rPr>
          <w:rFonts w:ascii="Times New Roman" w:hAnsi="Times New Roman" w:cs="Times New Roman"/>
          <w:color w:val="000000" w:themeColor="text1"/>
          <w:sz w:val="24"/>
          <w:szCs w:val="24"/>
        </w:rPr>
        <w:t>residues (Figure 1.2). The presence</w:t>
      </w:r>
      <w:r>
        <w:rPr>
          <w:rFonts w:ascii="Times New Roman" w:hAnsi="Times New Roman" w:cs="Times New Roman"/>
          <w:sz w:val="24"/>
          <w:szCs w:val="24"/>
        </w:rPr>
        <w:t xml:space="preserve"> of </w:t>
      </w:r>
      <w:r w:rsidRPr="00C71005">
        <w:rPr>
          <w:rFonts w:ascii="Times New Roman" w:hAnsi="Times New Roman" w:cs="Times New Roman"/>
          <w:sz w:val="16"/>
          <w:szCs w:val="16"/>
        </w:rPr>
        <w:t>D</w:t>
      </w:r>
      <w:r>
        <w:rPr>
          <w:rFonts w:ascii="Times New Roman" w:hAnsi="Times New Roman" w:cs="Times New Roman"/>
          <w:sz w:val="24"/>
          <w:szCs w:val="24"/>
        </w:rPr>
        <w:t>- amino acids is a defining characteristic of the peptidoglycan, as they are rarely present in other biomolecules (exceptions include TAs and some classes of antibiotic).</w:t>
      </w:r>
    </w:p>
    <w:p w:rsidR="00BC7652" w:rsidRDefault="00BC7652" w:rsidP="00BC7652">
      <w:pPr>
        <w:rPr>
          <w:rFonts w:ascii="Times New Roman" w:hAnsi="Times New Roman" w:cs="Times New Roman"/>
          <w:sz w:val="24"/>
          <w:szCs w:val="24"/>
        </w:rPr>
      </w:pPr>
    </w:p>
    <w:p w:rsidR="00BC7652" w:rsidRPr="00C71005" w:rsidRDefault="00BC7652" w:rsidP="00BC7652">
      <w:pPr>
        <w:tabs>
          <w:tab w:val="left" w:pos="1276"/>
        </w:tabs>
        <w:autoSpaceDE w:val="0"/>
        <w:autoSpaceDN w:val="0"/>
        <w:adjustRightInd w:val="0"/>
        <w:spacing w:after="120" w:line="480" w:lineRule="auto"/>
        <w:jc w:val="both"/>
        <w:rPr>
          <w:rFonts w:ascii="Times New Roman" w:hAnsi="Times New Roman" w:cs="Times New Roman"/>
          <w:sz w:val="28"/>
          <w:szCs w:val="28"/>
        </w:rPr>
      </w:pPr>
      <w:r>
        <w:rPr>
          <w:rFonts w:ascii="Times New Roman" w:hAnsi="Times New Roman" w:cs="Times New Roman"/>
          <w:sz w:val="28"/>
          <w:szCs w:val="28"/>
        </w:rPr>
        <w:t xml:space="preserve">1.2.1 </w:t>
      </w:r>
      <w:r>
        <w:rPr>
          <w:rFonts w:ascii="Times New Roman" w:hAnsi="Times New Roman" w:cs="Times New Roman"/>
          <w:sz w:val="28"/>
          <w:szCs w:val="28"/>
        </w:rPr>
        <w:tab/>
      </w:r>
      <w:r w:rsidRPr="00C71005">
        <w:rPr>
          <w:rFonts w:ascii="Times New Roman" w:hAnsi="Times New Roman" w:cs="Times New Roman"/>
          <w:sz w:val="28"/>
          <w:szCs w:val="28"/>
        </w:rPr>
        <w:t>Gly</w:t>
      </w:r>
      <w:r>
        <w:rPr>
          <w:rFonts w:ascii="Times New Roman" w:hAnsi="Times New Roman" w:cs="Times New Roman"/>
          <w:sz w:val="28"/>
          <w:szCs w:val="28"/>
        </w:rPr>
        <w:t>c</w:t>
      </w:r>
      <w:r w:rsidRPr="00C71005">
        <w:rPr>
          <w:rFonts w:ascii="Times New Roman" w:hAnsi="Times New Roman" w:cs="Times New Roman"/>
          <w:sz w:val="28"/>
          <w:szCs w:val="28"/>
        </w:rPr>
        <w:t>an strands</w:t>
      </w:r>
    </w:p>
    <w:p w:rsidR="00BC7652" w:rsidRDefault="00BC7652" w:rsidP="00BC7652">
      <w:pPr>
        <w:autoSpaceDE w:val="0"/>
        <w:autoSpaceDN w:val="0"/>
        <w:adjustRightInd w:val="0"/>
        <w:spacing w:after="120" w:line="480" w:lineRule="auto"/>
        <w:jc w:val="both"/>
        <w:rPr>
          <w:rFonts w:ascii="Times New Roman" w:hAnsi="Times New Roman" w:cs="Times New Roman"/>
          <w:color w:val="000000"/>
          <w:sz w:val="24"/>
          <w:szCs w:val="24"/>
        </w:rPr>
        <w:sectPr w:rsidR="00BC7652" w:rsidSect="006C5A4E">
          <w:type w:val="continuous"/>
          <w:pgSz w:w="11906" w:h="16838"/>
          <w:pgMar w:top="1440" w:right="1134" w:bottom="1440" w:left="2268" w:header="708" w:footer="708" w:gutter="0"/>
          <w:cols w:space="708"/>
          <w:docGrid w:linePitch="360"/>
        </w:sectPr>
      </w:pPr>
      <w:r>
        <w:rPr>
          <w:rFonts w:ascii="Times New Roman" w:hAnsi="Times New Roman" w:cs="Times New Roman"/>
          <w:color w:val="000000"/>
          <w:sz w:val="24"/>
          <w:szCs w:val="24"/>
        </w:rPr>
        <w:t>The glycan strand composition is highly conserved between species, varying only in the glycan chain length distribution,</w:t>
      </w:r>
      <w:r w:rsidRPr="00681191">
        <w:rPr>
          <w:rFonts w:ascii="Times New Roman" w:hAnsi="Times New Roman" w:cs="Times New Roman"/>
          <w:color w:val="000000"/>
          <w:sz w:val="24"/>
          <w:szCs w:val="24"/>
        </w:rPr>
        <w:t xml:space="preserve"> </w:t>
      </w:r>
      <w:r>
        <w:rPr>
          <w:rFonts w:ascii="Times New Roman" w:hAnsi="Times New Roman" w:cs="Times New Roman"/>
          <w:color w:val="000000"/>
          <w:sz w:val="24"/>
          <w:szCs w:val="24"/>
        </w:rPr>
        <w:t>the presence of (1</w:t>
      </w:r>
      <w:proofErr w:type="gramStart"/>
      <w:r>
        <w:rPr>
          <w:rFonts w:ascii="Times New Roman" w:hAnsi="Times New Roman" w:cs="Times New Roman"/>
          <w:color w:val="000000"/>
          <w:sz w:val="24"/>
          <w:szCs w:val="24"/>
        </w:rPr>
        <w:t>,6</w:t>
      </w:r>
      <w:proofErr w:type="gramEnd"/>
      <w:r>
        <w:rPr>
          <w:rFonts w:ascii="Times New Roman" w:hAnsi="Times New Roman" w:cs="Times New Roman"/>
          <w:color w:val="000000"/>
          <w:sz w:val="24"/>
          <w:szCs w:val="24"/>
        </w:rPr>
        <w:t>) anhydroMur</w:t>
      </w:r>
      <w:r w:rsidRPr="00D108D1">
        <w:rPr>
          <w:rFonts w:ascii="Times New Roman" w:hAnsi="Times New Roman" w:cs="Times New Roman"/>
          <w:i/>
          <w:color w:val="000000"/>
          <w:sz w:val="24"/>
          <w:szCs w:val="24"/>
        </w:rPr>
        <w:t>N</w:t>
      </w:r>
      <w:r>
        <w:rPr>
          <w:rFonts w:ascii="Times New Roman" w:hAnsi="Times New Roman" w:cs="Times New Roman"/>
          <w:color w:val="000000"/>
          <w:sz w:val="24"/>
          <w:szCs w:val="24"/>
        </w:rPr>
        <w:t xml:space="preserve">Ac termini, and the abundance of </w:t>
      </w:r>
      <w:r w:rsidRPr="00022A50">
        <w:rPr>
          <w:rFonts w:ascii="Times New Roman" w:hAnsi="Times New Roman" w:cs="Times New Roman"/>
          <w:color w:val="000000"/>
          <w:sz w:val="24"/>
          <w:szCs w:val="24"/>
        </w:rPr>
        <w:t>acetylated</w:t>
      </w:r>
      <w:r>
        <w:rPr>
          <w:rFonts w:ascii="Times New Roman" w:hAnsi="Times New Roman" w:cs="Times New Roman"/>
          <w:color w:val="000000"/>
          <w:sz w:val="24"/>
          <w:szCs w:val="24"/>
        </w:rPr>
        <w:t xml:space="preserve"> and de-acetylated disaccharides. Glycan chain length varies considerably between organisms, from very short glycan strands (e.g. </w:t>
      </w:r>
      <w:r>
        <w:rPr>
          <w:rFonts w:ascii="Times New Roman" w:hAnsi="Times New Roman" w:cs="Times New Roman"/>
          <w:i/>
          <w:color w:val="000000"/>
          <w:sz w:val="24"/>
          <w:szCs w:val="24"/>
        </w:rPr>
        <w:t xml:space="preserve">S. </w:t>
      </w:r>
      <w:r w:rsidRPr="00681191">
        <w:rPr>
          <w:rFonts w:ascii="Times New Roman" w:hAnsi="Times New Roman" w:cs="Times New Roman"/>
          <w:i/>
          <w:color w:val="000000"/>
          <w:sz w:val="24"/>
          <w:szCs w:val="24"/>
        </w:rPr>
        <w:t>aureus</w:t>
      </w:r>
      <w:r>
        <w:rPr>
          <w:rFonts w:ascii="Times New Roman" w:hAnsi="Times New Roman" w:cs="Times New Roman"/>
          <w:color w:val="000000"/>
          <w:sz w:val="24"/>
          <w:szCs w:val="24"/>
        </w:rPr>
        <w:t xml:space="preserve"> average ~6 disaccharides) to very long (e.g. </w:t>
      </w:r>
      <w:r>
        <w:rPr>
          <w:rFonts w:ascii="Times New Roman" w:hAnsi="Times New Roman" w:cs="Times New Roman"/>
          <w:i/>
          <w:color w:val="000000"/>
          <w:sz w:val="24"/>
          <w:szCs w:val="24"/>
        </w:rPr>
        <w:t>B. subtilis</w:t>
      </w:r>
      <w:r>
        <w:rPr>
          <w:rFonts w:ascii="Times New Roman" w:hAnsi="Times New Roman" w:cs="Times New Roman"/>
          <w:color w:val="000000"/>
          <w:sz w:val="24"/>
          <w:szCs w:val="24"/>
        </w:rPr>
        <w:t xml:space="preserve"> average ~96 disaccharides, but recently 25% of strands were found to have a mass greater than 500 disaccharides) </w:t>
      </w:r>
    </w:p>
    <w:p w:rsidR="00BC7652" w:rsidRDefault="00BC7652" w:rsidP="00BC7652">
      <w:pPr>
        <w:autoSpaceDE w:val="0"/>
        <w:autoSpaceDN w:val="0"/>
        <w:adjustRightInd w:val="0"/>
        <w:spacing w:after="120" w:line="360" w:lineRule="auto"/>
        <w:jc w:val="both"/>
        <w:rPr>
          <w:rFonts w:ascii="Times New Roman" w:hAnsi="Times New Roman" w:cs="Times New Roman"/>
          <w:b/>
          <w:sz w:val="24"/>
          <w:szCs w:val="24"/>
        </w:rPr>
      </w:pPr>
      <w:r>
        <w:rPr>
          <w:rFonts w:ascii="Times New Roman" w:hAnsi="Times New Roman" w:cs="Times New Roman"/>
          <w:b/>
          <w:noProof/>
          <w:sz w:val="24"/>
          <w:szCs w:val="24"/>
          <w:lang w:eastAsia="en-GB"/>
        </w:rPr>
        <w:lastRenderedPageBreak/>
        <w:drawing>
          <wp:inline distT="0" distB="0" distL="0" distR="0">
            <wp:extent cx="5400040" cy="5706745"/>
            <wp:effectExtent l="0" t="0" r="0" b="0"/>
            <wp:docPr id="3" name="Picture 2" descr="Figure 1.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2.emf"/>
                    <pic:cNvPicPr/>
                  </pic:nvPicPr>
                  <pic:blipFill>
                    <a:blip r:embed="rId11" cstate="print"/>
                    <a:stretch>
                      <a:fillRect/>
                    </a:stretch>
                  </pic:blipFill>
                  <pic:spPr>
                    <a:xfrm>
                      <a:off x="0" y="0"/>
                      <a:ext cx="5400040" cy="5706745"/>
                    </a:xfrm>
                    <a:prstGeom prst="rect">
                      <a:avLst/>
                    </a:prstGeom>
                  </pic:spPr>
                </pic:pic>
              </a:graphicData>
            </a:graphic>
          </wp:inline>
        </w:drawing>
      </w:r>
    </w:p>
    <w:p w:rsidR="00BC7652" w:rsidRPr="000D1271" w:rsidRDefault="00BC7652" w:rsidP="00BC7652">
      <w:pPr>
        <w:autoSpaceDE w:val="0"/>
        <w:autoSpaceDN w:val="0"/>
        <w:adjustRightInd w:val="0"/>
        <w:spacing w:after="120" w:line="360" w:lineRule="auto"/>
        <w:jc w:val="both"/>
        <w:rPr>
          <w:rFonts w:ascii="Times New Roman" w:hAnsi="Times New Roman" w:cs="Times New Roman"/>
          <w:color w:val="000000" w:themeColor="text1"/>
          <w:sz w:val="24"/>
          <w:szCs w:val="24"/>
        </w:rPr>
      </w:pPr>
      <w:proofErr w:type="gramStart"/>
      <w:r w:rsidRPr="000F026E">
        <w:rPr>
          <w:rFonts w:ascii="Times New Roman" w:hAnsi="Times New Roman" w:cs="Times New Roman"/>
          <w:b/>
          <w:sz w:val="24"/>
          <w:szCs w:val="24"/>
        </w:rPr>
        <w:t>Figure 1.</w:t>
      </w:r>
      <w:r>
        <w:rPr>
          <w:rFonts w:ascii="Times New Roman" w:hAnsi="Times New Roman" w:cs="Times New Roman"/>
          <w:b/>
          <w:sz w:val="24"/>
          <w:szCs w:val="24"/>
        </w:rPr>
        <w:t>2</w:t>
      </w:r>
      <w:r w:rsidRPr="000F026E">
        <w:rPr>
          <w:rFonts w:ascii="Times New Roman" w:hAnsi="Times New Roman" w:cs="Times New Roman"/>
          <w:b/>
          <w:sz w:val="24"/>
          <w:szCs w:val="24"/>
        </w:rPr>
        <w:t>.</w:t>
      </w:r>
      <w:proofErr w:type="gramEnd"/>
      <w:r w:rsidRPr="000F026E">
        <w:rPr>
          <w:rFonts w:ascii="Times New Roman" w:hAnsi="Times New Roman" w:cs="Times New Roman"/>
          <w:b/>
          <w:sz w:val="24"/>
          <w:szCs w:val="24"/>
        </w:rPr>
        <w:t xml:space="preserve"> </w:t>
      </w:r>
      <w:proofErr w:type="gramStart"/>
      <w:r w:rsidRPr="000F026E">
        <w:rPr>
          <w:rFonts w:ascii="Times New Roman" w:hAnsi="Times New Roman" w:cs="Times New Roman"/>
          <w:b/>
          <w:sz w:val="24"/>
          <w:szCs w:val="24"/>
        </w:rPr>
        <w:t>The chemical structure of peptidoglycan.</w:t>
      </w:r>
      <w:proofErr w:type="gramEnd"/>
      <w:r w:rsidRPr="000F026E">
        <w:rPr>
          <w:rFonts w:ascii="Times New Roman" w:hAnsi="Times New Roman" w:cs="Times New Roman"/>
          <w:sz w:val="24"/>
          <w:szCs w:val="24"/>
        </w:rPr>
        <w:t xml:space="preserve"> </w:t>
      </w:r>
      <w:r>
        <w:rPr>
          <w:rFonts w:ascii="Times New Roman" w:hAnsi="Times New Roman" w:cs="Times New Roman"/>
          <w:sz w:val="24"/>
          <w:szCs w:val="24"/>
        </w:rPr>
        <w:t xml:space="preserve">The schematic shows the structure of a typical peptidoglycan disaccharide pentapeptide. The glycan strand is composed of a repeating disaccharide of the amino sugars </w:t>
      </w:r>
      <w:r>
        <w:rPr>
          <w:rFonts w:ascii="Times New Roman" w:hAnsi="Times New Roman" w:cs="Times New Roman"/>
          <w:i/>
          <w:sz w:val="24"/>
          <w:szCs w:val="24"/>
        </w:rPr>
        <w:t>N</w:t>
      </w:r>
      <w:r w:rsidRPr="007C6928">
        <w:rPr>
          <w:rFonts w:ascii="Times New Roman" w:hAnsi="Times New Roman" w:cs="Times New Roman"/>
          <w:sz w:val="24"/>
          <w:szCs w:val="24"/>
        </w:rPr>
        <w:t xml:space="preserve"> acetylg</w:t>
      </w:r>
      <w:r>
        <w:rPr>
          <w:rFonts w:ascii="Times New Roman" w:hAnsi="Times New Roman" w:cs="Times New Roman"/>
          <w:sz w:val="24"/>
          <w:szCs w:val="24"/>
        </w:rPr>
        <w:t xml:space="preserve">lucosamine and </w:t>
      </w:r>
      <w:r>
        <w:rPr>
          <w:rFonts w:ascii="Times New Roman" w:hAnsi="Times New Roman" w:cs="Times New Roman"/>
          <w:i/>
          <w:sz w:val="24"/>
          <w:szCs w:val="24"/>
        </w:rPr>
        <w:t>N</w:t>
      </w:r>
      <w:r>
        <w:rPr>
          <w:rFonts w:ascii="Times New Roman" w:hAnsi="Times New Roman" w:cs="Times New Roman"/>
          <w:sz w:val="24"/>
          <w:szCs w:val="24"/>
        </w:rPr>
        <w:t>-acetylmuramic acid (Yellow) linked by β-1</w:t>
      </w:r>
      <w:proofErr w:type="gramStart"/>
      <w:r>
        <w:rPr>
          <w:rFonts w:ascii="Times New Roman" w:hAnsi="Times New Roman" w:cs="Times New Roman"/>
          <w:sz w:val="24"/>
          <w:szCs w:val="24"/>
        </w:rPr>
        <w:t>,4</w:t>
      </w:r>
      <w:proofErr w:type="gramEnd"/>
      <w:r>
        <w:rPr>
          <w:rFonts w:ascii="Times New Roman" w:hAnsi="Times New Roman" w:cs="Times New Roman"/>
          <w:sz w:val="24"/>
          <w:szCs w:val="24"/>
        </w:rPr>
        <w:t xml:space="preserve"> glycosidic bonds (green). The pentapeptide is covalently linked to the glycan strand via the lactyl group of Mur</w:t>
      </w:r>
      <w:r w:rsidRPr="007C6928">
        <w:rPr>
          <w:rFonts w:ascii="Times New Roman" w:hAnsi="Times New Roman" w:cs="Times New Roman"/>
          <w:i/>
          <w:sz w:val="24"/>
          <w:szCs w:val="24"/>
        </w:rPr>
        <w:t>N</w:t>
      </w:r>
      <w:r>
        <w:rPr>
          <w:rFonts w:ascii="Times New Roman" w:hAnsi="Times New Roman" w:cs="Times New Roman"/>
          <w:sz w:val="24"/>
          <w:szCs w:val="24"/>
        </w:rPr>
        <w:t xml:space="preserve">Ac (pink). A typical pentapeptide stem composition is shown, although the precise composition is variable. </w:t>
      </w:r>
      <w:r w:rsidRPr="000D1271">
        <w:rPr>
          <w:rFonts w:ascii="Times New Roman" w:hAnsi="Times New Roman" w:cs="Times New Roman"/>
          <w:color w:val="000000" w:themeColor="text1"/>
          <w:sz w:val="24"/>
          <w:szCs w:val="24"/>
        </w:rPr>
        <w:t xml:space="preserve">Adapted from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{"citationID":"8g2lgfn3a","properties":{"formattedCitation":"(Madigan et al., 2002)","plainCitation":"(Madigan et al., 2002)"},"citationItems":[{"id":171,"uris":["http://zotero.org/users/944474/items/TRXXKNTH"],"uri":["http://zotero.org/users/944474/items/TRXXKNTH"],"itemData":{"id":171,"type":"book","title":"Brock biology of microorganisms","publisher":"Prentice Hall/Pearson Education","publisher-place":"Upper Saddle River, NJ","event-place":"Upper Saddle River, NJ","ISBN":"0130662712 9780130662712 0130491470 9780130491473","language":"English","author":[{"family":"Madigan","given":"Michael T"},{"family":"Martinko","given":"John M"},{"family":"Parker","given":"Jack"}],"issued":{"year":2002}}}],"schema":"https://github.com/citation-style-language/schema/raw/master/csl-citation.json"}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 xml:space="preserve">(Madigan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2002)</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 xml:space="preserve">. </w:t>
      </w:r>
    </w:p>
    <w:p w:rsidR="00BC7652" w:rsidRDefault="00BC7652" w:rsidP="00BC7652">
      <w:pPr>
        <w:rPr>
          <w:rFonts w:ascii="Times New Roman" w:hAnsi="Times New Roman" w:cs="Times New Roman"/>
          <w:sz w:val="24"/>
          <w:szCs w:val="24"/>
        </w:rPr>
      </w:pPr>
      <w:r>
        <w:rPr>
          <w:rFonts w:ascii="Times New Roman" w:hAnsi="Times New Roman" w:cs="Times New Roman"/>
          <w:sz w:val="24"/>
          <w:szCs w:val="24"/>
        </w:rPr>
        <w:br w:type="page"/>
      </w:r>
    </w:p>
    <w:p w:rsidR="00BC7652" w:rsidRDefault="00BC7652" w:rsidP="00BC7652">
      <w:pPr>
        <w:autoSpaceDE w:val="0"/>
        <w:autoSpaceDN w:val="0"/>
        <w:adjustRightInd w:val="0"/>
        <w:spacing w:after="120" w:line="480" w:lineRule="auto"/>
        <w:jc w:val="both"/>
        <w:rPr>
          <w:rFonts w:ascii="Times New Roman" w:hAnsi="Times New Roman" w:cs="Times New Roman"/>
          <w:i/>
          <w:color w:val="000000"/>
          <w:sz w:val="24"/>
          <w:szCs w:val="24"/>
        </w:rPr>
      </w:pPr>
      <w:r w:rsidRPr="000D1271">
        <w:rPr>
          <w:rFonts w:ascii="Times New Roman" w:hAnsi="Times New Roman" w:cs="Times New Roman"/>
          <w:color w:val="000000" w:themeColor="text1"/>
          <w:sz w:val="24"/>
          <w:szCs w:val="24"/>
        </w:rPr>
        <w:lastRenderedPageBreak/>
        <w:fldChar w:fldCharType="begin"/>
      </w:r>
      <w:r w:rsidRPr="000D1271">
        <w:rPr>
          <w:rFonts w:ascii="Times New Roman" w:hAnsi="Times New Roman" w:cs="Times New Roman"/>
          <w:color w:val="000000" w:themeColor="text1"/>
          <w:sz w:val="24"/>
          <w:szCs w:val="24"/>
        </w:rPr>
        <w:instrText xml:space="preserve"> ADDIN ZOTERO_ITEM CSL_CITATION {"citationID":"1t2e1jd98p","properties":{"formattedCitation":"(Ward, 1973; Boneca et al., 2000; Hayhurst et al., 2008)","plainCitation":"(Ward, 1973; Boneca et al., 2000; Hayhurst et al., 2008)"},"citationItems":[{"id":112,"uris":["http://zotero.org/users/944474/items/NRGEXZAR"],"uri":["http://zotero.org/users/944474/items/NRGEXZAR"],"itemData":{"id":112,"type":"article-journal","title":"The chain length of the glycans in bacterial cell walls","container-title":"The Biochemical Journal","page":"395-398","volume":"133","issue":"2","abstract":"The glycan chain length of peptidoglycan was measured by reduction with NaB(3)H(4) and isolation of the resulting muramitol, indicative of the length of the chains as biosynthesized, and glucosaminol, which measured the length of the chains after rupture by endo-beta-N-acetylglucosaminidases. Measurement of the non-reducing terminal N-acetylglucosamine by Smith degradation confirmed the result.","note":"PMID: 4198851","journalAbbreviation":"Biochem. J.","author":[{"family":"Ward","given":"J B"}],"issued":{"year":1973,"month":6},"accessed":{"year":2012,"month":4,"day":2},"page-first":"395"}},{"id":7,"uris":["http://zotero.org/users/944474/items/AQ75H8SX"],"uri":["http://zotero.org/users/944474/items/AQ75H8SX"],"itemData":{"id":7,"type":"article-journal","title":"Characterization of Staphylococcus aureus cell wall glycan strands, evidence for a new beta-N-acetylglucosaminidase activity","container-title":"The Journal of Biological Chemistry","page":"9910-9918","volume":"275","issue":"14","abstract":"Using sequential digestion with the glycyl-glycine endopeptidase lysostaphin followed by the pneumococcal N-acetylmuramyl-L-alanine amidase (amidase), the glycan strands of the peptidoglycan of Staphylococcus aureus were purified and analyzed by a combination of reverse-phase-high pressure liquid chromatography (HPLC) and mass spectrometry. Reverse-phase-HPLC resolved the glycan strands to a family of major peaks, which represented oligosaccharides composed of repeating disaccharide units (N-acetylglucosamine-[beta-1, 4]-N-acetylmuramic acid) with different degrees of polymerization and terminating with N-acetylmuramic acid residues at the reducing ends. The method allowed separation of strands up to 23-26 disaccharide units with a predominant length between 3 and 10 and an average degree of polymerization of approximately 6. Glycan strands with a higher degree of polymerization (&gt;26 disaccharide units) represented 10-15% of the total UV absorbing glycan material. A unique feature of the staphylococcal glycan strands was the presence of minor satellite peaks that were present throughout the HPLC elution profile eluting either just prior or shortly after the major oligosaccharide peaks. A number of observations including mass spectrometric analysis suggest that the satellites are the products of an N-acetylglucosaminidase activity that differs from the atl gene product and that appears to be involved with modification of the glycan strand structure.","note":"PMID: 10744664","journalAbbreviation":"J. Biol. Chem.","author":[{"family":"Boneca","given":"I G"},{"family":"Huang","given":"Z H"},{"family":"Gage","given":"D A"},{"family":"Tomasz","given":"A"}],"issued":{"year":2000,"month":4,"day":7},"accessed":{"year":2012,"month":3,"day":6},"page-first":"9910"}},{"id":77,"uris":["http://zotero.org/users/944474/items/Z6IUFDEB"],"uri":["http://zotero.org/users/944474/items/Z6IUFDEB"],"itemData":{"id":77,"type":"article-journal","title":"Cell wall peptidoglycan architecture in Bacillus subtilis","container-title":"Proceedings of the National Academy of Sciences of the United States of America","page":"14603-14608","volume":"105","issue":"38","abstract":"The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polymer.","DOI":"10.1073/pnas.0804138105","note":"PMID: 18784364","journalAbbreviation":"Proc. Natl. Acad. Sci. U.S.A.","author":[{"family":"Hayhurst","given":"Emma J"},{"family":"Kailas","given":"Lekshmi"},{"family":"Hobbs","given":"Jamie K"},{"family":"Foster","given":"Simon J"}],"issued":{"year":2008,"month":9,"day":23},"accessed":{"year":2012,"month":3,"day":7},"page-first":"14603"}}],"schema":"https://github.com/citation-style-language/schema/raw/master/csl-citation.json"}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proofErr w:type="gramStart"/>
      <w:r w:rsidRPr="000D1271">
        <w:rPr>
          <w:rFonts w:ascii="Times New Roman" w:hAnsi="Times New Roman" w:cs="Times New Roman"/>
          <w:color w:val="000000" w:themeColor="text1"/>
          <w:sz w:val="24"/>
        </w:rPr>
        <w:t xml:space="preserve">(Ward, 1973; Boneca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xml:space="preserve">., 2000; Hayhurst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2008)</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w:t>
      </w:r>
      <w:proofErr w:type="gramEnd"/>
      <w:r w:rsidRPr="000D1271">
        <w:rPr>
          <w:rFonts w:ascii="Times New Roman" w:hAnsi="Times New Roman" w:cs="Times New Roman"/>
          <w:color w:val="000000" w:themeColor="text1"/>
          <w:sz w:val="24"/>
          <w:szCs w:val="24"/>
        </w:rPr>
        <w:t xml:space="preserve"> Glycan</w:t>
      </w:r>
      <w:r>
        <w:rPr>
          <w:rFonts w:ascii="Times New Roman" w:hAnsi="Times New Roman" w:cs="Times New Roman"/>
          <w:color w:val="000000"/>
          <w:sz w:val="24"/>
          <w:szCs w:val="24"/>
        </w:rPr>
        <w:t xml:space="preserve"> strands may end in </w:t>
      </w:r>
      <w:r w:rsidRPr="000D1271">
        <w:rPr>
          <w:rFonts w:ascii="Times New Roman" w:hAnsi="Times New Roman" w:cs="Times New Roman"/>
          <w:color w:val="000000" w:themeColor="text1"/>
          <w:sz w:val="24"/>
          <w:szCs w:val="24"/>
        </w:rPr>
        <w:t>Mur</w:t>
      </w:r>
      <w:r w:rsidRPr="000D1271">
        <w:rPr>
          <w:rFonts w:ascii="Times New Roman" w:hAnsi="Times New Roman" w:cs="Times New Roman"/>
          <w:i/>
          <w:color w:val="000000" w:themeColor="text1"/>
          <w:sz w:val="24"/>
          <w:szCs w:val="24"/>
        </w:rPr>
        <w:t>N</w:t>
      </w:r>
      <w:r w:rsidRPr="000D1271">
        <w:rPr>
          <w:rFonts w:ascii="Times New Roman" w:hAnsi="Times New Roman" w:cs="Times New Roman"/>
          <w:color w:val="000000" w:themeColor="text1"/>
          <w:sz w:val="24"/>
          <w:szCs w:val="24"/>
        </w:rPr>
        <w:t>Ac or Glc</w:t>
      </w:r>
      <w:r w:rsidRPr="000D1271">
        <w:rPr>
          <w:rFonts w:ascii="Times New Roman" w:hAnsi="Times New Roman" w:cs="Times New Roman"/>
          <w:i/>
          <w:color w:val="000000" w:themeColor="text1"/>
          <w:sz w:val="24"/>
          <w:szCs w:val="24"/>
        </w:rPr>
        <w:t>N</w:t>
      </w:r>
      <w:r w:rsidRPr="000D1271">
        <w:rPr>
          <w:rFonts w:ascii="Times New Roman" w:hAnsi="Times New Roman" w:cs="Times New Roman"/>
          <w:color w:val="000000" w:themeColor="text1"/>
          <w:sz w:val="24"/>
          <w:szCs w:val="24"/>
        </w:rPr>
        <w:t>Ac reducing termini, or 1,6 anydroMur</w:t>
      </w:r>
      <w:r w:rsidRPr="000D1271">
        <w:rPr>
          <w:rFonts w:ascii="Times New Roman" w:hAnsi="Times New Roman" w:cs="Times New Roman"/>
          <w:i/>
          <w:color w:val="000000" w:themeColor="text1"/>
          <w:sz w:val="24"/>
          <w:szCs w:val="24"/>
        </w:rPr>
        <w:t>N</w:t>
      </w:r>
      <w:r w:rsidRPr="000D1271">
        <w:rPr>
          <w:rFonts w:ascii="Times New Roman" w:hAnsi="Times New Roman" w:cs="Times New Roman"/>
          <w:color w:val="000000" w:themeColor="text1"/>
          <w:sz w:val="24"/>
          <w:szCs w:val="24"/>
        </w:rPr>
        <w:t xml:space="preserve">Ac non-reducing termini which are common in Gram-negative organisms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{"citationID":"qoukkm2tb","properties":{"formattedCitation":"(Quintela et al., 1995; Boneca et al., 2000)","plainCitation":"(Quintela et al., 1995; Boneca et al., 2000)"},"citationItems":[{"id":376,"uris":["http://zotero.org/users/944474/items/ANFX94PG"],"uri":["http://zotero.org/users/944474/items/ANFX94PG"],"itemData":{"id":376,"type":"article-journal","title":"Variability of peptidoglycan structural parameters in gram-negative bacteria","container-title":"FEMS microbiology letters","page":"95-100","volume":"125","issue":"1","abstract":"Muropeptide composition of peptidoglycan from the Gram-negative bacteria Aeromonas sp., Acinetobacter acetoaceticus, Agrobacterium tumefaciens, Enterobacter cloacae, Proteus morganii, Pseudomonas aeruginosa, Pseudomonas putida, Vibrio parahaemolyticus Yersinia enterocolitica and Escherichia coli, was analyzed by HPLC. In all instances peptidoglycan was built up from the same subunits. A wide disparity in the relative abundance of muropeptides and all structural parameters was observed. The contribution of LD-A2pm-A2pm cross-linked muropeptides was extremely variable; from 1 to 45% of cross-linked muropeptides. Muropeptides with the dipeptides Lys-Lys or Arg-Lys, indicative of murein-bound (lipo)proteins, were detected in all instances although abundance was very variable.","note":"PMID: 7867925","journalAbbreviation":"FEMS Microbiol. Lett.","author":[{"family":"Quintela","given":"J C"},{"family":"Caparrós","given":"M"},{"family":"de Pedro","given":"M A"}],"issued":{"year":1995,"month":1,"day":1},"accessed":{"year":2012,"month":6,"day":5},"page-first":"95"}},{"id":7,"uris":["http://zotero.org/users/944474/items/AQ75H8SX"],"uri":["http://zotero.org/users/944474/items/AQ75H8SX"],"itemData":{"id":7,"type":"article-journal","title":"Characterization of Staphylococcus aureus cell wall glycan strands, evidence for a new beta-N-acetylglucosaminidase activity","container-title":"The Journal of Biological Chemistry","page":"9910-9918","volume":"275","issue":"14","abstract":"Using sequential digestion with the glycyl-glycine endopeptidase lysostaphin followed by the pneumococcal N-acetylmuramyl-L-alanine amidase (amidase), the glycan strands of the peptidoglycan of Staphylococcus aureus were purified and analyzed by a combination of reverse-phase-high pressure liquid chromatography (HPLC) and mass spectrometry. Reverse-phase-HPLC resolved the glycan strands to a family of major peaks, which represented oligosaccharides composed of repeating disaccharide units (N-acetylglucosamine-[beta-1, 4]-N-acetylmuramic acid) with different degrees of polymerization and terminating with N-acetylmuramic acid residues at the reducing ends. The method allowed separation of strands up to 23-26 disaccharide units with a predominant length between 3 and 10 and an average degree of polymerization of approximately 6. Glycan strands with a higher degree of polymerization (&gt;26 disaccharide units) represented 10-15% of the total UV absorbing glycan material. A unique feature of the staphylococcal glycan strands was the presence of minor satellite peaks that were present throughout the HPLC elution profile eluting either just prior or shortly after the major oligosaccharide peaks. A number of observations including mass spectrometric analysis suggest that the satellites are the products of an N-acetylglucosaminidase activity that differs from the atl gene product and that appears to be involved with modification of the glycan strand structure.","note":"PMID: 10744664","journalAbbreviation":"J. Biol. Chem.","author":[{"family":"Boneca","given":"I G"},{"family":"Huang","given":"Z H"},{"family":"Gage","given":"D A"},{"family":"Tomasz","given":"A"}],"issued":{"year":2000,"month":4,"day":7},"accessed":{"year":2012,"month":3,"day":6},"page-first":"9910"}}],"schema":"https://github.com/citation-style-language/schema/raw/master/csl-citation.json"}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 xml:space="preserve">(Quintela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xml:space="preserve">., 1995; Boneca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2000)</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w:t>
      </w:r>
    </w:p>
    <w:p w:rsidR="00BC7652" w:rsidRDefault="00BC7652" w:rsidP="00BC7652">
      <w:pPr>
        <w:autoSpaceDE w:val="0"/>
        <w:autoSpaceDN w:val="0"/>
        <w:adjustRightInd w:val="0"/>
        <w:spacing w:after="120" w:line="480" w:lineRule="auto"/>
        <w:jc w:val="both"/>
        <w:rPr>
          <w:rFonts w:ascii="Times New Roman" w:hAnsi="Times New Roman" w:cs="Times New Roman"/>
          <w:color w:val="000000"/>
          <w:sz w:val="24"/>
          <w:szCs w:val="24"/>
        </w:rPr>
      </w:pPr>
      <w:r w:rsidRPr="000D1271">
        <w:rPr>
          <w:rFonts w:ascii="Times New Roman" w:hAnsi="Times New Roman" w:cs="Times New Roman"/>
          <w:color w:val="000000" w:themeColor="text1"/>
          <w:sz w:val="24"/>
          <w:szCs w:val="24"/>
        </w:rPr>
        <w:t>The C6 group of Mur</w:t>
      </w:r>
      <w:r w:rsidRPr="000D1271">
        <w:rPr>
          <w:rFonts w:ascii="Times New Roman" w:hAnsi="Times New Roman" w:cs="Times New Roman"/>
          <w:i/>
          <w:color w:val="000000" w:themeColor="text1"/>
          <w:sz w:val="24"/>
          <w:szCs w:val="24"/>
        </w:rPr>
        <w:t>N</w:t>
      </w:r>
      <w:r w:rsidRPr="000D1271">
        <w:rPr>
          <w:rFonts w:ascii="Times New Roman" w:hAnsi="Times New Roman" w:cs="Times New Roman"/>
          <w:color w:val="000000" w:themeColor="text1"/>
          <w:sz w:val="24"/>
          <w:szCs w:val="24"/>
        </w:rPr>
        <w:t xml:space="preserve">Ac </w:t>
      </w:r>
      <w:r>
        <w:rPr>
          <w:rFonts w:ascii="Times New Roman" w:hAnsi="Times New Roman" w:cs="Times New Roman"/>
          <w:color w:val="000000" w:themeColor="text1"/>
          <w:sz w:val="24"/>
          <w:szCs w:val="24"/>
        </w:rPr>
        <w:t xml:space="preserve">or </w:t>
      </w:r>
      <w:r w:rsidRPr="000D1271">
        <w:rPr>
          <w:rFonts w:ascii="Times New Roman" w:hAnsi="Times New Roman" w:cs="Times New Roman"/>
          <w:color w:val="000000" w:themeColor="text1"/>
          <w:sz w:val="24"/>
          <w:szCs w:val="24"/>
        </w:rPr>
        <w:t>Glc</w:t>
      </w:r>
      <w:r w:rsidRPr="000D1271">
        <w:rPr>
          <w:rFonts w:ascii="Times New Roman" w:hAnsi="Times New Roman" w:cs="Times New Roman"/>
          <w:i/>
          <w:color w:val="000000" w:themeColor="text1"/>
          <w:sz w:val="24"/>
          <w:szCs w:val="24"/>
        </w:rPr>
        <w:t>N</w:t>
      </w:r>
      <w:r w:rsidRPr="000D1271">
        <w:rPr>
          <w:rFonts w:ascii="Times New Roman" w:hAnsi="Times New Roman" w:cs="Times New Roman"/>
          <w:color w:val="000000" w:themeColor="text1"/>
          <w:sz w:val="24"/>
          <w:szCs w:val="24"/>
        </w:rPr>
        <w:t xml:space="preserve">Ac may be modified by </w:t>
      </w:r>
      <w:r w:rsidRPr="000D1271">
        <w:rPr>
          <w:rFonts w:ascii="Times New Roman" w:hAnsi="Times New Roman" w:cs="Times New Roman"/>
          <w:i/>
          <w:color w:val="000000" w:themeColor="text1"/>
          <w:sz w:val="24"/>
          <w:szCs w:val="24"/>
        </w:rPr>
        <w:t>O</w:t>
      </w:r>
      <w:r w:rsidRPr="000D1271">
        <w:rPr>
          <w:rFonts w:ascii="Times New Roman" w:hAnsi="Times New Roman" w:cs="Times New Roman"/>
          <w:color w:val="000000" w:themeColor="text1"/>
          <w:sz w:val="24"/>
          <w:szCs w:val="24"/>
        </w:rPr>
        <w:t>-acetylation</w:t>
      </w:r>
      <w:r>
        <w:rPr>
          <w:rFonts w:ascii="Times New Roman" w:hAnsi="Times New Roman" w:cs="Times New Roman"/>
          <w:color w:val="000000" w:themeColor="text1"/>
          <w:sz w:val="24"/>
          <w:szCs w:val="24"/>
        </w:rPr>
        <w:t xml:space="preserve"> or</w:t>
      </w:r>
      <w:r w:rsidRPr="000D1271">
        <w:rPr>
          <w:rFonts w:ascii="Times New Roman" w:hAnsi="Times New Roman" w:cs="Times New Roman"/>
          <w:color w:val="000000" w:themeColor="text1"/>
          <w:sz w:val="24"/>
          <w:szCs w:val="24"/>
        </w:rPr>
        <w:t xml:space="preserve"> </w:t>
      </w:r>
      <w:r w:rsidRPr="000D1271">
        <w:rPr>
          <w:rFonts w:ascii="Times New Roman" w:hAnsi="Times New Roman" w:cs="Times New Roman"/>
          <w:i/>
          <w:color w:val="000000" w:themeColor="text1"/>
          <w:sz w:val="24"/>
          <w:szCs w:val="24"/>
        </w:rPr>
        <w:t>N</w:t>
      </w:r>
      <w:r w:rsidRPr="000D1271">
        <w:rPr>
          <w:rFonts w:ascii="Times New Roman" w:hAnsi="Times New Roman" w:cs="Times New Roman"/>
          <w:color w:val="000000" w:themeColor="text1"/>
          <w:sz w:val="24"/>
          <w:szCs w:val="24"/>
        </w:rPr>
        <w:t>-glycolylation</w:t>
      </w:r>
      <w:r>
        <w:rPr>
          <w:rFonts w:ascii="Times New Roman" w:hAnsi="Times New Roman" w:cs="Times New Roman"/>
          <w:color w:val="000000" w:themeColor="text1"/>
          <w:sz w:val="24"/>
          <w:szCs w:val="24"/>
        </w:rPr>
        <w:t>, whilst</w:t>
      </w:r>
      <w:r w:rsidRPr="000D127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C2</w:t>
      </w:r>
      <w:r w:rsidRPr="000D127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may be </w:t>
      </w:r>
      <w:r w:rsidRPr="000D1271">
        <w:rPr>
          <w:rFonts w:ascii="Times New Roman" w:hAnsi="Times New Roman" w:cs="Times New Roman"/>
          <w:color w:val="000000" w:themeColor="text1"/>
          <w:sz w:val="24"/>
          <w:szCs w:val="24"/>
        </w:rPr>
        <w:t>de-</w:t>
      </w:r>
      <w:r w:rsidRPr="000D1271">
        <w:rPr>
          <w:rFonts w:ascii="Times New Roman" w:hAnsi="Times New Roman" w:cs="Times New Roman"/>
          <w:i/>
          <w:color w:val="000000" w:themeColor="text1"/>
          <w:sz w:val="24"/>
          <w:szCs w:val="24"/>
        </w:rPr>
        <w:t>N</w:t>
      </w:r>
      <w:r w:rsidRPr="000D1271">
        <w:rPr>
          <w:rFonts w:ascii="Times New Roman" w:hAnsi="Times New Roman" w:cs="Times New Roman"/>
          <w:color w:val="000000" w:themeColor="text1"/>
          <w:sz w:val="24"/>
          <w:szCs w:val="24"/>
        </w:rPr>
        <w:t>-acetylat</w:t>
      </w:r>
      <w:r>
        <w:rPr>
          <w:rFonts w:ascii="Times New Roman" w:hAnsi="Times New Roman" w:cs="Times New Roman"/>
          <w:color w:val="000000" w:themeColor="text1"/>
          <w:sz w:val="24"/>
          <w:szCs w:val="24"/>
        </w:rPr>
        <w:t>ed</w:t>
      </w:r>
      <w:r w:rsidRPr="000D1271">
        <w:rPr>
          <w:rFonts w:ascii="Times New Roman" w:hAnsi="Times New Roman" w:cs="Times New Roman"/>
          <w:color w:val="000000" w:themeColor="text1"/>
          <w:sz w:val="24"/>
          <w:szCs w:val="24"/>
        </w:rPr>
        <w:t xml:space="preserve">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{"citationID":"8iphu3ur0","properties":{"formattedCitation":"(Vollmer, 2008)","plainCitation":"(Vollmer, 2008)"},"citationItems":[{"id":113,"uris":["http://zotero.org/users/944474/items/7M9T2M32"],"uri":["http://zotero.org/users/944474/items/7M9T2M32"],"itemData":{"id":113,"type":"article-journal","title":"Structural variation in the glycan strands of bacterial peptidoglycan","container-title":"FEMS Microbiology Reviews","page":"287-306","volume":"32","issue":"2","abstract":"The normal, unmodified glycan strands of bacterial peptidoglycan consist of alternating residues of beta-1,4-linked N-acetylmuramic acid and N-acetylglucosamine. In many species the glycan strands become modified after their insertion into the cell wall. This review describes the structure of secondary modifications and of attachment sites of surface polymers in the glycan strands of peptidoglycan. It also provides an overview of the occurrence of these modifications in various bacterial species. Recently, enzymes responsible for the N-deacetylation, N-glycolylation and O-acetylation of the glycan strands were identified. The presence of these modifications affects the hydrolysis of peptidoglycan and its enlargement during cell growth. Glycan strands are frequently deacetylated and/or O-acetylated in pathogenic species. These alterations affect the recognition of bacteria by host factors, and contribute to the resistance of bacteria to host defence factors such as lysozyme.","DOI":"10.1111/j.1574-6976.2007.00088.x","note":"PMID: 18070068","journalAbbreviation":"FEMS Microbiol. Rev.","author":[{"family":"Vollmer","given":"Waldemar"}],"issued":{"year":2008,"month":3},"accessed":{"year":2012,"month":4,"day":2},"page-first":"287"}}],"schema":"https://github.com/citation-style-language/schema/raw/master/csl-citation.json"}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Fleck </w:t>
      </w:r>
      <w:r w:rsidRPr="00F87C46">
        <w:rPr>
          <w:rFonts w:ascii="Times New Roman" w:hAnsi="Times New Roman" w:cs="Times New Roman"/>
          <w:i/>
          <w:color w:val="000000" w:themeColor="text1"/>
          <w:sz w:val="24"/>
        </w:rPr>
        <w:t>et al</w:t>
      </w:r>
      <w:r>
        <w:rPr>
          <w:rFonts w:ascii="Times New Roman" w:hAnsi="Times New Roman" w:cs="Times New Roman"/>
          <w:color w:val="000000" w:themeColor="text1"/>
          <w:sz w:val="24"/>
        </w:rPr>
        <w:t xml:space="preserve">., 1971; </w:t>
      </w:r>
      <w:r w:rsidRPr="000D1271">
        <w:rPr>
          <w:rFonts w:ascii="Times New Roman" w:hAnsi="Times New Roman" w:cs="Times New Roman"/>
          <w:color w:val="000000" w:themeColor="text1"/>
          <w:sz w:val="24"/>
        </w:rPr>
        <w:t>Vollmer, 2008)</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 xml:space="preserve">. </w:t>
      </w:r>
      <w:r w:rsidRPr="000D1271">
        <w:rPr>
          <w:rFonts w:ascii="Times New Roman" w:hAnsi="Times New Roman" w:cs="Times New Roman"/>
          <w:i/>
          <w:color w:val="000000" w:themeColor="text1"/>
          <w:sz w:val="24"/>
          <w:szCs w:val="24"/>
        </w:rPr>
        <w:t>O</w:t>
      </w:r>
      <w:r w:rsidRPr="000D1271">
        <w:rPr>
          <w:rFonts w:ascii="Times New Roman" w:hAnsi="Times New Roman" w:cs="Times New Roman"/>
          <w:color w:val="000000" w:themeColor="text1"/>
          <w:sz w:val="24"/>
          <w:szCs w:val="24"/>
        </w:rPr>
        <w:t xml:space="preserve">-acetylation provides resistance to lysozyme and other autolysins, and is associated with pathogenesis and modulation of the host immune response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{"citationID":"s0ndakdk6","properties":{"formattedCitation":"(Dupont and Clarke, 1991; Payie et al., 1996; Vollmer, 2008)","plainCitation":"(Dupont and Clarke, 1991; Payie et al., 1996; Vollmer, 2008)"},"citationItems":[{"id":382,"uris":["http://zotero.org/users/944474/items/P2AXJFTF"],"uri":["http://zotero.org/users/944474/items/P2AXJFTF"],"itemData":{"id":382,"type":"article-journal","title":"Dependence of lysozyme-catalysed solubilization of Proteus mirabilis peptidoglycan on the extent of O-acetylation","container-title":"European journal of biochemistry / FEBS","page":"763-769","volume":"195","issue":"3","abstract":"The degree of peptidoglycan O-acetylation in 14 strains of Proteus mirabilis has been accurately determined by a procedure which employs the quantitation of mild-base-released acetic acid by HPLC, and the estimation of peptidoglycan concentration by cation-exchange amino acid analysis. The beta-D-N,6-O-diacetylmuramyl content of all isolated and purified peptidoglycans was ranged 20-52.8%, relative to the total muramic acid concentration. Each of the O-acetylated peptidoglycans was found to be resistant to solubilization by both human and hen egg-white lysozymes and for hen egg-white lysozyme, the extent of this resistance was dependent upon the degree of O-acetylation. The steady-state parameters, Km and V, for the hen-egg-white-lysozyme-catalysed solubilization of various peptidoglycan preparations were determined at pH 6.61 and 25 degrees C. Values of Km for the different peptidoglycan samples were found to increase with increasing O-acetylation, whereas with V no such relationship appeared to exist. An increase in the overall change in the standard Gibbs free energy of activation [delta(delta G#)], a consequence of increasing O-acetylation, was observed, and is shown to result from the weaker affinity of the enzyme for the modified substrates.","note":"PMID: 1999194","journalAbbreviation":"Eur. J. Biochem.","author":[{"family":"Dupont","given":"C"},{"family":"Clarke","given":"A J"}],"issued":{"year":1991,"month":2,"day":14},"accessed":{"year":2012,"month":6,"day":5},"page-first":"763"}},{"id":381,"uris":["http://zotero.org/users/944474/items/Q73ITS6Q"],"uri":["http://zotero.org/users/944474/items/Q73ITS6Q"],"itemData":{"id":381,"type":"article-journal","title":"The role of O-acetylation in the metabolism of peptidoglycan in Providencia stuartii","container-title":"Microbial drug resistance (Larchmont, N.Y.)","page":"135-140","volume":"2","issue":"1","abstract":"The gentamicin 2'-N-acetyltransferase [EC 2.3.1.59; AAC(2')-Ia] of Providencia stuartii was shown to contribute to the O-acetylation of peptidoglycan and mutants that either under- or overexpress the aac(2')-Ia gene was characterized phenotypically to possess either lower or higher levels of peptidoglycan O-acetylation, respectively, compared to the wild-type. These mutants were subjected to scanning electron microscopy. P. stuartii PR100, with 42-44% peptidoglycan O-acetylation compared to 54% for the wild-type, appeared as irregular rods. In direct contrast, strains PR50.LM3 and PR51, with increased levels of peptidoglycan O-acetylation (63 and 65%, respectively), appeared as coccobacilli or chain formers, respectively. Zymogram analysis of the autolysins produced by another member of the closely related Proteeae group of bacteria, Proteus mirabilis, indicated the presence of three classes of enzymes: one that acts preferentially on native, O-acetylated peptidoglycan, a second that hydrolyses non-O-acetylated peptidoglycan, and a third that is not distinguished by the two forms of substrate. On the basis of the apparent morphological changes directly related to levels of O-acetylation combined with the presence of different classes of autolysins, a model is proposed that invokes the role of this modification in the control of autolysins for the maintenance of the structure of the peptidoglycan sacculus.","note":"PMID: 9158736","journalAbbreviation":"Microb. Drug Resist.","author":[{"family":"Payie","given":"K G"},{"family":"Strating","given":"H"},{"family":"Clarke","given":"A J"}],"issued":{"year":1996},"accessed":{"year":2012,"month":6,"day":5},"page-first":"135"}},{"id":113,"uris":["http://zotero.org/users/944474/items/7M9T2M32"],"uri":["http://zotero.org/users/944474/items/7M9T2M32"],"itemData":{"id":113,"type":"article-journal","title":"Structural variation in the glycan strands of bacterial peptidoglycan","container-title":"FEMS Microbiology Reviews","page":"287-306","volume":"32","issue":"2","abstract":"The normal, unmodified glycan strands of bacterial peptidoglycan consist of alternating residues of beta-1,4-linked N-acetylmuramic acid and N-acetylglucosamine. In many species the glycan strands become modified after their insertion into the cell wall. This review describes the structure of secondary modifications and of attachment sites of surface polymers in the glycan strands of peptidoglycan. It also provides an overview of the occurrence of these modifications in various bacterial species. Recently, enzymes responsible for the N-deacetylation, N-glycolylation and O-acetylation of the glycan strands were identified. The presence of these modifications affects the hydrolysis of peptidoglycan and its enlargement during cell growth. Glycan strands are frequently deacetylated and/or O-acetylated in pathogenic species. These alterations affect the recognition of bacteria by host factors, and contribute to the resistance of bacteria to host defence factors such as lysozyme.","DOI":"10.1111/j.1574-6976.2007.00088.x","note":"PMID: 18070068","journalAbbreviation":"FEMS Microbiol. Rev.","author":[{"family":"Vollmer","given":"Waldemar"}],"issued":{"year":2008,"month":3},"accessed":{"year":2012,"month":4,"day":2},"page-first":"287"}}],"schema":"https://github.com/citation-style-language/schema/raw/master/csl-citation.json"}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 xml:space="preserve">(Dupont and Clarke, 1991; Payie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1996; Vollmer, 2008)</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 xml:space="preserve">. </w:t>
      </w:r>
      <w:r w:rsidRPr="000D1271">
        <w:rPr>
          <w:rFonts w:ascii="Times New Roman" w:hAnsi="Times New Roman" w:cs="Times New Roman"/>
          <w:i/>
          <w:color w:val="000000" w:themeColor="text1"/>
          <w:sz w:val="24"/>
          <w:szCs w:val="24"/>
        </w:rPr>
        <w:t>N</w:t>
      </w:r>
      <w:r w:rsidRPr="000D1271">
        <w:rPr>
          <w:rFonts w:ascii="Times New Roman" w:hAnsi="Times New Roman" w:cs="Times New Roman"/>
          <w:color w:val="000000" w:themeColor="text1"/>
          <w:sz w:val="24"/>
          <w:szCs w:val="24"/>
        </w:rPr>
        <w:t>-</w:t>
      </w:r>
      <w:r w:rsidRPr="00C162F4">
        <w:rPr>
          <w:rFonts w:ascii="Times New Roman" w:hAnsi="Times New Roman" w:cs="Times New Roman"/>
          <w:color w:val="000000"/>
          <w:sz w:val="24"/>
          <w:szCs w:val="24"/>
        </w:rPr>
        <w:t>glycolylyation</w:t>
      </w:r>
      <w:r>
        <w:rPr>
          <w:rFonts w:ascii="Times New Roman" w:hAnsi="Times New Roman" w:cs="Times New Roman"/>
          <w:i/>
          <w:color w:val="000000"/>
          <w:sz w:val="24"/>
          <w:szCs w:val="24"/>
        </w:rPr>
        <w:t xml:space="preserve"> </w:t>
      </w:r>
      <w:r>
        <w:rPr>
          <w:rFonts w:ascii="Times New Roman" w:hAnsi="Times New Roman" w:cs="Times New Roman"/>
          <w:color w:val="000000"/>
          <w:sz w:val="24"/>
          <w:szCs w:val="24"/>
        </w:rPr>
        <w:t xml:space="preserve">is mainly found in genera that contain mycolic acids in their cell </w:t>
      </w:r>
      <w:r w:rsidRPr="000D1271">
        <w:rPr>
          <w:rFonts w:ascii="Times New Roman" w:hAnsi="Times New Roman" w:cs="Times New Roman"/>
          <w:color w:val="000000" w:themeColor="text1"/>
          <w:sz w:val="24"/>
          <w:szCs w:val="24"/>
        </w:rPr>
        <w:t xml:space="preserve">envelope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{"citationID":"k3ch3bpdp","properties":{"formattedCitation":"(Azuma et al., 1970; Sutcliffe, 1998; Vollmer, 2008)","plainCitation":"(Azuma et al., 1970; Sutcliffe, 1998; Vollmer, 2008)"},"citationItems":[{"id":390,"uris":["http://zotero.org/users/944474/items/T6X7FQ9H"],"uri":["http://zotero.org/users/944474/items/T6X7FQ9H"],"itemData":{"id":390,"type":"article-journal","title":"Occurrence of N-glycolylmuramic acid in bacterial cell walls. A preliminary survey","container-title":"Biochimica et biophysica acta","page":"444-451","volume":"208","issue":"3","note":"PMID: 4990198","journalAbbreviation":"Biochim. Biophys. Acta","author":[{"family":"Azuma","given":"I"},{"family":"Thomas","given":"D W"},{"family":"Adam","given":"A"},{"family":"Ghuysen","given":"J M"},{"family":"Bonaly","given":"R"},{"family":"Petit","given":"J F"},{"family":"Lederer","given":"E"}],"issued":{"year":1970,"month":6},"accessed":{"year":2012,"month":6,"day":5},"page-first":"444"}},{"id":391,"uris":["http://zotero.org/users/944474/items/3QR5TBQ6"],"uri":["http://zotero.org/users/944474/items/3QR5TBQ6"],"itemData":{"id":391,"type":"article-journal","title":"Cell envelope composition and organisation in the genus Rhodococcus","container-title":"Antonie van Leeuwenhoek","page":"49-58","volume":"74","issue":"1-3","abstract":"A knowledge of the organisation of the rhodococcal cell envelope is of fundamental importance if the environmental and biotechnological significance of these bacteria are to be understood and successfully exploited. The genus Rhodococcus belongs to a distinctive suprageneric taxon, the mycolata, which includes among others the genera Corynebacterium, Mycobacterium and Nocardia. Members of this taxon exhibit an unusual complexity in their cell envelope composition and organisation compared to other Gram-positive bacteria. Models that describe the architecture of the mycobacterial cell envelope are extrapolated here to provide a model of the rhodococcal cell envelope. The rhodococcal cell envelope is dominated by the presence of an arabinogalactan cell wall polysaccharide and large 2-alkyl 3-hydroxy branched-chain fatty acids, the mycolic acids, which are covalently assembled into a peptidoglycan-arabinogalactan-mycolic acid matrix. This review further emphasises that the mycolic acids in this complex form the basis of an outer lipid permeability barrier. The localisation and roles of other cell envelope components, notably complex free lipids, lipoglycans, proteins and lipoproteins are also considered.","note":"PMID: 10068788","journalAbbreviation":"Antonie Van Leeuwenhoek","author":[{"family":"Sutcliffe","given":"I C"}],"issued":{"year":1998,"month":10},"accessed":{"year":2012,"month":6,"day":5},"page-first":"49"}},{"id":113,"uris":["http://zotero.org/users/944474/items/7M9T2M32"],"uri":["http://zotero.org/users/944474/items/7M9T2M32"],"itemData":{"id":113,"type":"article-journal","title":"Structural variation in the glycan strands of bacterial peptidoglycan","container-title":"FEMS Microbiology Reviews","page":"287-306","volume":"32","issue":"2","abstract":"The normal, unmodified glycan strands of bacterial peptidoglycan consist of alternating residues of beta-1,4-linked N-acetylmuramic acid and N-acetylglucosamine. In many species the glycan strands become modified after their insertion into the cell wall. This review describes the structure of secondary modifications and of attachment sites of surface polymers in the glycan strands of peptidoglycan. It also provides an overview of the occurrence of these modifications in various bacterial species. Recently, enzymes responsible for the N-deacetylation, N-glycolylation and O-acetylation of the glycan strands were identified. The presence of these modifications affects the hydrolysis of peptidoglycan and its enlargement during cell growth. Glycan strands are frequently deacetylated and/or O-acetylated in pathogenic species. These alterations affect the recognition of bacteria by host factors, and contribute to the resistance of bacteria to host defence factors such as lysozyme.","DOI":"10.1111/j.1574-6976.2007.00088.x","note":"PMID: 18070068","journalAbbreviation":"FEMS Microbiol. Rev.","author":[{"family":"Vollmer","given":"Waldemar"}],"issued":{"year":2008,"month":3},"accessed":{"year":2012,"month":4,"day":2},"page-first":"287"}}],"schema":"https://github.com/citation-style-language/schema/raw/master/csl-citation.json"}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 xml:space="preserve">(Azuma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1970; Sutcliffe, 1998; Vollmer, 2008)</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 The role</w:t>
      </w:r>
      <w:r>
        <w:rPr>
          <w:rFonts w:ascii="Times New Roman" w:hAnsi="Times New Roman" w:cs="Times New Roman"/>
          <w:color w:val="000000"/>
          <w:sz w:val="24"/>
          <w:szCs w:val="24"/>
        </w:rPr>
        <w:t xml:space="preserve"> of </w:t>
      </w:r>
      <w:r>
        <w:rPr>
          <w:rFonts w:ascii="Times New Roman" w:hAnsi="Times New Roman" w:cs="Times New Roman"/>
          <w:i/>
          <w:color w:val="000000"/>
          <w:sz w:val="24"/>
          <w:szCs w:val="24"/>
        </w:rPr>
        <w:t>N</w:t>
      </w:r>
      <w:r w:rsidRPr="00C755CF">
        <w:rPr>
          <w:rFonts w:ascii="Times New Roman" w:hAnsi="Times New Roman" w:cs="Times New Roman"/>
          <w:color w:val="000000"/>
          <w:sz w:val="24"/>
          <w:szCs w:val="24"/>
        </w:rPr>
        <w:t>-glycolylation</w:t>
      </w:r>
      <w:r>
        <w:rPr>
          <w:rFonts w:ascii="Times New Roman" w:hAnsi="Times New Roman" w:cs="Times New Roman"/>
          <w:color w:val="000000"/>
          <w:sz w:val="24"/>
          <w:szCs w:val="24"/>
        </w:rPr>
        <w:t xml:space="preserve"> is poorly understood, but may contribute to cell envelope stability and </w:t>
      </w:r>
      <w:r w:rsidRPr="000D1271">
        <w:rPr>
          <w:rFonts w:ascii="Times New Roman" w:hAnsi="Times New Roman" w:cs="Times New Roman"/>
          <w:color w:val="000000" w:themeColor="text1"/>
          <w:sz w:val="24"/>
          <w:szCs w:val="24"/>
        </w:rPr>
        <w:t xml:space="preserve">lysozyme resistance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{"citationID":"1b8qrldk47","properties":{"formattedCitation":"(Raymond et al., 2005)","plainCitation":"(Raymond et al., 2005)"},"citationItems":[{"id":389,"uris":["http://zotero.org/users/944474/items/QNI7JDXI"],"uri":["http://zotero.org/users/944474/items/QNI7JDXI"],"itemData":{"id":389,"type":"article-journal","title":"Identification of the namH gene, encoding the hydroxylase responsible for the N-glycolylation of the mycobacterial peptidoglycan","container-title":"The Journal of biological chemistry","page":"326-333","volume":"280","issue":"1","abstract":"The peptidoglycan of most bacteria consists of a repeating disaccharide unit of beta-1,4-linked N-acetylmuramic acid and N-acetylglucosamine. However, the muramic acid moieties of the mycobacterial peptidoglycan are N-glycolylated, not N-acetylated. This is a rare modification seen only in the peptidoglycan of mycobacteria and five other closely related genera of bacteria. The N-glycolylation of sialic acids is a unique carbohydrate modification that has been studied extensively in eukaryotes. However, the significance of the N-glycolylation of bacterial peptidoglycan is unknown. The goal of this project was to identify the gene encoding the hydroxylase responsible for the N-glycolylation of the mycobacterial peptidoglycan. We developed a novel assay for the mycobacterial UDP-N-acetylmuramic acid hydroxylation reaction and demonstrated that Mycobacterium smegmatis has an enzyme activity that can convert UDP-N-acetylmuramic acid to UDP-N-glycolylmuramic acid. We identified the gene namH encoding the mycobacterial UDP-N-acetylmuramic acid hydroxylase by computer data base searching and motif comparisons with the eukaryotic enzymes responsible for the N-glycolyation of sialic acids. The namH gene is not essential for in vitro growth as we were successful in deleting the gene in M. smegmatis. The M. smegmatis mutant is devoid of UDP-N-acetylmuramic acid hydroxylase activity and synthesizes only N-acetylated muropeptide precursors. Furthermore, the mutant exhibits increased susceptibility to beta-lactam antibiotics and lysozyme. Our studies suggest that the N-glycolylation of mycobacterial peptidoglycan may play a role in lysozyme resistance or may contribute to the structural stability of the cell wall architecture.","DOI":"10.1074/jbc.M411006200","note":"PMID: 15522883","journalAbbreviation":"J. Biol. Chem.","author":[{"family":"Raymond","given":"Jon B"},{"family":"Mahapatra","given":"Sebabrata"},{"family":"Crick","given":"Dean C"},{"family":"Pavelka","given":"Martin S, Jr"}],"issued":{"year":2005,"month":1,"day":7},"accessed":{"year":2012,"month":6,"day":5},"page-first":"326"}}],"schema":"https://github.com/citation-style-language/schema/raw/master/csl-citation.json"}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 xml:space="preserve">(Raymond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2005)</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 De-</w:t>
      </w:r>
      <w:r w:rsidRPr="000D1271">
        <w:rPr>
          <w:rFonts w:ascii="Times New Roman" w:hAnsi="Times New Roman" w:cs="Times New Roman"/>
          <w:i/>
          <w:color w:val="000000" w:themeColor="text1"/>
          <w:sz w:val="24"/>
          <w:szCs w:val="24"/>
        </w:rPr>
        <w:t>N</w:t>
      </w:r>
      <w:r w:rsidRPr="000D1271">
        <w:rPr>
          <w:rFonts w:ascii="Times New Roman" w:hAnsi="Times New Roman" w:cs="Times New Roman"/>
          <w:color w:val="000000" w:themeColor="text1"/>
          <w:sz w:val="24"/>
          <w:szCs w:val="24"/>
        </w:rPr>
        <w:t>-acetylation of glycan disaccharides</w:t>
      </w:r>
      <w:r w:rsidRPr="006941F4">
        <w:rPr>
          <w:rFonts w:ascii="Times New Roman" w:hAnsi="Times New Roman" w:cs="Times New Roman"/>
          <w:color w:val="000000"/>
          <w:sz w:val="24"/>
          <w:szCs w:val="24"/>
        </w:rPr>
        <w:t xml:space="preserve"> is </w:t>
      </w:r>
      <w:r>
        <w:rPr>
          <w:rFonts w:ascii="Times New Roman" w:hAnsi="Times New Roman" w:cs="Times New Roman"/>
          <w:color w:val="000000"/>
          <w:sz w:val="24"/>
          <w:szCs w:val="24"/>
        </w:rPr>
        <w:t xml:space="preserve">also </w:t>
      </w:r>
      <w:r w:rsidRPr="006941F4">
        <w:rPr>
          <w:rFonts w:ascii="Times New Roman" w:hAnsi="Times New Roman" w:cs="Times New Roman"/>
          <w:color w:val="000000"/>
          <w:sz w:val="24"/>
          <w:szCs w:val="24"/>
        </w:rPr>
        <w:t>associated</w:t>
      </w:r>
      <w:r w:rsidRPr="007A7D68">
        <w:rPr>
          <w:rFonts w:ascii="Times New Roman" w:hAnsi="Times New Roman" w:cs="Times New Roman"/>
          <w:color w:val="000000"/>
          <w:sz w:val="24"/>
          <w:szCs w:val="24"/>
        </w:rPr>
        <w:t xml:space="preserve"> with </w:t>
      </w:r>
      <w:r w:rsidRPr="000D1271">
        <w:rPr>
          <w:rFonts w:ascii="Times New Roman" w:hAnsi="Times New Roman" w:cs="Times New Roman"/>
          <w:color w:val="000000" w:themeColor="text1"/>
          <w:sz w:val="24"/>
          <w:szCs w:val="24"/>
        </w:rPr>
        <w:t xml:space="preserve">resistance to autolysin activity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{"citationID":"1bla1eedgs","properties":{"formattedCitation":"(Vollmer and Tomasz, 2000; Meyrand et al., 2007)","plainCitation":"(Vollmer and Tomasz, 2000; Meyrand et al., 2007)"},"citationItems":[{"id":103,"uris":["http://zotero.org/users/944474/items/Z8QKK9ED"],"uri":["http://zotero.org/users/944474/items/Z8QKK9ED"],"itemData":{"id":103,"type":"article-journal","title":"The pgdA gene encodes for a peptidoglycan N-acetylglucosamine deacetylase in Streptococcus pneumoniae","container-title":"The Journal of Biological Chemistry","page":"20496-20501","volume":"275","issue":"27","abstract":"Analytical work on the fractionation of the glycan strands of Streptococcus pneumoniae cell wall has led to the observation that an unusually high proportion of hexosamine units (over 80% of the glucosamine and 10% of the muramic acid residues) was not N-acetylated, explaining the resistance of the peptidoglycan to the hydrolytic action of lysozyme, a muramidase that cleaves in the glycan backbone. A gene, pgdA, was identified as encoding for the peptidoglycan N-acetylglucosamine deacetylase A with amino acid sequence similarity to fungal chitin deacetylases and rhizobial NodB chitooligosaccharide deacetylases. Pneumococci in which pgdA was inactivated by insertion duplication mutagenesis produced fully N-acetylated glycan and became hypersensitive to exogenous lysozyme in the stationary phase of growth. The pgdA gene may contribute to pneumococcal virulence by providing protection against host lysozyme, which is known to accumulate in high concentrations at infection sites.","DOI":"10.1074/jbc.M910189199","note":"PMID: 10781617","journalAbbreviation":"J. Biol. Chem.","author":[{"family":"Vollmer","given":"W"},{"family":"Tomasz","given":"A"}],"issued":{"year":2000,"month":7,"day":7},"accessed":{"year":2012,"month":4,"day":2},"page-first":"20496"}},{"id":297,"uris":["http://zotero.org/users/944474/items/T69IHDPE"],"uri":["http://zotero.org/users/944474/items/T69IHDPE"],"itemData":{"id":297,"type":"article-journal","title":"Peptidoglycan N-acetylglucosamine deacetylation decreases autolysis in Lactococcus lactis","container-title":"Microbiology (Reading, England)","page":"3275-3285","volume":"153","issue":"Pt 10","abstract":"The gene xynD (renamed pgdA) of Lactococcus lactis IL1403 was shown to encode a peptidoglycan N-acetylglucosamine deacetylase. Inactivation of pgdA in L. lactis led to fully acetylated peptidoglycan, whereas cloning of pgdA on a multicopy plasmid vector resulted in an increased degree of peptidoglycan deacetylation, as shown by analysis of peptidoglycan constituent muropeptides. An increased amount of N-unsubstituted glucosamine residues in peptidoglycan resulted in a reduction of the rate of autolysis of L. lactis cells. The activity of the L. lactis major autolysin AcmA was tested on L. lactis cells or peptidoglycan with different degrees of de-N-acetylation. Deacetylated peptidoglycan exhibited decreased susceptibility to AcmA hydrolysis. This reduced susceptibility to AcmA did not result from reduced AcmA binding to peptidoglycan with an increasing degree of de-N-acetylation. In conclusion, enzymic N-acetylglucosamine deacetylation protects peptidoglycan from hydrolysis by the major autolysin AcmA in L. lactis cells, and this leads to decreased cellular autolysis.","DOI":"10.1099/mic.0.2007/005835-0","note":"PMID: 17906127","journalAbbreviation":"Microbiology (Reading, Engl.)","author":[{"family":"Meyrand","given":"Mickael"},{"family":"Boughammoura","given":"Aïda"},{"family":"Courtin","given":"Pascal"},{"family":"Mézange","given":"Christine"},{"family":"Guillot","given":"Alain"},{"family":"Chapot-Chartier","given":"Marie-Pierre"}],"issued":{"year":2007,"month":10},"accessed":{"year":2012,"month":5,"day":28},"page-first":"3275"}}],"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 xml:space="preserve">(Vollmer and Tomasz, 2000; Meyrand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2007)</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 The degree</w:t>
      </w:r>
      <w:r>
        <w:rPr>
          <w:rFonts w:ascii="Times New Roman" w:hAnsi="Times New Roman" w:cs="Times New Roman"/>
          <w:color w:val="000000"/>
          <w:sz w:val="24"/>
          <w:szCs w:val="24"/>
        </w:rPr>
        <w:t xml:space="preserve"> of de-</w:t>
      </w:r>
      <w:r w:rsidRPr="00D87429">
        <w:rPr>
          <w:rFonts w:ascii="Times New Roman" w:hAnsi="Times New Roman" w:cs="Times New Roman"/>
          <w:i/>
          <w:color w:val="000000"/>
          <w:sz w:val="24"/>
          <w:szCs w:val="24"/>
        </w:rPr>
        <w:t>N</w:t>
      </w:r>
      <w:r>
        <w:rPr>
          <w:rFonts w:ascii="Times New Roman" w:hAnsi="Times New Roman" w:cs="Times New Roman"/>
          <w:color w:val="000000"/>
          <w:sz w:val="24"/>
          <w:szCs w:val="24"/>
        </w:rPr>
        <w:t xml:space="preserve">-acetylation varies tremendously between species. Just ~10 % and ~17% of glucosamine residues in </w:t>
      </w:r>
      <w:r>
        <w:rPr>
          <w:rFonts w:ascii="Times New Roman" w:hAnsi="Times New Roman" w:cs="Times New Roman"/>
          <w:i/>
          <w:color w:val="000000"/>
          <w:sz w:val="24"/>
          <w:szCs w:val="24"/>
        </w:rPr>
        <w:t>L. lactis</w:t>
      </w:r>
      <w:r>
        <w:rPr>
          <w:rFonts w:ascii="Times New Roman" w:hAnsi="Times New Roman" w:cs="Times New Roman"/>
          <w:color w:val="000000"/>
          <w:sz w:val="24"/>
          <w:szCs w:val="24"/>
        </w:rPr>
        <w:t xml:space="preserve"> and </w:t>
      </w:r>
      <w:r>
        <w:rPr>
          <w:rFonts w:ascii="Times New Roman" w:hAnsi="Times New Roman" w:cs="Times New Roman"/>
          <w:i/>
          <w:color w:val="000000"/>
          <w:sz w:val="24"/>
          <w:szCs w:val="24"/>
        </w:rPr>
        <w:t>B. </w:t>
      </w:r>
      <w:r w:rsidRPr="00634520">
        <w:rPr>
          <w:rFonts w:ascii="Times New Roman" w:hAnsi="Times New Roman" w:cs="Times New Roman"/>
          <w:i/>
          <w:color w:val="000000"/>
          <w:sz w:val="24"/>
          <w:szCs w:val="24"/>
        </w:rPr>
        <w:t>subtilis</w:t>
      </w:r>
      <w:r>
        <w:rPr>
          <w:rFonts w:ascii="Times New Roman" w:hAnsi="Times New Roman" w:cs="Times New Roman"/>
          <w:color w:val="000000"/>
          <w:sz w:val="24"/>
          <w:szCs w:val="24"/>
        </w:rPr>
        <w:t xml:space="preserve"> respectively are de-</w:t>
      </w:r>
      <w:r w:rsidRPr="00D87429">
        <w:rPr>
          <w:rFonts w:ascii="Times New Roman" w:hAnsi="Times New Roman" w:cs="Times New Roman"/>
          <w:i/>
          <w:color w:val="000000"/>
          <w:sz w:val="24"/>
          <w:szCs w:val="24"/>
        </w:rPr>
        <w:t>N</w:t>
      </w:r>
      <w:r>
        <w:rPr>
          <w:rFonts w:ascii="Times New Roman" w:hAnsi="Times New Roman" w:cs="Times New Roman"/>
          <w:color w:val="000000"/>
          <w:sz w:val="24"/>
          <w:szCs w:val="24"/>
        </w:rPr>
        <w:t>-acetylated,</w:t>
      </w:r>
      <w:r>
        <w:rPr>
          <w:rFonts w:ascii="Times New Roman" w:hAnsi="Times New Roman" w:cs="Times New Roman"/>
          <w:i/>
          <w:color w:val="000000"/>
          <w:sz w:val="24"/>
          <w:szCs w:val="24"/>
        </w:rPr>
        <w:t xml:space="preserve"> </w:t>
      </w:r>
      <w:r>
        <w:rPr>
          <w:rFonts w:ascii="Times New Roman" w:hAnsi="Times New Roman" w:cs="Times New Roman"/>
          <w:color w:val="000000"/>
          <w:sz w:val="24"/>
          <w:szCs w:val="24"/>
        </w:rPr>
        <w:t xml:space="preserve">whilst ~80% of glucosamine residues and ~10% of muramic acid residues </w:t>
      </w:r>
      <w:r w:rsidRPr="000D1271">
        <w:rPr>
          <w:rFonts w:ascii="Times New Roman" w:hAnsi="Times New Roman" w:cs="Times New Roman"/>
          <w:color w:val="000000" w:themeColor="text1"/>
          <w:sz w:val="24"/>
          <w:szCs w:val="24"/>
        </w:rPr>
        <w:t>are de-</w:t>
      </w:r>
      <w:r w:rsidRPr="000D1271">
        <w:rPr>
          <w:rFonts w:ascii="Times New Roman" w:hAnsi="Times New Roman" w:cs="Times New Roman"/>
          <w:i/>
          <w:color w:val="000000" w:themeColor="text1"/>
          <w:sz w:val="24"/>
          <w:szCs w:val="24"/>
        </w:rPr>
        <w:t>N</w:t>
      </w:r>
      <w:r w:rsidRPr="000D1271">
        <w:rPr>
          <w:rFonts w:ascii="Times New Roman" w:hAnsi="Times New Roman" w:cs="Times New Roman"/>
          <w:color w:val="000000" w:themeColor="text1"/>
          <w:sz w:val="24"/>
          <w:szCs w:val="24"/>
        </w:rPr>
        <w:t xml:space="preserve">-acetylated in </w:t>
      </w:r>
      <w:r w:rsidRPr="000D1271">
        <w:rPr>
          <w:rFonts w:ascii="Times New Roman" w:hAnsi="Times New Roman" w:cs="Times New Roman"/>
          <w:i/>
          <w:color w:val="000000" w:themeColor="text1"/>
          <w:sz w:val="24"/>
          <w:szCs w:val="24"/>
        </w:rPr>
        <w:t>Streptococcus pneumoniae</w:t>
      </w:r>
      <w:r w:rsidRPr="000D1271">
        <w:rPr>
          <w:rFonts w:ascii="Times New Roman" w:hAnsi="Times New Roman" w:cs="Times New Roman"/>
          <w:color w:val="000000" w:themeColor="text1"/>
          <w:sz w:val="24"/>
          <w:szCs w:val="24"/>
        </w:rPr>
        <w:t xml:space="preserve">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{"citationID":"17c383il3t","properties":{"formattedCitation":"(Atrih et al., 1999; Vollmer and Tomasz, 2000; Meyrand et al., 2007)","plainCitation":"(Atrih et al., 1999; Vollmer and Tomasz, 2000; Meyrand et al., 2007)"},"citationItems":[{"id":106,"uris":["http://zotero.org/users/944474/items/E6ABDSW8"],"uri":["http://zotero.org/users/944474/items/E6ABDSW8"],"itemData":{"id":106,"type":"article-journal","title":"Analysis of peptidoglycan structure from vegetative cells of Bacillus subtilis 168 and role of PBP 5 in peptidoglycan maturation","container-title":"Journal of Bacteriology","page":"3956-3966","volume":"181","issue":"13","abstract":"The composition and fine structure of the vegetative cell wall peptidoglycan from Bacillus subtilis were determined by analysis of its constituent muropeptides. The structures of 39 muropeptides, representing 97% of the total peptidoglycan, were elucidated. About 99% analyzed muropeptides in B. subtilis vegetative cell peptidoglycan have the free carboxylic group of diaminopimelic acid amidated. Anhydromuropeptides and products missing a glucosamine at the nonreducing terminus account for 0.4 and 1.5%, respectively, of the total muropeptides. These two types of muropeptides are suggested to end glycan strands. An unexpected feature of B. subtilis muropeptides was the occurrence of a glycine residue in position 5 of the peptide side chain on monomers or oligomers, which account for 2.7% of the total muropeptides. This amount is, however, dependent on the composition of the growth media. Potential attachment sites for anionic polymers to peptidoglycan occur on dominant muropeptides and account for 2.1% of the total. B. subtilis peptidoglycan is incompletely digested by lysozyme due to de-N-acetylation of glucosamine, which occurs on 17.3% of muropeptides. The cross-linking index of the polymer changes with the growth phase. It is highest in late stationary phase, with a value of 33.2 or 44% per muramic acid residue, as determined by reverse-phase high-pressure liquid chromatography or gel filtration, respectively. Analysis of the muropeptide composition of a dacA (PBP 5) mutant shows a dramatic decrease of muropeptides with tripeptide side chains and an increase or appearance of muropeptides with pentapeptide side chains in monomers or oligomers. The total muropeptides with pentapeptide side chains accounts for almost 82% in the dacA mutant. This major low-molecular-weight PBP (DD-carboxypeptidase) is suggested to play a role in peptidoglycan maturation.","note":"PMID: 10383963","journalAbbreviation":"J. Bacteriol.","author":[{"family":"Atrih","given":"A"},{"family":"Bacher","given":"G"},{"family":"Allmaier","given":"G"},{"family":"Williamson","given":"M P"},{"family":"Foster","given":"S J"}],"issued":{"year":1999,"month":7},"accessed":{"year":2012,"month":4,"day":2},"page-first":"3956"}},{"id":103,"uris":["http://zotero.org/users/944474/items/Z8QKK9ED"],"uri":["http://zotero.org/users/944474/items/Z8QKK9ED"],"itemData":{"id":103,"type":"article-journal","title":"The pgdA gene encodes for a peptidoglycan N-acetylglucosamine deacetylase in Streptococcus pneumoniae","container-title":"The Journal of Biological Chemistry","page":"20496-20501","volume":"275","issue":"27","abstract":"Analytical work on the fractionation of the glycan strands of Streptococcus pneumoniae cell wall has led to the observation that an unusually high proportion of hexosamine units (over 80% of the glucosamine and 10% of the muramic acid residues) was not N-acetylated, explaining the resistance of the peptidoglycan to the hydrolytic action of lysozyme, a muramidase that cleaves in the glycan backbone. A gene, pgdA, was identified as encoding for the peptidoglycan N-acetylglucosamine deacetylase A with amino acid sequence similarity to fungal chitin deacetylases and rhizobial NodB chitooligosaccharide deacetylases. Pneumococci in which pgdA was inactivated by insertion duplication mutagenesis produced fully N-acetylated glycan and became hypersensitive to exogenous lysozyme in the stationary phase of growth. The pgdA gene may contribute to pneumococcal virulence by providing protection against host lysozyme, which is known to accumulate in high concentrations at infection sites.","DOI":"10.1074/jbc.M910189199","note":"PMID: 10781617","journalAbbreviation":"J. Biol. Chem.","author":[{"family":"Vollmer","given":"W"},{"family":"Tomasz","given":"A"}],"issued":{"year":2000,"month":7,"day":7},"accessed":{"year":2012,"month":4,"day":2},"page-first":"20496"}},{"id":297,"uris":["http://zotero.org/users/944474/items/T69IHDPE"],"uri":["http://zotero.org/users/944474/items/T69IHDPE"],"itemData":{"id":297,"type":"article-journal","title":"Peptidoglycan N-acetylglucosamine deacetylation decreases autolysis in Lactococcus lactis","container-title":"Microbiology (Reading, England)","page":"3275-3285","volume":"153","issue":"Pt 10","abstract":"The gene xynD (renamed pgdA) of Lactococcus lactis IL1403 was shown to encode a peptidoglycan N-acetylglucosamine deacetylase. Inactivation of pgdA in L. lactis led to fully acetylated peptidoglycan, whereas cloning of pgdA on a multicopy plasmid vector resulted in an increased degree of peptidoglycan deacetylation, as shown by analysis of peptidoglycan constituent muropeptides. An increased amount of N-unsubstituted glucosamine residues in peptidoglycan resulted in a reduction of the rate of autolysis of L. lactis cells. The activity of the L. lactis major autolysin AcmA was tested on L. lactis cells or peptidoglycan with different degrees of de-N-acetylation. Deacetylated peptidoglycan exhibited decreased susceptibility to AcmA hydrolysis. This reduced susceptibility to AcmA did not result from reduced AcmA binding to peptidoglycan with an increasing degree of de-N-acetylation. In conclusion, enzymic N-acetylglucosamine deacetylation protects peptidoglycan from hydrolysis by the major autolysin AcmA in L. lactis cells, and this leads to decreased cellular autolysis.","DOI":"10.1099/mic.0.2007/005835-0","note":"PMID: 17906127","journalAbbreviation":"Microbiology (Reading, Engl.)","author":[{"family":"Meyrand","given":"Mickael"},{"family":"Boughammoura","given":"Aïda"},{"family":"Courtin","given":"Pascal"},{"family":"Mézange","given":"Christine"},{"family":"Guillot","given":"Alain"},{"family":"Chapot-Chartier","given":"Marie-Pierre"}],"issued":{"year":2007,"month":10},"accessed":{"year":2012,"month":5,"day":28},"page-first":"3275"}}],"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 xml:space="preserve">(Atrih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xml:space="preserve">., 1999; Vollmer and Tomasz, 2000; Meyrand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2007)</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w:t>
      </w:r>
      <w:r w:rsidRPr="00690424">
        <w:rPr>
          <w:rFonts w:ascii="Times New Roman" w:hAnsi="Times New Roman" w:cs="Times New Roman"/>
          <w:color w:val="000000"/>
          <w:sz w:val="24"/>
          <w:szCs w:val="24"/>
        </w:rPr>
        <w:t xml:space="preserve"> </w:t>
      </w:r>
    </w:p>
    <w:p w:rsidR="00BC7652" w:rsidRPr="00B544BB" w:rsidRDefault="00BC7652" w:rsidP="00BC7652">
      <w:pPr>
        <w:tabs>
          <w:tab w:val="left" w:pos="1276"/>
        </w:tabs>
        <w:autoSpaceDE w:val="0"/>
        <w:autoSpaceDN w:val="0"/>
        <w:adjustRightInd w:val="0"/>
        <w:spacing w:before="360" w:after="120" w:line="48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1.2.2</w:t>
      </w:r>
      <w:r>
        <w:rPr>
          <w:rFonts w:ascii="Times New Roman" w:hAnsi="Times New Roman" w:cs="Times New Roman"/>
          <w:color w:val="000000"/>
          <w:sz w:val="28"/>
          <w:szCs w:val="28"/>
        </w:rPr>
        <w:tab/>
      </w:r>
      <w:r w:rsidRPr="00B544BB">
        <w:rPr>
          <w:rFonts w:ascii="Times New Roman" w:hAnsi="Times New Roman" w:cs="Times New Roman"/>
          <w:color w:val="000000"/>
          <w:sz w:val="28"/>
          <w:szCs w:val="28"/>
        </w:rPr>
        <w:t>Peptide sidechains</w:t>
      </w:r>
    </w:p>
    <w:p w:rsidR="00BC7652" w:rsidRDefault="00BC7652" w:rsidP="00BC7652">
      <w:pPr>
        <w:autoSpaceDE w:val="0"/>
        <w:autoSpaceDN w:val="0"/>
        <w:adjustRightInd w:val="0"/>
        <w:spacing w:after="120" w:line="480" w:lineRule="auto"/>
        <w:jc w:val="both"/>
        <w:rPr>
          <w:rFonts w:ascii="Times New Roman" w:hAnsi="Times New Roman" w:cs="Times New Roman"/>
          <w:sz w:val="24"/>
          <w:szCs w:val="24"/>
        </w:rPr>
      </w:pPr>
      <w:r>
        <w:rPr>
          <w:rFonts w:ascii="Times New Roman" w:hAnsi="Times New Roman" w:cs="Times New Roman"/>
          <w:color w:val="000000"/>
          <w:sz w:val="24"/>
          <w:szCs w:val="24"/>
        </w:rPr>
        <w:t xml:space="preserve">The peptide stem composition is much less conserved than the glycan strands. </w:t>
      </w:r>
      <w:r>
        <w:rPr>
          <w:rFonts w:ascii="Times New Roman" w:hAnsi="Times New Roman" w:cs="Times New Roman"/>
          <w:sz w:val="24"/>
          <w:szCs w:val="24"/>
        </w:rPr>
        <w:t xml:space="preserve">Peptide stems are synthesised as a pentapeptide, typically comprising </w:t>
      </w:r>
      <w:r w:rsidRPr="00187C72">
        <w:rPr>
          <w:rFonts w:ascii="Times New Roman" w:hAnsi="Times New Roman" w:cs="Times New Roman"/>
          <w:sz w:val="16"/>
          <w:szCs w:val="16"/>
        </w:rPr>
        <w:t>L</w:t>
      </w:r>
      <w:r>
        <w:rPr>
          <w:rFonts w:ascii="Times New Roman" w:hAnsi="Times New Roman" w:cs="Times New Roman"/>
          <w:sz w:val="24"/>
          <w:szCs w:val="24"/>
        </w:rPr>
        <w:t xml:space="preserve">-alanine, </w:t>
      </w:r>
      <w:r w:rsidRPr="00187C72">
        <w:rPr>
          <w:rFonts w:ascii="Times New Roman" w:hAnsi="Times New Roman" w:cs="Times New Roman"/>
          <w:sz w:val="16"/>
          <w:szCs w:val="16"/>
        </w:rPr>
        <w:t>D</w:t>
      </w:r>
      <w:r>
        <w:rPr>
          <w:rFonts w:ascii="Times New Roman" w:hAnsi="Times New Roman" w:cs="Times New Roman"/>
          <w:sz w:val="24"/>
          <w:szCs w:val="24"/>
        </w:rPr>
        <w:t>-glutamate, a dibasic amino acid (</w:t>
      </w:r>
      <w:r w:rsidRPr="005867D6">
        <w:rPr>
          <w:rFonts w:ascii="Times New Roman" w:hAnsi="Times New Roman" w:cs="Times New Roman"/>
          <w:i/>
          <w:sz w:val="24"/>
          <w:szCs w:val="24"/>
        </w:rPr>
        <w:t>meso</w:t>
      </w:r>
      <w:r>
        <w:rPr>
          <w:rFonts w:ascii="Times New Roman" w:hAnsi="Times New Roman" w:cs="Times New Roman"/>
          <w:sz w:val="24"/>
          <w:szCs w:val="24"/>
        </w:rPr>
        <w:t>-diaminopimelic acid (</w:t>
      </w:r>
      <w:r w:rsidRPr="00186E21">
        <w:rPr>
          <w:rFonts w:ascii="Times New Roman" w:hAnsi="Times New Roman" w:cs="Times New Roman"/>
          <w:i/>
          <w:sz w:val="24"/>
          <w:szCs w:val="24"/>
        </w:rPr>
        <w:t>m</w:t>
      </w:r>
      <w:r>
        <w:rPr>
          <w:rFonts w:ascii="Times New Roman" w:hAnsi="Times New Roman" w:cs="Times New Roman"/>
          <w:i/>
          <w:sz w:val="24"/>
          <w:szCs w:val="24"/>
        </w:rPr>
        <w:t>-</w:t>
      </w:r>
      <w:r>
        <w:rPr>
          <w:rFonts w:ascii="Times New Roman" w:hAnsi="Times New Roman" w:cs="Times New Roman"/>
          <w:sz w:val="24"/>
          <w:szCs w:val="24"/>
        </w:rPr>
        <w:t xml:space="preserve">DAP) or </w:t>
      </w:r>
      <w:r w:rsidRPr="00187C72">
        <w:rPr>
          <w:rFonts w:ascii="Times New Roman" w:hAnsi="Times New Roman" w:cs="Times New Roman"/>
          <w:sz w:val="16"/>
          <w:szCs w:val="16"/>
        </w:rPr>
        <w:t>L</w:t>
      </w:r>
      <w:r w:rsidRPr="005867D6">
        <w:rPr>
          <w:rFonts w:ascii="Times New Roman" w:hAnsi="Times New Roman" w:cs="Times New Roman"/>
          <w:sz w:val="24"/>
          <w:szCs w:val="24"/>
        </w:rPr>
        <w:t>-lysine)</w:t>
      </w:r>
      <w:r>
        <w:rPr>
          <w:rFonts w:ascii="Times New Roman" w:hAnsi="Times New Roman" w:cs="Times New Roman"/>
          <w:sz w:val="24"/>
          <w:szCs w:val="24"/>
        </w:rPr>
        <w:t xml:space="preserve">, and a </w:t>
      </w:r>
      <w:r w:rsidRPr="00187C72">
        <w:rPr>
          <w:rFonts w:ascii="Times New Roman" w:hAnsi="Times New Roman" w:cs="Times New Roman"/>
          <w:sz w:val="16"/>
          <w:szCs w:val="16"/>
        </w:rPr>
        <w:t>D</w:t>
      </w:r>
      <w:r>
        <w:rPr>
          <w:rFonts w:ascii="Times New Roman" w:hAnsi="Times New Roman" w:cs="Times New Roman"/>
          <w:sz w:val="24"/>
          <w:szCs w:val="24"/>
        </w:rPr>
        <w:t xml:space="preserve">-alanyl – </w:t>
      </w:r>
      <w:r w:rsidRPr="00187C72">
        <w:rPr>
          <w:rFonts w:ascii="Times New Roman" w:hAnsi="Times New Roman" w:cs="Times New Roman"/>
          <w:sz w:val="16"/>
          <w:szCs w:val="16"/>
        </w:rPr>
        <w:t>D</w:t>
      </w:r>
      <w:r>
        <w:rPr>
          <w:rFonts w:ascii="Times New Roman" w:hAnsi="Times New Roman" w:cs="Times New Roman"/>
          <w:sz w:val="24"/>
          <w:szCs w:val="24"/>
        </w:rPr>
        <w:t xml:space="preserve">-alanine </w:t>
      </w:r>
      <w:r>
        <w:rPr>
          <w:rFonts w:ascii="Times New Roman" w:hAnsi="Times New Roman" w:cs="Times New Roman"/>
          <w:color w:val="000000" w:themeColor="text1"/>
          <w:sz w:val="24"/>
          <w:szCs w:val="24"/>
        </w:rPr>
        <w:t xml:space="preserve">moiety (Figure 1.3). In Gram-positive organisms, the peptide stems may be </w:t>
      </w:r>
      <w:r>
        <w:rPr>
          <w:rFonts w:ascii="Times New Roman" w:hAnsi="Times New Roman" w:cs="Times New Roman"/>
          <w:color w:val="000000" w:themeColor="text1"/>
          <w:sz w:val="24"/>
          <w:szCs w:val="24"/>
        </w:rPr>
        <w:lastRenderedPageBreak/>
        <w:t xml:space="preserve">further modified by amidation. </w:t>
      </w:r>
      <w:r w:rsidRPr="00186E21">
        <w:rPr>
          <w:rFonts w:ascii="Times New Roman" w:hAnsi="Times New Roman" w:cs="Times New Roman"/>
          <w:color w:val="000000" w:themeColor="text1"/>
          <w:sz w:val="16"/>
          <w:szCs w:val="16"/>
        </w:rPr>
        <w:t>D</w:t>
      </w:r>
      <w:r w:rsidRPr="00186E21">
        <w:rPr>
          <w:rFonts w:ascii="Times New Roman" w:hAnsi="Times New Roman" w:cs="Times New Roman"/>
          <w:color w:val="000000" w:themeColor="text1"/>
          <w:sz w:val="24"/>
          <w:szCs w:val="24"/>
        </w:rPr>
        <w:t>-glutamate</w:t>
      </w:r>
      <w:r>
        <w:rPr>
          <w:rFonts w:ascii="Times New Roman" w:hAnsi="Times New Roman" w:cs="Times New Roman"/>
          <w:color w:val="000000" w:themeColor="text1"/>
          <w:sz w:val="24"/>
          <w:szCs w:val="24"/>
        </w:rPr>
        <w:t xml:space="preserve"> may be α-amidated</w:t>
      </w:r>
      <w:r w:rsidRPr="00186E21">
        <w:rPr>
          <w:rFonts w:ascii="Times New Roman" w:hAnsi="Times New Roman" w:cs="Times New Roman"/>
          <w:color w:val="000000" w:themeColor="text1"/>
          <w:sz w:val="16"/>
          <w:szCs w:val="16"/>
        </w:rPr>
        <w:t xml:space="preserve"> </w:t>
      </w:r>
      <w:r>
        <w:rPr>
          <w:rFonts w:ascii="Times New Roman" w:hAnsi="Times New Roman" w:cs="Times New Roman"/>
          <w:color w:val="000000" w:themeColor="text1"/>
          <w:sz w:val="24"/>
          <w:szCs w:val="24"/>
        </w:rPr>
        <w:t xml:space="preserve">to </w:t>
      </w:r>
      <w:r w:rsidRPr="00186E21">
        <w:rPr>
          <w:rFonts w:ascii="Times New Roman" w:hAnsi="Times New Roman" w:cs="Times New Roman"/>
          <w:color w:val="000000" w:themeColor="text1"/>
          <w:sz w:val="16"/>
          <w:szCs w:val="16"/>
        </w:rPr>
        <w:t>D</w:t>
      </w:r>
      <w:r w:rsidRPr="00186E21">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isoglutamine (e.g. </w:t>
      </w:r>
      <w:r>
        <w:rPr>
          <w:rFonts w:ascii="Times New Roman" w:hAnsi="Times New Roman" w:cs="Times New Roman"/>
          <w:i/>
          <w:color w:val="000000" w:themeColor="text1"/>
          <w:sz w:val="24"/>
          <w:szCs w:val="24"/>
        </w:rPr>
        <w:t xml:space="preserve">S. aureus </w:t>
      </w:r>
      <w:r>
        <w:rPr>
          <w:rFonts w:ascii="Times New Roman" w:hAnsi="Times New Roman" w:cs="Times New Roman"/>
          <w:color w:val="000000" w:themeColor="text1"/>
          <w:sz w:val="24"/>
          <w:szCs w:val="24"/>
        </w:rPr>
        <w:t xml:space="preserve">and </w:t>
      </w:r>
      <w:r>
        <w:rPr>
          <w:rFonts w:ascii="Times New Roman" w:hAnsi="Times New Roman" w:cs="Times New Roman"/>
          <w:i/>
          <w:color w:val="000000" w:themeColor="text1"/>
          <w:sz w:val="24"/>
          <w:szCs w:val="24"/>
        </w:rPr>
        <w:t>S</w:t>
      </w:r>
      <w:r w:rsidRPr="00186E21">
        <w:rPr>
          <w:rFonts w:ascii="Times New Roman" w:hAnsi="Times New Roman" w:cs="Times New Roman"/>
          <w:i/>
          <w:color w:val="000000" w:themeColor="text1"/>
          <w:sz w:val="24"/>
          <w:szCs w:val="24"/>
        </w:rPr>
        <w:t>. pneumoniae</w:t>
      </w:r>
      <w:r>
        <w:rPr>
          <w:rFonts w:ascii="Times New Roman" w:hAnsi="Times New Roman" w:cs="Times New Roman"/>
          <w:color w:val="000000" w:themeColor="text1"/>
          <w:sz w:val="24"/>
          <w:szCs w:val="24"/>
        </w:rPr>
        <w:t xml:space="preserve">), whilst amidation of the free carboxyl group of </w:t>
      </w:r>
      <w:r>
        <w:rPr>
          <w:rFonts w:ascii="Times New Roman" w:hAnsi="Times New Roman" w:cs="Times New Roman"/>
          <w:i/>
          <w:color w:val="000000" w:themeColor="text1"/>
          <w:sz w:val="24"/>
          <w:szCs w:val="24"/>
        </w:rPr>
        <w:t>m</w:t>
      </w:r>
      <w:r w:rsidRPr="00186E21">
        <w:rPr>
          <w:rFonts w:ascii="Times New Roman" w:hAnsi="Times New Roman" w:cs="Times New Roman"/>
          <w:color w:val="000000" w:themeColor="text1"/>
          <w:sz w:val="24"/>
          <w:szCs w:val="24"/>
        </w:rPr>
        <w:t>-DAP</w:t>
      </w:r>
      <w:r>
        <w:rPr>
          <w:rFonts w:ascii="Times New Roman" w:hAnsi="Times New Roman" w:cs="Times New Roman"/>
          <w:color w:val="000000" w:themeColor="text1"/>
          <w:sz w:val="24"/>
          <w:szCs w:val="24"/>
        </w:rPr>
        <w:t xml:space="preserve"> is common in </w:t>
      </w:r>
      <w:r w:rsidRPr="00186E21">
        <w:rPr>
          <w:rFonts w:ascii="Times New Roman" w:hAnsi="Times New Roman" w:cs="Times New Roman"/>
          <w:i/>
          <w:color w:val="000000" w:themeColor="text1"/>
          <w:sz w:val="24"/>
          <w:szCs w:val="24"/>
        </w:rPr>
        <w:t>Bacillus</w:t>
      </w:r>
      <w:r>
        <w:rPr>
          <w:rFonts w:ascii="Times New Roman" w:hAnsi="Times New Roman" w:cs="Times New Roman"/>
          <w:color w:val="000000" w:themeColor="text1"/>
          <w:sz w:val="24"/>
          <w:szCs w:val="24"/>
        </w:rPr>
        <w:t xml:space="preserve"> species. </w:t>
      </w:r>
      <w:r w:rsidRPr="00186E21">
        <w:rPr>
          <w:rFonts w:ascii="Times New Roman" w:hAnsi="Times New Roman" w:cs="Times New Roman"/>
          <w:color w:val="000000" w:themeColor="text1"/>
          <w:sz w:val="24"/>
          <w:szCs w:val="24"/>
        </w:rPr>
        <w:t>Peptide</w:t>
      </w:r>
      <w:r w:rsidRPr="000D1271">
        <w:rPr>
          <w:rFonts w:ascii="Times New Roman" w:hAnsi="Times New Roman" w:cs="Times New Roman"/>
          <w:color w:val="000000" w:themeColor="text1"/>
          <w:sz w:val="24"/>
          <w:szCs w:val="24"/>
        </w:rPr>
        <w:t xml:space="preserve"> stems are covalently</w:t>
      </w:r>
      <w:r>
        <w:rPr>
          <w:rFonts w:ascii="Times New Roman" w:hAnsi="Times New Roman" w:cs="Times New Roman"/>
          <w:sz w:val="24"/>
          <w:szCs w:val="24"/>
        </w:rPr>
        <w:t xml:space="preserve"> attached to the lactyl group of Mur</w:t>
      </w:r>
      <w:r w:rsidRPr="00B544BB">
        <w:rPr>
          <w:rFonts w:ascii="Times New Roman" w:hAnsi="Times New Roman" w:cs="Times New Roman"/>
          <w:i/>
          <w:sz w:val="24"/>
          <w:szCs w:val="24"/>
        </w:rPr>
        <w:t>N</w:t>
      </w:r>
      <w:r>
        <w:rPr>
          <w:rFonts w:ascii="Times New Roman" w:hAnsi="Times New Roman" w:cs="Times New Roman"/>
          <w:sz w:val="24"/>
          <w:szCs w:val="24"/>
        </w:rPr>
        <w:t xml:space="preserve">Ac by the </w:t>
      </w:r>
      <w:r w:rsidRPr="00187C72">
        <w:rPr>
          <w:rFonts w:ascii="Times New Roman" w:hAnsi="Times New Roman" w:cs="Times New Roman"/>
          <w:sz w:val="16"/>
          <w:szCs w:val="16"/>
        </w:rPr>
        <w:t>L</w:t>
      </w:r>
      <w:r>
        <w:rPr>
          <w:rFonts w:ascii="Times New Roman" w:hAnsi="Times New Roman" w:cs="Times New Roman"/>
          <w:sz w:val="24"/>
          <w:szCs w:val="24"/>
        </w:rPr>
        <w:t xml:space="preserve">-alanine N-terminus. Cross-linking between adjacent peptide stems occurs by linkage of the ε-amino group of the dibasic amino acid to the α-carboxyl group of the terminal D-alanine of tetrapeptides, or less commonly between dibasic amino acids (3-3 cross-linkage). In most Gram-positive species, </w:t>
      </w:r>
      <w:r w:rsidRPr="004507EC">
        <w:rPr>
          <w:rFonts w:ascii="Times New Roman" w:hAnsi="Times New Roman" w:cs="Times New Roman"/>
          <w:sz w:val="16"/>
          <w:szCs w:val="16"/>
        </w:rPr>
        <w:t>L</w:t>
      </w:r>
      <w:r>
        <w:rPr>
          <w:rFonts w:ascii="Times New Roman" w:hAnsi="Times New Roman" w:cs="Times New Roman"/>
          <w:sz w:val="24"/>
          <w:szCs w:val="24"/>
        </w:rPr>
        <w:t xml:space="preserve">-lysine is present at position 3. L-lysine types are typically cross-linked via a peptide bridge, which may comprise </w:t>
      </w:r>
      <w:r w:rsidRPr="0063065B">
        <w:rPr>
          <w:rFonts w:ascii="Times New Roman" w:hAnsi="Times New Roman" w:cs="Times New Roman"/>
          <w:sz w:val="24"/>
          <w:szCs w:val="24"/>
        </w:rPr>
        <w:t>glycine, serine, aspartic acid and threonine</w:t>
      </w:r>
      <w:r>
        <w:rPr>
          <w:rFonts w:ascii="Times New Roman" w:hAnsi="Times New Roman" w:cs="Times New Roman"/>
          <w:sz w:val="24"/>
          <w:szCs w:val="24"/>
        </w:rPr>
        <w:t xml:space="preserve"> in addition to the typical stem </w:t>
      </w:r>
      <w:r w:rsidRPr="000D1271">
        <w:rPr>
          <w:rFonts w:ascii="Times New Roman" w:hAnsi="Times New Roman" w:cs="Times New Roman"/>
          <w:color w:val="000000" w:themeColor="text1"/>
          <w:sz w:val="24"/>
          <w:szCs w:val="24"/>
        </w:rPr>
        <w:t>peptides (Figure 1.3; Ghuysen, 1968</w:t>
      </w:r>
      <w:r>
        <w:rPr>
          <w:rFonts w:ascii="Times New Roman" w:hAnsi="Times New Roman" w:cs="Times New Roman"/>
          <w:color w:val="000000" w:themeColor="text1"/>
          <w:sz w:val="24"/>
          <w:szCs w:val="24"/>
        </w:rPr>
        <w:t>; Royet and Dziarski, 2007</w:t>
      </w:r>
      <w:r w:rsidRPr="000D127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For example </w:t>
      </w:r>
      <w:r w:rsidRPr="000D1271">
        <w:rPr>
          <w:rFonts w:ascii="Times New Roman" w:hAnsi="Times New Roman" w:cs="Times New Roman"/>
          <w:i/>
          <w:color w:val="000000" w:themeColor="text1"/>
          <w:sz w:val="24"/>
          <w:szCs w:val="24"/>
        </w:rPr>
        <w:t>Staphylococcus</w:t>
      </w:r>
      <w:r>
        <w:rPr>
          <w:rFonts w:ascii="Times New Roman" w:hAnsi="Times New Roman" w:cs="Times New Roman"/>
          <w:i/>
          <w:sz w:val="24"/>
          <w:szCs w:val="24"/>
        </w:rPr>
        <w:t xml:space="preserve"> aureus</w:t>
      </w:r>
      <w:r w:rsidRPr="00325983">
        <w:rPr>
          <w:rFonts w:ascii="Times New Roman" w:hAnsi="Times New Roman" w:cs="Times New Roman"/>
          <w:sz w:val="24"/>
          <w:szCs w:val="24"/>
        </w:rPr>
        <w:t xml:space="preserve"> </w:t>
      </w:r>
      <w:r>
        <w:rPr>
          <w:rFonts w:ascii="Times New Roman" w:hAnsi="Times New Roman" w:cs="Times New Roman"/>
          <w:sz w:val="24"/>
          <w:szCs w:val="24"/>
        </w:rPr>
        <w:t>has a pentaglycine interbridge</w:t>
      </w:r>
      <w:r>
        <w:rPr>
          <w:rFonts w:ascii="Times New Roman" w:hAnsi="Times New Roman" w:cs="Times New Roman"/>
          <w:i/>
          <w:sz w:val="24"/>
          <w:szCs w:val="24"/>
        </w:rPr>
        <w:t>,</w:t>
      </w:r>
      <w:r>
        <w:rPr>
          <w:rFonts w:ascii="Times New Roman" w:hAnsi="Times New Roman" w:cs="Times New Roman"/>
          <w:sz w:val="24"/>
          <w:szCs w:val="24"/>
        </w:rPr>
        <w:t xml:space="preserve"> whilst </w:t>
      </w:r>
      <w:r>
        <w:rPr>
          <w:rFonts w:ascii="Times New Roman" w:hAnsi="Times New Roman" w:cs="Times New Roman"/>
          <w:i/>
          <w:sz w:val="24"/>
          <w:szCs w:val="24"/>
        </w:rPr>
        <w:t xml:space="preserve">Streptococcus pneumoniae </w:t>
      </w:r>
      <w:r w:rsidRPr="00325983">
        <w:rPr>
          <w:rFonts w:ascii="Times New Roman" w:hAnsi="Times New Roman" w:cs="Times New Roman"/>
          <w:sz w:val="24"/>
          <w:szCs w:val="24"/>
        </w:rPr>
        <w:t>has</w:t>
      </w:r>
      <w:r>
        <w:rPr>
          <w:rFonts w:ascii="Times New Roman" w:hAnsi="Times New Roman" w:cs="Times New Roman"/>
          <w:sz w:val="24"/>
          <w:szCs w:val="24"/>
        </w:rPr>
        <w:t xml:space="preserve"> alanine-alanine and alanine-serine dipeptide </w:t>
      </w:r>
      <w:r w:rsidRPr="000D1271">
        <w:rPr>
          <w:rFonts w:ascii="Times New Roman" w:hAnsi="Times New Roman" w:cs="Times New Roman"/>
          <w:color w:val="000000" w:themeColor="text1"/>
          <w:sz w:val="24"/>
          <w:szCs w:val="24"/>
        </w:rPr>
        <w:t>bridges</w:t>
      </w:r>
      <w:r>
        <w:rPr>
          <w:rFonts w:ascii="Times New Roman" w:hAnsi="Times New Roman" w:cs="Times New Roman"/>
          <w:color w:val="000000" w:themeColor="text1"/>
          <w:sz w:val="24"/>
          <w:szCs w:val="24"/>
        </w:rPr>
        <w:t xml:space="preserve">. </w:t>
      </w:r>
      <w:r w:rsidRPr="004507EC">
        <w:rPr>
          <w:rFonts w:ascii="Times New Roman" w:hAnsi="Times New Roman" w:cs="Times New Roman"/>
          <w:i/>
          <w:color w:val="000000" w:themeColor="text1"/>
          <w:sz w:val="24"/>
          <w:szCs w:val="24"/>
        </w:rPr>
        <w:t>m</w:t>
      </w:r>
      <w:r>
        <w:rPr>
          <w:rFonts w:ascii="Times New Roman" w:hAnsi="Times New Roman" w:cs="Times New Roman"/>
          <w:color w:val="000000" w:themeColor="text1"/>
          <w:sz w:val="24"/>
          <w:szCs w:val="24"/>
        </w:rPr>
        <w:t xml:space="preserve">-DAP containing </w:t>
      </w:r>
      <w:r w:rsidRPr="004507EC">
        <w:rPr>
          <w:rFonts w:ascii="Times New Roman" w:hAnsi="Times New Roman" w:cs="Times New Roman"/>
          <w:i/>
          <w:color w:val="000000" w:themeColor="text1"/>
          <w:sz w:val="24"/>
          <w:szCs w:val="24"/>
        </w:rPr>
        <w:t>B.</w:t>
      </w:r>
      <w:r>
        <w:rPr>
          <w:rFonts w:ascii="Times New Roman" w:hAnsi="Times New Roman" w:cs="Times New Roman"/>
          <w:i/>
          <w:color w:val="000000" w:themeColor="text1"/>
          <w:sz w:val="24"/>
          <w:szCs w:val="24"/>
        </w:rPr>
        <w:t> </w:t>
      </w:r>
      <w:r w:rsidRPr="004507EC">
        <w:rPr>
          <w:rFonts w:ascii="Times New Roman" w:hAnsi="Times New Roman" w:cs="Times New Roman"/>
          <w:i/>
          <w:color w:val="000000" w:themeColor="text1"/>
          <w:sz w:val="24"/>
          <w:szCs w:val="24"/>
        </w:rPr>
        <w:t>subtilis</w:t>
      </w:r>
      <w:r>
        <w:rPr>
          <w:rFonts w:ascii="Times New Roman" w:hAnsi="Times New Roman" w:cs="Times New Roman"/>
          <w:color w:val="000000" w:themeColor="text1"/>
          <w:sz w:val="24"/>
          <w:szCs w:val="24"/>
        </w:rPr>
        <w:t xml:space="preserve"> has direct cross-linking</w:t>
      </w:r>
      <w:r w:rsidRPr="000D1271">
        <w:rPr>
          <w:rFonts w:ascii="Times New Roman" w:hAnsi="Times New Roman" w:cs="Times New Roman"/>
          <w:color w:val="000000" w:themeColor="text1"/>
          <w:sz w:val="24"/>
          <w:szCs w:val="24"/>
        </w:rPr>
        <w:t xml:space="preserve">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{"citationID":"2g34bpromc","properties":{"formattedCitation":"(Severin and Tomasz, 1996; Madigan et al., 2002)","plainCitation":"(Severin and Tomasz, 1996; Madigan et al., 2002)"},"citationItems":[{"id":407,"uris":["http://zotero.org/users/944474/items/C9M3TTZX"],"uri":["http://zotero.org/users/944474/items/C9M3TTZX"],"itemData":{"id":407,"type":"article-journal","title":"Naturally occurring peptidoglycan variants of Streptococcus pneumoniae","container-title":"Journal of bacteriology","page":"168-174","volume":"178","issue":"1","abstract":"Analysis by high-performance liquid chromatography of the stem peptide composition of cell walls purified from a large number of pneumococcal strains indicates that these bacteria produce a highly conserved species-specific peptidoglycan independent of serotype, isolation date, and geographic origin. Characteristic features of this highly reproducible peptide pattern are the dominance of linear stem peptides with a monomeric tripeptide, a tri-tetra linear dimer, and two indirectly cross-linked tri-tetra dimers being the most abundant components. Screening of strains with the high-performance liquid chromatography technique has identified two naturally occurring peptidoglycan variants in which the species-specific stem peptide composition was replaced by two drastically different and distinct stem peptide patterns, each unique to the particular clone of pneumococci producing it. Both isolates were multidrug resistant, including resistance to penicillin. In one of these clones--defined by multilocus enzyme analysis and pulsed-field gel electrophoresis of the chromosomal DNAs--the linear stem peptides were replaced by branched peptides that most frequently carried an alanyl-alanine substituent on the epsilon amino group of the diamino acid residue. In the second clone, the predominant stem peptide species replacing the linear stem peptides carried a seryl-alanine substituent. The abnormal peptidoglycans may be related to the altered substrate preference of transpeptidases (penicillin-binding proteins) in the pneumococcal variants.","note":"PMID: 8550412","journalAbbreviation":"J. Bacteriol.","author":[{"family":"Severin","given":"A"},{"family":"Tomasz","given":"A"}],"issued":{"year":1996,"month":1},"accessed":{"year":2012,"month":6,"day":6},"page-first":"168"}},{"id":171,"uris":["http://zotero.org/users/944474/items/TRXXKNTH"],"uri":["http://zotero.org/users/944474/items/TRXXKNTH"],"itemData":{"id":171,"type":"book","title":"Brock biology of microorganisms","publisher":"Prentice Hall/Pearson Education","publisher-place":"Upper Saddle River, NJ","event-place":"Upper Saddle River, NJ","ISBN":"0130662712 9780130662712 0130491470 9780130491473","language":"English","author":[{"family":"Madigan","given":"Michael T"},{"family":"Martinko","given":"John M"},{"family":"Parker","given":"Jack"}],"issued":{"year":2002}}}],"schema":"https://github.com/citation-style-language/schema/raw/master/csl-citation.json"}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 xml:space="preserve">(Severin and Tomasz, 1996; </w:t>
      </w:r>
      <w:r>
        <w:rPr>
          <w:rFonts w:ascii="Times New Roman" w:hAnsi="Times New Roman" w:cs="Times New Roman"/>
          <w:color w:val="000000" w:themeColor="text1"/>
          <w:sz w:val="24"/>
        </w:rPr>
        <w:t xml:space="preserve">Atrih </w:t>
      </w:r>
      <w:r w:rsidRPr="004507EC">
        <w:rPr>
          <w:rFonts w:ascii="Times New Roman" w:hAnsi="Times New Roman" w:cs="Times New Roman"/>
          <w:i/>
          <w:color w:val="000000" w:themeColor="text1"/>
          <w:sz w:val="24"/>
        </w:rPr>
        <w:t>et al</w:t>
      </w:r>
      <w:r>
        <w:rPr>
          <w:rFonts w:ascii="Times New Roman" w:hAnsi="Times New Roman" w:cs="Times New Roman"/>
          <w:color w:val="000000" w:themeColor="text1"/>
          <w:sz w:val="24"/>
        </w:rPr>
        <w:t xml:space="preserve">, 1999; </w:t>
      </w:r>
      <w:r w:rsidRPr="000D1271">
        <w:rPr>
          <w:rFonts w:ascii="Times New Roman" w:hAnsi="Times New Roman" w:cs="Times New Roman"/>
          <w:color w:val="000000" w:themeColor="text1"/>
          <w:sz w:val="24"/>
        </w:rPr>
        <w:t xml:space="preserve">Madigan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2002)</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w:t>
      </w:r>
      <w:r w:rsidRPr="000D1271">
        <w:rPr>
          <w:rFonts w:ascii="Times New Roman" w:hAnsi="Times New Roman" w:cs="Times New Roman"/>
          <w:i/>
          <w:color w:val="000000" w:themeColor="text1"/>
          <w:sz w:val="24"/>
          <w:szCs w:val="24"/>
        </w:rPr>
        <w:t xml:space="preserve"> </w:t>
      </w:r>
      <w:r w:rsidRPr="000D1271">
        <w:rPr>
          <w:rFonts w:ascii="Times New Roman" w:hAnsi="Times New Roman" w:cs="Times New Roman"/>
          <w:color w:val="000000" w:themeColor="text1"/>
          <w:sz w:val="24"/>
          <w:szCs w:val="24"/>
        </w:rPr>
        <w:t>The</w:t>
      </w:r>
      <w:r w:rsidRPr="00731BBF">
        <w:rPr>
          <w:rFonts w:ascii="Times New Roman" w:hAnsi="Times New Roman" w:cs="Times New Roman"/>
          <w:sz w:val="24"/>
          <w:szCs w:val="24"/>
        </w:rPr>
        <w:t xml:space="preserve"> </w:t>
      </w:r>
      <w:r w:rsidRPr="000D1271">
        <w:rPr>
          <w:rFonts w:ascii="Times New Roman" w:hAnsi="Times New Roman" w:cs="Times New Roman"/>
          <w:color w:val="000000" w:themeColor="text1"/>
          <w:sz w:val="24"/>
          <w:szCs w:val="24"/>
        </w:rPr>
        <w:t>presence and ratio of specific peptides may be characteristic of a species, and is sometimes employed as a typing scheme (Schleifer and Kandler, 1972; Severin &amp; Tomasz, 1996).</w:t>
      </w:r>
    </w:p>
    <w:p w:rsidR="00BC7652" w:rsidRDefault="00BC7652" w:rsidP="00BC7652">
      <w:pPr>
        <w:autoSpaceDE w:val="0"/>
        <w:autoSpaceDN w:val="0"/>
        <w:adjustRightInd w:val="0"/>
        <w:spacing w:after="120" w:line="480" w:lineRule="auto"/>
        <w:jc w:val="both"/>
        <w:rPr>
          <w:rFonts w:ascii="Times New Roman" w:hAnsi="Times New Roman" w:cs="Times New Roman"/>
          <w:sz w:val="24"/>
          <w:szCs w:val="24"/>
        </w:rPr>
      </w:pPr>
    </w:p>
    <w:p w:rsidR="00BC7652" w:rsidRPr="00420EFC" w:rsidRDefault="00BC7652" w:rsidP="00BC7652">
      <w:pPr>
        <w:tabs>
          <w:tab w:val="left" w:pos="1276"/>
        </w:tabs>
        <w:autoSpaceDE w:val="0"/>
        <w:autoSpaceDN w:val="0"/>
        <w:adjustRightInd w:val="0"/>
        <w:spacing w:after="120" w:line="48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1.3</w:t>
      </w:r>
      <w:r>
        <w:rPr>
          <w:rFonts w:ascii="Times New Roman" w:hAnsi="Times New Roman" w:cs="Times New Roman"/>
          <w:color w:val="000000"/>
          <w:sz w:val="28"/>
          <w:szCs w:val="28"/>
        </w:rPr>
        <w:tab/>
      </w:r>
      <w:r w:rsidRPr="004C3B40">
        <w:rPr>
          <w:rFonts w:ascii="Times New Roman" w:hAnsi="Times New Roman" w:cs="Times New Roman"/>
          <w:color w:val="000000"/>
          <w:sz w:val="28"/>
          <w:szCs w:val="28"/>
        </w:rPr>
        <w:t>Peptidoglycan synthesis</w:t>
      </w:r>
    </w:p>
    <w:p w:rsidR="00BC7652" w:rsidRDefault="00BC7652" w:rsidP="00BC7652">
      <w:pPr>
        <w:spacing w:line="480" w:lineRule="auto"/>
        <w:jc w:val="both"/>
        <w:rPr>
          <w:rFonts w:ascii="Times New Roman" w:hAnsi="Times New Roman" w:cs="Times New Roman"/>
          <w:sz w:val="24"/>
          <w:szCs w:val="24"/>
        </w:rPr>
        <w:sectPr w:rsidR="00BC7652" w:rsidSect="006C5A4E">
          <w:type w:val="continuous"/>
          <w:pgSz w:w="11906" w:h="16838"/>
          <w:pgMar w:top="1440" w:right="1134" w:bottom="1440" w:left="2268" w:header="708" w:footer="708" w:gutter="0"/>
          <w:cols w:space="708"/>
          <w:docGrid w:linePitch="360"/>
        </w:sectPr>
      </w:pPr>
      <w:r w:rsidRPr="00CE621D">
        <w:rPr>
          <w:rFonts w:ascii="Times New Roman" w:hAnsi="Times New Roman" w:cs="Times New Roman"/>
          <w:sz w:val="24"/>
          <w:szCs w:val="24"/>
        </w:rPr>
        <w:t xml:space="preserve">There are </w:t>
      </w:r>
      <w:r>
        <w:rPr>
          <w:rFonts w:ascii="Times New Roman" w:hAnsi="Times New Roman" w:cs="Times New Roman"/>
          <w:sz w:val="24"/>
          <w:szCs w:val="24"/>
        </w:rPr>
        <w:t>three</w:t>
      </w:r>
      <w:r w:rsidRPr="00CE621D">
        <w:rPr>
          <w:rFonts w:ascii="Times New Roman" w:hAnsi="Times New Roman" w:cs="Times New Roman"/>
          <w:sz w:val="24"/>
          <w:szCs w:val="24"/>
        </w:rPr>
        <w:t xml:space="preserve"> key stages</w:t>
      </w:r>
      <w:r>
        <w:rPr>
          <w:rFonts w:ascii="Times New Roman" w:hAnsi="Times New Roman" w:cs="Times New Roman"/>
          <w:sz w:val="24"/>
          <w:szCs w:val="24"/>
        </w:rPr>
        <w:t xml:space="preserve"> of peptidoglycan biosynthesis, (1) </w:t>
      </w:r>
      <w:r w:rsidRPr="00CE621D">
        <w:rPr>
          <w:rFonts w:ascii="Times New Roman" w:hAnsi="Times New Roman" w:cs="Times New Roman"/>
          <w:sz w:val="24"/>
          <w:szCs w:val="24"/>
        </w:rPr>
        <w:t xml:space="preserve">synthesis </w:t>
      </w:r>
      <w:r>
        <w:rPr>
          <w:rFonts w:ascii="Times New Roman" w:hAnsi="Times New Roman" w:cs="Times New Roman"/>
          <w:sz w:val="24"/>
          <w:szCs w:val="24"/>
        </w:rPr>
        <w:t>in the cytoplasm</w:t>
      </w:r>
      <w:r w:rsidRPr="00CE621D">
        <w:rPr>
          <w:rFonts w:ascii="Times New Roman" w:hAnsi="Times New Roman" w:cs="Times New Roman"/>
          <w:sz w:val="24"/>
          <w:szCs w:val="24"/>
        </w:rPr>
        <w:t xml:space="preserve"> of a </w:t>
      </w:r>
      <w:r>
        <w:rPr>
          <w:rFonts w:ascii="Times New Roman" w:hAnsi="Times New Roman" w:cs="Times New Roman"/>
          <w:sz w:val="24"/>
          <w:szCs w:val="24"/>
        </w:rPr>
        <w:t>monosaccharide</w:t>
      </w:r>
      <w:r w:rsidRPr="00CE621D">
        <w:rPr>
          <w:rFonts w:ascii="Times New Roman" w:hAnsi="Times New Roman" w:cs="Times New Roman"/>
          <w:sz w:val="24"/>
          <w:szCs w:val="24"/>
        </w:rPr>
        <w:t xml:space="preserve"> pentapeptide</w:t>
      </w:r>
      <w:r>
        <w:rPr>
          <w:rFonts w:ascii="Times New Roman" w:hAnsi="Times New Roman" w:cs="Times New Roman"/>
          <w:sz w:val="24"/>
          <w:szCs w:val="24"/>
        </w:rPr>
        <w:t xml:space="preserve">; (2) assembly of the disaccharide-pentapeptide monomer unit on the inner surface of the cytoplasmic membrane, and translocation of the monomer to the periplasm; (3) transglycosylation of the monomer unit into a glycan polymer, and transpeptidation </w:t>
      </w:r>
      <w:r w:rsidRPr="000D1271">
        <w:rPr>
          <w:rFonts w:ascii="Times New Roman" w:hAnsi="Times New Roman" w:cs="Times New Roman"/>
          <w:color w:val="000000" w:themeColor="text1"/>
          <w:sz w:val="24"/>
          <w:szCs w:val="24"/>
        </w:rPr>
        <w:t xml:space="preserve">into the sacculus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{"citationID":"1mb7f0l06v","properties":{"formattedCitation":"(Typas et al., 2012)","plainCitation":"(Typas et al., 2012)"},"citationItems":[{"id":317,"uris":["http://zotero.org/users/944474/items/JJ7BJ4H6"],"uri":["http://zotero.org/users/944474/items/JJ7BJ4H6"],"itemData":{"id":317,"type":"article-journal","title":"From the regulation of peptidoglycan synthesis to bacterial growth and morphology","container-title":"Nature reviews. Microbiology","page":"123-136","volume":"10","issue":"2","abstract":"How bacteria grow and divide while retaining a defined shape is a fundamental question in microbiology, but technological advances are now driving a new understanding of how the shape-maintaining bacterial peptidoglycan sacculus grows. In this Review, we highlight the relationship between peptidoglycan synthesis complexes and cytoskeletal elements, as well as recent evidence that peptidoglycan growth is regulated from outside the sacculus in Gram-negative bacteria. We also discuss how growth of the sacculus is sensitive to mechanical force and nutritional status, and describe the roles of peptidoglycan hydrolases in generating cell shape and of D-amino acids in sacculus remodelling.","DOI":"10.1038/nrmicro2677","note":"PMID: 22203377","journalAbbreviation":"Nat. Rev. Microbiol.","author":[{"family":"Typas","given":"Athanasios"},{"family":"Banzhaf","given":"Manuel"},{"family":"Gross","given":"Carol A"},{"family":"Vollmer","given":"Waldemar"}],"issued":{"year":2012,"month":2},"accessed":{"year":2012,"month":5,"day":30},"page-first":"123"}}],"schema":"https://github.com/citation-style-language/schema/raw/master/csl-citation.json"}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 xml:space="preserve">(Typas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2012)</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 A schematic</w:t>
      </w:r>
      <w:r>
        <w:rPr>
          <w:rFonts w:ascii="Times New Roman" w:hAnsi="Times New Roman" w:cs="Times New Roman"/>
          <w:sz w:val="24"/>
          <w:szCs w:val="24"/>
        </w:rPr>
        <w:t xml:space="preserve"> of this process and the enzymes </w:t>
      </w:r>
      <w:r w:rsidRPr="000D1271">
        <w:rPr>
          <w:rFonts w:ascii="Times New Roman" w:hAnsi="Times New Roman" w:cs="Times New Roman"/>
          <w:color w:val="000000" w:themeColor="text1"/>
          <w:sz w:val="24"/>
          <w:szCs w:val="24"/>
        </w:rPr>
        <w:t>involved is provided in Figure</w:t>
      </w:r>
      <w:r w:rsidRPr="000D1271">
        <w:rPr>
          <w:color w:val="000000" w:themeColor="text1"/>
        </w:rPr>
        <w:t> </w:t>
      </w:r>
      <w:r w:rsidRPr="000D1271">
        <w:rPr>
          <w:rFonts w:ascii="Times New Roman" w:hAnsi="Times New Roman" w:cs="Times New Roman"/>
          <w:color w:val="000000" w:themeColor="text1"/>
          <w:sz w:val="24"/>
          <w:szCs w:val="24"/>
        </w:rPr>
        <w:t>1.4.</w:t>
      </w:r>
      <w:r>
        <w:rPr>
          <w:rFonts w:ascii="Times New Roman" w:hAnsi="Times New Roman" w:cs="Times New Roman"/>
          <w:sz w:val="24"/>
          <w:szCs w:val="24"/>
        </w:rPr>
        <w:tab/>
        <w:t xml:space="preserve"> </w:t>
      </w:r>
    </w:p>
    <w:p w:rsidR="00BC7652" w:rsidRDefault="00BC7652" w:rsidP="00BC7652">
      <w:pPr>
        <w:autoSpaceDE w:val="0"/>
        <w:autoSpaceDN w:val="0"/>
        <w:adjustRightInd w:val="0"/>
        <w:spacing w:after="120" w:line="360" w:lineRule="auto"/>
        <w:jc w:val="both"/>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5277600" cy="3055453"/>
            <wp:effectExtent l="19050" t="0" r="0" b="0"/>
            <wp:docPr id="11" name="Picture 4" descr="Crosslinking figure.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linking figure.emf"/>
                    <pic:cNvPicPr/>
                  </pic:nvPicPr>
                  <pic:blipFill>
                    <a:blip r:embed="rId12" cstate="print"/>
                    <a:srcRect r="2159"/>
                    <a:stretch>
                      <a:fillRect/>
                    </a:stretch>
                  </pic:blipFill>
                  <pic:spPr>
                    <a:xfrm>
                      <a:off x="0" y="0"/>
                      <a:ext cx="5277600" cy="3055453"/>
                    </a:xfrm>
                    <a:prstGeom prst="rect">
                      <a:avLst/>
                    </a:prstGeom>
                  </pic:spPr>
                </pic:pic>
              </a:graphicData>
            </a:graphic>
          </wp:inline>
        </w:drawing>
      </w:r>
    </w:p>
    <w:p w:rsidR="00BC7652" w:rsidRDefault="00BC7652" w:rsidP="00BC7652">
      <w:pPr>
        <w:autoSpaceDE w:val="0"/>
        <w:autoSpaceDN w:val="0"/>
        <w:adjustRightInd w:val="0"/>
        <w:spacing w:after="120" w:line="360" w:lineRule="auto"/>
        <w:jc w:val="both"/>
        <w:rPr>
          <w:rFonts w:ascii="Times New Roman" w:hAnsi="Times New Roman" w:cs="Times New Roman"/>
          <w:sz w:val="24"/>
          <w:szCs w:val="24"/>
        </w:rPr>
      </w:pPr>
      <w:proofErr w:type="gramStart"/>
      <w:r w:rsidRPr="00F90155">
        <w:rPr>
          <w:rFonts w:ascii="Times New Roman" w:hAnsi="Times New Roman" w:cs="Times New Roman"/>
          <w:b/>
          <w:sz w:val="24"/>
          <w:szCs w:val="24"/>
        </w:rPr>
        <w:t>Figure 1.3.</w:t>
      </w:r>
      <w:proofErr w:type="gramEnd"/>
      <w:r w:rsidRPr="00F90155">
        <w:rPr>
          <w:rFonts w:ascii="Times New Roman" w:hAnsi="Times New Roman" w:cs="Times New Roman"/>
          <w:b/>
          <w:sz w:val="24"/>
          <w:szCs w:val="24"/>
        </w:rPr>
        <w:t xml:space="preserve"> </w:t>
      </w:r>
      <w:proofErr w:type="gramStart"/>
      <w:r w:rsidRPr="00F90155">
        <w:rPr>
          <w:rFonts w:ascii="Times New Roman" w:hAnsi="Times New Roman" w:cs="Times New Roman"/>
          <w:b/>
          <w:sz w:val="24"/>
          <w:szCs w:val="24"/>
        </w:rPr>
        <w:t>Scheme of cross-linked peptidoglycan.</w:t>
      </w:r>
      <w:proofErr w:type="gramEnd"/>
      <w:r>
        <w:rPr>
          <w:rFonts w:ascii="Times New Roman" w:hAnsi="Times New Roman" w:cs="Times New Roman"/>
          <w:sz w:val="24"/>
          <w:szCs w:val="24"/>
        </w:rPr>
        <w:t xml:space="preserve"> The peptide stems may be cross-linked directly or by a peptide interbridge (</w:t>
      </w:r>
      <w:r w:rsidRPr="00A0768A">
        <w:rPr>
          <w:rFonts w:ascii="Times New Roman" w:hAnsi="Times New Roman" w:cs="Times New Roman"/>
          <w:i/>
          <w:sz w:val="24"/>
          <w:szCs w:val="24"/>
        </w:rPr>
        <w:t>n</w:t>
      </w:r>
      <w:r>
        <w:rPr>
          <w:rFonts w:ascii="Times New Roman" w:hAnsi="Times New Roman" w:cs="Times New Roman"/>
          <w:sz w:val="24"/>
          <w:szCs w:val="24"/>
        </w:rPr>
        <w:t xml:space="preserve"> = 0-5). The presence of a diamino acid (DA) at position 3 is necessary for cross-linking. The structures of the two diamino acids found in peptidoglycan, </w:t>
      </w:r>
      <w:r w:rsidRPr="00F90155">
        <w:rPr>
          <w:rFonts w:ascii="Times New Roman" w:hAnsi="Times New Roman" w:cs="Times New Roman"/>
          <w:i/>
          <w:sz w:val="24"/>
          <w:szCs w:val="24"/>
        </w:rPr>
        <w:t>meso</w:t>
      </w:r>
      <w:r>
        <w:rPr>
          <w:rFonts w:ascii="Times New Roman" w:hAnsi="Times New Roman" w:cs="Times New Roman"/>
          <w:i/>
          <w:sz w:val="24"/>
          <w:szCs w:val="24"/>
        </w:rPr>
        <w:t>-</w:t>
      </w:r>
      <w:r>
        <w:rPr>
          <w:rFonts w:ascii="Times New Roman" w:hAnsi="Times New Roman" w:cs="Times New Roman"/>
          <w:sz w:val="24"/>
          <w:szCs w:val="24"/>
        </w:rPr>
        <w:t>diaminopimelic acid (</w:t>
      </w:r>
      <w:r w:rsidRPr="00BD17C4">
        <w:rPr>
          <w:rFonts w:ascii="Times New Roman" w:hAnsi="Times New Roman" w:cs="Times New Roman"/>
          <w:i/>
          <w:sz w:val="24"/>
          <w:szCs w:val="24"/>
        </w:rPr>
        <w:t>m</w:t>
      </w:r>
      <w:r>
        <w:rPr>
          <w:rFonts w:ascii="Times New Roman" w:hAnsi="Times New Roman" w:cs="Times New Roman"/>
          <w:sz w:val="24"/>
          <w:szCs w:val="24"/>
        </w:rPr>
        <w:t xml:space="preserve">-DAP) and </w:t>
      </w:r>
      <w:r w:rsidRPr="00BD17C4">
        <w:rPr>
          <w:rFonts w:ascii="Times New Roman" w:hAnsi="Times New Roman" w:cs="Times New Roman"/>
          <w:sz w:val="16"/>
          <w:szCs w:val="16"/>
        </w:rPr>
        <w:t>L</w:t>
      </w:r>
      <w:r>
        <w:rPr>
          <w:rFonts w:ascii="Times New Roman" w:hAnsi="Times New Roman" w:cs="Times New Roman"/>
          <w:sz w:val="24"/>
          <w:szCs w:val="24"/>
        </w:rPr>
        <w:t>-lysine, are shown. They differ only by one residue (indicated in blue).</w:t>
      </w:r>
      <w:r w:rsidRPr="00A0768A">
        <w:rPr>
          <w:rFonts w:ascii="Times New Roman" w:hAnsi="Times New Roman" w:cs="Times New Roman"/>
          <w:sz w:val="24"/>
          <w:szCs w:val="24"/>
        </w:rPr>
        <w:t xml:space="preserve"> </w:t>
      </w:r>
      <w:r w:rsidRPr="00A0768A">
        <w:rPr>
          <w:rFonts w:ascii="Times New Roman" w:hAnsi="Times New Roman" w:cs="Times New Roman"/>
          <w:sz w:val="16"/>
          <w:szCs w:val="16"/>
        </w:rPr>
        <w:t>D</w:t>
      </w:r>
      <w:r>
        <w:rPr>
          <w:rFonts w:ascii="Times New Roman" w:hAnsi="Times New Roman" w:cs="Times New Roman"/>
          <w:sz w:val="24"/>
          <w:szCs w:val="24"/>
        </w:rPr>
        <w:t xml:space="preserve">-Alanine indicated in brackets is </w:t>
      </w:r>
      <w:r w:rsidRPr="000D1271">
        <w:rPr>
          <w:rFonts w:ascii="Times New Roman" w:hAnsi="Times New Roman" w:cs="Times New Roman"/>
          <w:color w:val="000000" w:themeColor="text1"/>
          <w:sz w:val="24"/>
          <w:szCs w:val="24"/>
        </w:rPr>
        <w:t xml:space="preserve">typically removed in the mature peptidoglycan. Adapted from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{"citationID":"13m6rnn71t","properties":{"formattedCitation":"(van Heijenoort, 2001; Madigan et al., 2002)","plainCitation":"(van Heijenoort, 2001; Madigan et al., 2002)"},"citationItems":[{"id":610,"uris":["http://zotero.org/users/944474/items/X3S9FPTJ"],"uri":["http://zotero.org/users/944474/items/X3S9FPTJ"],"itemData":{"id":610,"type":"article-journal","title":"Formation of the glycan chains in the synthesis of bacterial peptidoglycan","container-title":"Glycobiology","page":"25R-36R","volume":"11","issue":"3","abstract":"The main structural features of bacterial peptidoglycan are linear glycan chains interlinked by short peptides. The glycan chains are composed of alternating units of N-acetylglucosamine (GlcNAc) and N-acetylmuramic acid (MurNAc), all linkages between sugars being beta,1--&gt;4. On the outside of the cytoplasmic membrane, two types of activities are involved in the polymerization of the peptidoglycan monomer unit: glycosyltransferases that catalyze the formation of the linear glycan chains and transpeptidases that catalyze the formation of the peptide cross-bridges. Contrary to the transpeptidation step, for which there is an abundant literature that has been regularly reviewed, the transglycosylation step has been studied to a far lesser extent. The aim of the present review is to summarize and evaluate the molecular and cellullar data concerning the formation of the glycan chains in the synthesis of peptidoglycan. Early work concerned the use of various in vivo and in vitro systems for the study of the polymerization steps, the attachment of newly made material to preexisting peptidoglycan, and the mechanism of action of antibiotics. The synthesis of the glycan chains is catalyzed by the N-terminal glycosyltransferase module of class A high-molecular-mass penicillin-binding proteins and by nonpenicillin-binding monofunctional glycosyltransferases. The multiplicity of these activities in a given organism presumably reflects a variety of in vivo functions. The topological localization of the incorporation of nascent peptidoglycan into the cell wall has revealed that bacteria have at least two peptidoglycan-synthesizing systems: one for septation, the other one for elongation or cell wall thickening. Owing to its location on the outside of the cytoplasmic membrane and its specificity, the transglycosylation step is an interesting target for antibacterials. Glycopeptides and moenomycins are the best studied antibiotics known to interfere with this step. Their mode of action and structure-activity relationships have been extensively studied. Attempts to synthesize other specific transglycosylation inhibitors have recently been made.","note":"PMID: 11320055","journalAbbreviation":"Glycobiology","author":[{"family":"van Heijenoort","given":"J"}],"issued":{"year":2001,"month":3},"accessed":{"year":2012,"month":6,"day":25},"page-first":"25R"}},{"id":171,"uris":["http://zotero.org/users/944474/items/TRXXKNTH"],"uri":["http://zotero.org/users/944474/items/TRXXKNTH"],"itemData":{"id":171,"type":"book","title":"Brock biology of microorganisms","publisher":"Prentice Hall/Pearson Education","publisher-place":"Upper Saddle River, NJ","event-place":"Upper Saddle River, NJ","ISBN":"0130662712 9780130662712 0130491470 9780130491473","language":"English","author":[{"family":"Madigan","given":"Michael T"},{"family":"Martinko","given":"John M"},{"family":"Parker","given":"Jack"}],"issued":{"year":2002}}}],"schema":"https://github.com/citation-style-language/schema/raw/master/csl-citation.json"}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 xml:space="preserve">(van Heijenoort, 2001; Madigan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2002)</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w:t>
      </w:r>
    </w:p>
    <w:p w:rsidR="00BC7652" w:rsidRDefault="00BC7652" w:rsidP="00BC7652">
      <w:pPr>
        <w:rPr>
          <w:rFonts w:ascii="Times New Roman" w:hAnsi="Times New Roman" w:cs="Times New Roman"/>
          <w:sz w:val="24"/>
          <w:szCs w:val="24"/>
        </w:rPr>
      </w:pPr>
      <w:r>
        <w:rPr>
          <w:rFonts w:ascii="Times New Roman" w:hAnsi="Times New Roman" w:cs="Times New Roman"/>
          <w:sz w:val="24"/>
          <w:szCs w:val="24"/>
        </w:rPr>
        <w:br w:type="page"/>
      </w:r>
    </w:p>
    <w:p w:rsidR="00BC7652" w:rsidRPr="002F5D6E" w:rsidRDefault="00BC7652" w:rsidP="00BC7652">
      <w:pPr>
        <w:tabs>
          <w:tab w:val="left" w:pos="1276"/>
        </w:tabs>
        <w:spacing w:after="120" w:line="480" w:lineRule="auto"/>
        <w:jc w:val="both"/>
        <w:rPr>
          <w:rFonts w:ascii="Times New Roman" w:hAnsi="Times New Roman" w:cs="Times New Roman"/>
          <w:color w:val="000000" w:themeColor="text1"/>
          <w:sz w:val="28"/>
          <w:szCs w:val="28"/>
        </w:rPr>
      </w:pPr>
      <w:r>
        <w:rPr>
          <w:rFonts w:ascii="Times New Roman" w:hAnsi="Times New Roman" w:cs="Times New Roman"/>
          <w:sz w:val="28"/>
          <w:szCs w:val="28"/>
        </w:rPr>
        <w:lastRenderedPageBreak/>
        <w:t>1.3</w:t>
      </w:r>
      <w:r w:rsidRPr="00C8469B">
        <w:rPr>
          <w:rFonts w:ascii="Times New Roman" w:hAnsi="Times New Roman" w:cs="Times New Roman"/>
          <w:sz w:val="28"/>
          <w:szCs w:val="28"/>
        </w:rPr>
        <w:t>.1</w:t>
      </w:r>
      <w:r w:rsidRPr="00C8469B">
        <w:rPr>
          <w:rFonts w:ascii="Times New Roman" w:hAnsi="Times New Roman" w:cs="Times New Roman"/>
          <w:sz w:val="28"/>
          <w:szCs w:val="28"/>
        </w:rPr>
        <w:tab/>
        <w:t xml:space="preserve">Synthesis of </w:t>
      </w:r>
      <w:r>
        <w:rPr>
          <w:rFonts w:ascii="Times New Roman" w:hAnsi="Times New Roman" w:cs="Times New Roman"/>
          <w:sz w:val="28"/>
          <w:szCs w:val="28"/>
        </w:rPr>
        <w:t>UDP-Mur</w:t>
      </w:r>
      <w:r w:rsidRPr="004A384A">
        <w:rPr>
          <w:rFonts w:ascii="Times New Roman" w:hAnsi="Times New Roman" w:cs="Times New Roman"/>
          <w:i/>
          <w:sz w:val="28"/>
          <w:szCs w:val="28"/>
        </w:rPr>
        <w:t>N</w:t>
      </w:r>
      <w:r>
        <w:rPr>
          <w:rFonts w:ascii="Times New Roman" w:hAnsi="Times New Roman" w:cs="Times New Roman"/>
          <w:sz w:val="28"/>
          <w:szCs w:val="28"/>
        </w:rPr>
        <w:t xml:space="preserve">Ac </w:t>
      </w:r>
      <w:r w:rsidRPr="002F5D6E">
        <w:rPr>
          <w:rFonts w:ascii="Times New Roman" w:hAnsi="Times New Roman" w:cs="Times New Roman"/>
          <w:color w:val="000000" w:themeColor="text1"/>
          <w:sz w:val="28"/>
          <w:szCs w:val="28"/>
        </w:rPr>
        <w:t>pentapeptide</w:t>
      </w:r>
    </w:p>
    <w:p w:rsidR="00BC7652" w:rsidRDefault="00BC7652" w:rsidP="00BC7652">
      <w:pPr>
        <w:spacing w:after="0" w:line="480" w:lineRule="auto"/>
        <w:jc w:val="both"/>
        <w:rPr>
          <w:rFonts w:ascii="Times New Roman" w:hAnsi="Times New Roman" w:cs="Times New Roman"/>
          <w:sz w:val="28"/>
          <w:szCs w:val="28"/>
        </w:rPr>
      </w:pPr>
      <w:r w:rsidRPr="002F5D6E">
        <w:rPr>
          <w:rFonts w:ascii="Times New Roman" w:hAnsi="Times New Roman" w:cs="Times New Roman"/>
          <w:color w:val="000000" w:themeColor="text1"/>
          <w:sz w:val="24"/>
          <w:szCs w:val="24"/>
        </w:rPr>
        <w:t>In the first step, glucose is converted to Glc</w:t>
      </w:r>
      <w:r w:rsidRPr="002F5D6E">
        <w:rPr>
          <w:rFonts w:ascii="Times New Roman" w:hAnsi="Times New Roman" w:cs="Times New Roman"/>
          <w:i/>
          <w:color w:val="000000" w:themeColor="text1"/>
          <w:sz w:val="24"/>
          <w:szCs w:val="24"/>
        </w:rPr>
        <w:t>N</w:t>
      </w:r>
      <w:r w:rsidRPr="002F5D6E">
        <w:rPr>
          <w:rFonts w:ascii="Times New Roman" w:hAnsi="Times New Roman" w:cs="Times New Roman"/>
          <w:color w:val="000000" w:themeColor="text1"/>
          <w:sz w:val="24"/>
          <w:szCs w:val="24"/>
        </w:rPr>
        <w:t>Ac and attached</w:t>
      </w:r>
      <w:r w:rsidRPr="00A4672E">
        <w:rPr>
          <w:rFonts w:ascii="Times New Roman" w:hAnsi="Times New Roman" w:cs="Times New Roman"/>
          <w:sz w:val="24"/>
          <w:szCs w:val="24"/>
        </w:rPr>
        <w:t xml:space="preserve"> </w:t>
      </w:r>
      <w:r>
        <w:rPr>
          <w:rFonts w:ascii="Times New Roman" w:hAnsi="Times New Roman" w:cs="Times New Roman"/>
          <w:sz w:val="24"/>
          <w:szCs w:val="24"/>
        </w:rPr>
        <w:t>to a</w:t>
      </w:r>
      <w:r w:rsidRPr="00A4672E">
        <w:rPr>
          <w:rFonts w:ascii="Times New Roman" w:hAnsi="Times New Roman" w:cs="Times New Roman"/>
          <w:sz w:val="24"/>
          <w:szCs w:val="24"/>
        </w:rPr>
        <w:t xml:space="preserve"> u</w:t>
      </w:r>
      <w:r>
        <w:rPr>
          <w:rFonts w:ascii="Times New Roman" w:hAnsi="Times New Roman" w:cs="Times New Roman"/>
          <w:sz w:val="24"/>
          <w:szCs w:val="24"/>
        </w:rPr>
        <w:t>ridine diphosphate</w:t>
      </w:r>
      <w:r w:rsidRPr="00A4672E">
        <w:rPr>
          <w:rFonts w:ascii="Times New Roman" w:hAnsi="Times New Roman" w:cs="Times New Roman"/>
          <w:sz w:val="24"/>
          <w:szCs w:val="24"/>
        </w:rPr>
        <w:t xml:space="preserve"> (UDP</w:t>
      </w:r>
      <w:r w:rsidRPr="000D1271">
        <w:rPr>
          <w:rFonts w:ascii="Times New Roman" w:hAnsi="Times New Roman" w:cs="Times New Roman"/>
          <w:color w:val="000000" w:themeColor="text1"/>
          <w:sz w:val="24"/>
          <w:szCs w:val="24"/>
        </w:rPr>
        <w:t xml:space="preserve">) lipid anchor. </w:t>
      </w:r>
      <w:proofErr w:type="gramStart"/>
      <w:r w:rsidRPr="000D1271">
        <w:rPr>
          <w:rFonts w:ascii="Times New Roman" w:hAnsi="Times New Roman" w:cs="Times New Roman"/>
          <w:color w:val="000000" w:themeColor="text1"/>
          <w:sz w:val="24"/>
          <w:szCs w:val="24"/>
        </w:rPr>
        <w:t>(Figure 1.4).</w:t>
      </w:r>
      <w:proofErr w:type="gramEnd"/>
      <w:r w:rsidRPr="000D1271">
        <w:rPr>
          <w:rFonts w:ascii="Times New Roman" w:hAnsi="Times New Roman" w:cs="Times New Roman"/>
          <w:color w:val="000000" w:themeColor="text1"/>
          <w:sz w:val="24"/>
          <w:szCs w:val="24"/>
        </w:rPr>
        <w:t xml:space="preserve"> UDP-Glc</w:t>
      </w:r>
      <w:r w:rsidRPr="000D1271">
        <w:rPr>
          <w:rFonts w:ascii="Times New Roman" w:hAnsi="Times New Roman" w:cs="Times New Roman"/>
          <w:i/>
          <w:color w:val="000000" w:themeColor="text1"/>
          <w:sz w:val="24"/>
          <w:szCs w:val="24"/>
        </w:rPr>
        <w:t>N</w:t>
      </w:r>
      <w:r w:rsidRPr="000D1271">
        <w:rPr>
          <w:rFonts w:ascii="Times New Roman" w:hAnsi="Times New Roman" w:cs="Times New Roman"/>
          <w:color w:val="000000" w:themeColor="text1"/>
          <w:sz w:val="24"/>
          <w:szCs w:val="24"/>
        </w:rPr>
        <w:t>Ac</w:t>
      </w:r>
      <w:r>
        <w:rPr>
          <w:rFonts w:ascii="Times New Roman" w:hAnsi="Times New Roman" w:cs="Times New Roman"/>
          <w:sz w:val="24"/>
          <w:szCs w:val="24"/>
        </w:rPr>
        <w:t xml:space="preserve"> either</w:t>
      </w:r>
      <w:r w:rsidRPr="0042791E">
        <w:rPr>
          <w:rFonts w:ascii="Times New Roman" w:hAnsi="Times New Roman" w:cs="Times New Roman"/>
          <w:sz w:val="24"/>
          <w:szCs w:val="24"/>
        </w:rPr>
        <w:t xml:space="preserve"> </w:t>
      </w:r>
      <w:r>
        <w:rPr>
          <w:rFonts w:ascii="Times New Roman" w:hAnsi="Times New Roman" w:cs="Times New Roman"/>
          <w:sz w:val="24"/>
          <w:szCs w:val="24"/>
        </w:rPr>
        <w:t>becomes part</w:t>
      </w:r>
      <w:r w:rsidRPr="0042791E">
        <w:rPr>
          <w:rFonts w:ascii="Times New Roman" w:hAnsi="Times New Roman" w:cs="Times New Roman"/>
          <w:sz w:val="24"/>
          <w:szCs w:val="24"/>
        </w:rPr>
        <w:t xml:space="preserve"> </w:t>
      </w:r>
      <w:r>
        <w:rPr>
          <w:rFonts w:ascii="Times New Roman" w:hAnsi="Times New Roman" w:cs="Times New Roman"/>
          <w:sz w:val="24"/>
          <w:szCs w:val="24"/>
        </w:rPr>
        <w:t>of the reservoir of residues for disaccharide formation, or is converted to UDP-Mur</w:t>
      </w:r>
      <w:r w:rsidRPr="004C2CEB">
        <w:rPr>
          <w:rFonts w:ascii="Times New Roman" w:hAnsi="Times New Roman" w:cs="Times New Roman"/>
          <w:i/>
          <w:sz w:val="24"/>
          <w:szCs w:val="24"/>
        </w:rPr>
        <w:t>N</w:t>
      </w:r>
      <w:r>
        <w:rPr>
          <w:rFonts w:ascii="Times New Roman" w:hAnsi="Times New Roman" w:cs="Times New Roman"/>
          <w:sz w:val="24"/>
          <w:szCs w:val="24"/>
        </w:rPr>
        <w:t>Ac. Phosphoenolpyruvate is ligated to the 3’ hydroxyl group of UDP-Glc</w:t>
      </w:r>
      <w:r w:rsidRPr="004C2CEB">
        <w:rPr>
          <w:rFonts w:ascii="Times New Roman" w:hAnsi="Times New Roman" w:cs="Times New Roman"/>
          <w:i/>
          <w:sz w:val="24"/>
          <w:szCs w:val="24"/>
        </w:rPr>
        <w:t>N</w:t>
      </w:r>
      <w:r>
        <w:rPr>
          <w:rFonts w:ascii="Times New Roman" w:hAnsi="Times New Roman" w:cs="Times New Roman"/>
          <w:sz w:val="24"/>
          <w:szCs w:val="24"/>
        </w:rPr>
        <w:t>Ac producing UDP-Glc</w:t>
      </w:r>
      <w:r w:rsidRPr="004C2CEB">
        <w:rPr>
          <w:rFonts w:ascii="Times New Roman" w:hAnsi="Times New Roman" w:cs="Times New Roman"/>
          <w:i/>
          <w:sz w:val="24"/>
          <w:szCs w:val="24"/>
        </w:rPr>
        <w:t>N</w:t>
      </w:r>
      <w:r>
        <w:rPr>
          <w:rFonts w:ascii="Times New Roman" w:hAnsi="Times New Roman" w:cs="Times New Roman"/>
          <w:sz w:val="24"/>
          <w:szCs w:val="24"/>
        </w:rPr>
        <w:t xml:space="preserve">Ac-enolpyruvate. The enolpyruvate moiety is reduced to </w:t>
      </w:r>
      <w:r w:rsidRPr="005C00CD">
        <w:rPr>
          <w:rFonts w:ascii="Times New Roman" w:hAnsi="Times New Roman" w:cs="Times New Roman"/>
          <w:sz w:val="16"/>
          <w:szCs w:val="16"/>
        </w:rPr>
        <w:t>D</w:t>
      </w:r>
      <w:r>
        <w:rPr>
          <w:rFonts w:ascii="Times New Roman" w:hAnsi="Times New Roman" w:cs="Times New Roman"/>
          <w:sz w:val="24"/>
          <w:szCs w:val="24"/>
        </w:rPr>
        <w:t>-lactate, forming UDP-Mur</w:t>
      </w:r>
      <w:r w:rsidRPr="004C2CEB">
        <w:rPr>
          <w:rFonts w:ascii="Times New Roman" w:hAnsi="Times New Roman" w:cs="Times New Roman"/>
          <w:i/>
          <w:sz w:val="24"/>
          <w:szCs w:val="24"/>
        </w:rPr>
        <w:t>N</w:t>
      </w:r>
      <w:r>
        <w:rPr>
          <w:rFonts w:ascii="Times New Roman" w:hAnsi="Times New Roman" w:cs="Times New Roman"/>
          <w:sz w:val="24"/>
          <w:szCs w:val="24"/>
        </w:rPr>
        <w:t>Ac.</w:t>
      </w:r>
      <w:r w:rsidRPr="005D3E9B">
        <w:rPr>
          <w:rFonts w:ascii="Times New Roman" w:hAnsi="Times New Roman" w:cs="Times New Roman"/>
          <w:sz w:val="24"/>
          <w:szCs w:val="24"/>
        </w:rPr>
        <w:t xml:space="preserve"> </w:t>
      </w:r>
      <w:r>
        <w:rPr>
          <w:rFonts w:ascii="Times New Roman" w:hAnsi="Times New Roman" w:cs="Times New Roman"/>
          <w:sz w:val="24"/>
          <w:szCs w:val="24"/>
        </w:rPr>
        <w:t xml:space="preserve">The pentapeptide stem is then synthesised by sequential addition of each amino acid, beginning with the linkage of </w:t>
      </w:r>
      <w:r w:rsidRPr="005C00CD">
        <w:rPr>
          <w:rFonts w:ascii="Times New Roman" w:hAnsi="Times New Roman" w:cs="Times New Roman"/>
          <w:sz w:val="16"/>
          <w:szCs w:val="16"/>
        </w:rPr>
        <w:t>L</w:t>
      </w:r>
      <w:r>
        <w:rPr>
          <w:rFonts w:ascii="Times New Roman" w:hAnsi="Times New Roman" w:cs="Times New Roman"/>
          <w:sz w:val="24"/>
          <w:szCs w:val="24"/>
        </w:rPr>
        <w:t xml:space="preserve">-alanine to </w:t>
      </w:r>
      <w:r w:rsidRPr="005C00CD">
        <w:rPr>
          <w:rFonts w:ascii="Times New Roman" w:hAnsi="Times New Roman" w:cs="Times New Roman"/>
          <w:sz w:val="16"/>
          <w:szCs w:val="16"/>
        </w:rPr>
        <w:t>D</w:t>
      </w:r>
      <w:r>
        <w:rPr>
          <w:rFonts w:ascii="Times New Roman" w:hAnsi="Times New Roman" w:cs="Times New Roman"/>
          <w:sz w:val="24"/>
          <w:szCs w:val="24"/>
        </w:rPr>
        <w:t>-lactate of the UDP-Mur</w:t>
      </w:r>
      <w:r w:rsidRPr="004C2CEB">
        <w:rPr>
          <w:rFonts w:ascii="Times New Roman" w:hAnsi="Times New Roman" w:cs="Times New Roman"/>
          <w:i/>
          <w:sz w:val="24"/>
          <w:szCs w:val="24"/>
        </w:rPr>
        <w:t>N</w:t>
      </w:r>
      <w:r>
        <w:rPr>
          <w:rFonts w:ascii="Times New Roman" w:hAnsi="Times New Roman" w:cs="Times New Roman"/>
          <w:sz w:val="24"/>
          <w:szCs w:val="24"/>
        </w:rPr>
        <w:t xml:space="preserve">Ac anchor. An interbridge may </w:t>
      </w:r>
      <w:r w:rsidRPr="000D1271">
        <w:rPr>
          <w:rFonts w:ascii="Times New Roman" w:hAnsi="Times New Roman" w:cs="Times New Roman"/>
          <w:color w:val="000000" w:themeColor="text1"/>
          <w:sz w:val="24"/>
          <w:szCs w:val="24"/>
        </w:rPr>
        <w:t xml:space="preserve">also be added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{"citationID":"f6qfe0lsb","properties":{"formattedCitation":"(Typas et al., 2012)","plainCitation":"(Typas et al., 2012)"},"citationItems":[{"id":317,"uris":["http://zotero.org/users/944474/items/JJ7BJ4H6"],"uri":["http://zotero.org/users/944474/items/JJ7BJ4H6"],"itemData":{"id":317,"type":"article-journal","title":"From the regulation of peptidoglycan synthesis to bacterial growth and morphology","container-title":"Nature reviews. Microbiology","page":"123-136","volume":"10","issue":"2","abstract":"How bacteria grow and divide while retaining a defined shape is a fundamental question in microbiology, but technological advances are now driving a new understanding of how the shape-maintaining bacterial peptidoglycan sacculus grows. In this Review, we highlight the relationship between peptidoglycan synthesis complexes and cytoskeletal elements, as well as recent evidence that peptidoglycan growth is regulated from outside the sacculus in Gram-negative bacteria. We also discuss how growth of the sacculus is sensitive to mechanical force and nutritional status, and describe the roles of peptidoglycan hydrolases in generating cell shape and of D-amino acids in sacculus remodelling.","DOI":"10.1038/nrmicro2677","note":"PMID: 22203377","journalAbbreviation":"Nat. Rev. Microbiol.","author":[{"family":"Typas","given":"Athanasios"},{"family":"Banzhaf","given":"Manuel"},{"family":"Gross","given":"Carol A"},{"family":"Vollmer","given":"Waldemar"}],"issued":{"year":2012,"month":2},"accessed":{"year":2012,"month":5,"day":30},"page-first":"123"}}],"schema":"https://github.com/citation-style-language/schema/raw/master/csl-citation.json"}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 xml:space="preserve">(Typas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2012)</w:t>
      </w:r>
      <w:r w:rsidRPr="000D1271">
        <w:rPr>
          <w:rFonts w:ascii="Times New Roman" w:hAnsi="Times New Roman" w:cs="Times New Roman"/>
          <w:color w:val="000000" w:themeColor="text1"/>
          <w:sz w:val="24"/>
          <w:szCs w:val="24"/>
        </w:rPr>
        <w:fldChar w:fldCharType="end"/>
      </w:r>
      <w:r>
        <w:rPr>
          <w:rFonts w:ascii="Times New Roman" w:hAnsi="Times New Roman" w:cs="Times New Roman"/>
          <w:i/>
          <w:sz w:val="24"/>
          <w:szCs w:val="24"/>
        </w:rPr>
        <w:t>.</w:t>
      </w:r>
    </w:p>
    <w:p w:rsidR="00BC7652" w:rsidRPr="00C8469B" w:rsidRDefault="00BC7652" w:rsidP="00BC7652">
      <w:pPr>
        <w:tabs>
          <w:tab w:val="left" w:pos="1276"/>
        </w:tabs>
        <w:spacing w:before="360" w:after="120" w:line="480" w:lineRule="auto"/>
        <w:jc w:val="both"/>
        <w:rPr>
          <w:rFonts w:ascii="Times New Roman" w:hAnsi="Times New Roman" w:cs="Times New Roman"/>
          <w:sz w:val="28"/>
          <w:szCs w:val="28"/>
        </w:rPr>
      </w:pPr>
      <w:r w:rsidRPr="00C8469B">
        <w:rPr>
          <w:rFonts w:ascii="Times New Roman" w:hAnsi="Times New Roman" w:cs="Times New Roman"/>
          <w:sz w:val="28"/>
          <w:szCs w:val="28"/>
        </w:rPr>
        <w:t>1.</w:t>
      </w:r>
      <w:r>
        <w:rPr>
          <w:rFonts w:ascii="Times New Roman" w:hAnsi="Times New Roman" w:cs="Times New Roman"/>
          <w:sz w:val="28"/>
          <w:szCs w:val="28"/>
        </w:rPr>
        <w:t>3</w:t>
      </w:r>
      <w:r w:rsidRPr="00C8469B">
        <w:rPr>
          <w:rFonts w:ascii="Times New Roman" w:hAnsi="Times New Roman" w:cs="Times New Roman"/>
          <w:sz w:val="28"/>
          <w:szCs w:val="28"/>
        </w:rPr>
        <w:t>.2</w:t>
      </w:r>
      <w:r w:rsidRPr="00C8469B">
        <w:rPr>
          <w:rFonts w:ascii="Times New Roman" w:hAnsi="Times New Roman" w:cs="Times New Roman"/>
          <w:sz w:val="28"/>
          <w:szCs w:val="28"/>
        </w:rPr>
        <w:tab/>
        <w:t>Assembly and translocation of the disaccharide pentapeptide</w:t>
      </w:r>
    </w:p>
    <w:p w:rsidR="00BC7652" w:rsidRPr="000214E1" w:rsidRDefault="00BC7652" w:rsidP="00BC7652">
      <w:pPr>
        <w:autoSpaceDE w:val="0"/>
        <w:autoSpaceDN w:val="0"/>
        <w:adjustRightInd w:val="0"/>
        <w:spacing w:after="120" w:line="48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The phospho-Mur</w:t>
      </w:r>
      <w:r w:rsidRPr="004C2CEB">
        <w:rPr>
          <w:rFonts w:ascii="Times New Roman" w:hAnsi="Times New Roman" w:cs="Times New Roman"/>
          <w:i/>
          <w:sz w:val="24"/>
          <w:szCs w:val="24"/>
        </w:rPr>
        <w:t>N</w:t>
      </w:r>
      <w:r>
        <w:rPr>
          <w:rFonts w:ascii="Times New Roman" w:hAnsi="Times New Roman" w:cs="Times New Roman"/>
          <w:sz w:val="24"/>
          <w:szCs w:val="24"/>
        </w:rPr>
        <w:t>Ac-pentapeptide moiety of UDP-Mur</w:t>
      </w:r>
      <w:r w:rsidRPr="004C2CEB">
        <w:rPr>
          <w:rFonts w:ascii="Times New Roman" w:hAnsi="Times New Roman" w:cs="Times New Roman"/>
          <w:i/>
          <w:sz w:val="24"/>
          <w:szCs w:val="24"/>
        </w:rPr>
        <w:t>N</w:t>
      </w:r>
      <w:r>
        <w:rPr>
          <w:rFonts w:ascii="Times New Roman" w:hAnsi="Times New Roman" w:cs="Times New Roman"/>
          <w:sz w:val="24"/>
          <w:szCs w:val="24"/>
        </w:rPr>
        <w:t>Ac-pentapeptide is transferred to membrane-integral bactoprenol to yield lipid I. Glc</w:t>
      </w:r>
      <w:r w:rsidRPr="004C2CEB">
        <w:rPr>
          <w:rFonts w:ascii="Times New Roman" w:hAnsi="Times New Roman" w:cs="Times New Roman"/>
          <w:i/>
          <w:sz w:val="24"/>
          <w:szCs w:val="24"/>
        </w:rPr>
        <w:t>N</w:t>
      </w:r>
      <w:r>
        <w:rPr>
          <w:rFonts w:ascii="Times New Roman" w:hAnsi="Times New Roman" w:cs="Times New Roman"/>
          <w:sz w:val="24"/>
          <w:szCs w:val="24"/>
        </w:rPr>
        <w:t>Ac, from UDP-Glc</w:t>
      </w:r>
      <w:r w:rsidRPr="004C2CEB">
        <w:rPr>
          <w:rFonts w:ascii="Times New Roman" w:hAnsi="Times New Roman" w:cs="Times New Roman"/>
          <w:i/>
          <w:sz w:val="24"/>
          <w:szCs w:val="24"/>
        </w:rPr>
        <w:t>N</w:t>
      </w:r>
      <w:r>
        <w:rPr>
          <w:rFonts w:ascii="Times New Roman" w:hAnsi="Times New Roman" w:cs="Times New Roman"/>
          <w:sz w:val="24"/>
          <w:szCs w:val="24"/>
        </w:rPr>
        <w:t>Ac, is then linked to lipid I, yielding lipid II [Glc</w:t>
      </w:r>
      <w:r w:rsidRPr="004C2CEB">
        <w:rPr>
          <w:rFonts w:ascii="Times New Roman" w:hAnsi="Times New Roman" w:cs="Times New Roman"/>
          <w:i/>
          <w:sz w:val="24"/>
          <w:szCs w:val="24"/>
        </w:rPr>
        <w:t>N</w:t>
      </w:r>
      <w:r>
        <w:rPr>
          <w:rFonts w:ascii="Times New Roman" w:hAnsi="Times New Roman" w:cs="Times New Roman"/>
          <w:sz w:val="24"/>
          <w:szCs w:val="24"/>
        </w:rPr>
        <w:t>Ac-β-(1,4)-Mur</w:t>
      </w:r>
      <w:r w:rsidRPr="004C2CEB">
        <w:rPr>
          <w:rFonts w:ascii="Times New Roman" w:hAnsi="Times New Roman" w:cs="Times New Roman"/>
          <w:i/>
          <w:sz w:val="24"/>
          <w:szCs w:val="24"/>
        </w:rPr>
        <w:t>N</w:t>
      </w:r>
      <w:r>
        <w:rPr>
          <w:rFonts w:ascii="Times New Roman" w:hAnsi="Times New Roman" w:cs="Times New Roman"/>
          <w:sz w:val="24"/>
          <w:szCs w:val="24"/>
        </w:rPr>
        <w:t>Ac-(pentapeptide)-pyrophosphoryl-</w:t>
      </w:r>
      <w:r w:rsidRPr="000D1271">
        <w:rPr>
          <w:rFonts w:ascii="Times New Roman" w:hAnsi="Times New Roman" w:cs="Times New Roman"/>
          <w:color w:val="000000" w:themeColor="text1"/>
          <w:sz w:val="24"/>
          <w:szCs w:val="24"/>
        </w:rPr>
        <w:t>undecaprenol]. Lipid II is flipped across the cytoplasmic membrane for polymerisation to the peptidoglycan layer (Figure 1.4).</w:t>
      </w:r>
    </w:p>
    <w:p w:rsidR="00BC7652" w:rsidRPr="00C8469B" w:rsidRDefault="00BC7652" w:rsidP="00BC7652">
      <w:pPr>
        <w:tabs>
          <w:tab w:val="left" w:pos="1276"/>
        </w:tabs>
        <w:spacing w:before="360" w:after="120" w:line="480" w:lineRule="auto"/>
        <w:jc w:val="both"/>
        <w:rPr>
          <w:rFonts w:ascii="Times New Roman" w:hAnsi="Times New Roman" w:cs="Times New Roman"/>
          <w:sz w:val="28"/>
          <w:szCs w:val="28"/>
        </w:rPr>
      </w:pPr>
      <w:r w:rsidRPr="00C8469B">
        <w:rPr>
          <w:rFonts w:ascii="Times New Roman" w:hAnsi="Times New Roman" w:cs="Times New Roman"/>
          <w:sz w:val="28"/>
          <w:szCs w:val="28"/>
        </w:rPr>
        <w:t>1.</w:t>
      </w:r>
      <w:r>
        <w:rPr>
          <w:rFonts w:ascii="Times New Roman" w:hAnsi="Times New Roman" w:cs="Times New Roman"/>
          <w:sz w:val="28"/>
          <w:szCs w:val="28"/>
        </w:rPr>
        <w:t>3</w:t>
      </w:r>
      <w:r w:rsidRPr="00C8469B">
        <w:rPr>
          <w:rFonts w:ascii="Times New Roman" w:hAnsi="Times New Roman" w:cs="Times New Roman"/>
          <w:sz w:val="28"/>
          <w:szCs w:val="28"/>
        </w:rPr>
        <w:t>.3</w:t>
      </w:r>
      <w:r w:rsidRPr="00C8469B">
        <w:rPr>
          <w:rFonts w:ascii="Times New Roman" w:hAnsi="Times New Roman" w:cs="Times New Roman"/>
          <w:sz w:val="28"/>
          <w:szCs w:val="28"/>
        </w:rPr>
        <w:tab/>
        <w:t>Inco</w:t>
      </w:r>
      <w:r>
        <w:rPr>
          <w:rFonts w:ascii="Times New Roman" w:hAnsi="Times New Roman" w:cs="Times New Roman"/>
          <w:sz w:val="28"/>
          <w:szCs w:val="28"/>
        </w:rPr>
        <w:t>rporation of nascent peptidoglycan in</w:t>
      </w:r>
      <w:r w:rsidRPr="00C8469B">
        <w:rPr>
          <w:rFonts w:ascii="Times New Roman" w:hAnsi="Times New Roman" w:cs="Times New Roman"/>
          <w:sz w:val="28"/>
          <w:szCs w:val="28"/>
        </w:rPr>
        <w:t>to the sacculus</w:t>
      </w:r>
    </w:p>
    <w:p w:rsidR="00BC7652" w:rsidRDefault="00BC7652" w:rsidP="00BC7652">
      <w:pPr>
        <w:spacing w:line="480" w:lineRule="auto"/>
        <w:jc w:val="both"/>
        <w:rPr>
          <w:rFonts w:ascii="Times New Roman" w:hAnsi="Times New Roman" w:cs="Times New Roman"/>
          <w:sz w:val="24"/>
          <w:szCs w:val="24"/>
        </w:rPr>
        <w:sectPr w:rsidR="00BC7652" w:rsidSect="006C5A4E">
          <w:type w:val="continuous"/>
          <w:pgSz w:w="11906" w:h="16838"/>
          <w:pgMar w:top="1440" w:right="1134" w:bottom="1440" w:left="2268" w:header="708" w:footer="708" w:gutter="0"/>
          <w:cols w:space="708"/>
          <w:docGrid w:linePitch="360"/>
        </w:sectPr>
      </w:pPr>
      <w:r>
        <w:rPr>
          <w:rFonts w:ascii="Times New Roman" w:hAnsi="Times New Roman" w:cs="Times New Roman"/>
          <w:sz w:val="24"/>
          <w:szCs w:val="24"/>
        </w:rPr>
        <w:t xml:space="preserve">In the final stage, the disaccharide-pentapeptide units are polymerised into longer glycan chains and </w:t>
      </w:r>
      <w:r w:rsidRPr="000D1271">
        <w:rPr>
          <w:rFonts w:ascii="Times New Roman" w:hAnsi="Times New Roman" w:cs="Times New Roman"/>
          <w:color w:val="000000" w:themeColor="text1"/>
          <w:sz w:val="24"/>
          <w:szCs w:val="24"/>
        </w:rPr>
        <w:t xml:space="preserve">incorporated into the growing sacculus (Figure 1.4). Transglycosylation and transpeptidation reactions are performed by penicillin-binding proteins (PBPs), so called because of their ability to bind to penicillin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{"citationID":"273p6ti3o8","properties":{"formattedCitation":"(Suginaka et al., 1972)","plainCitation":"(Suginaka et al., 1972)"},"citationItems":[{"id":205,"uris":["http://zotero.org/users/944474/items/NGWM448U"],"uri":["http://zotero.org/users/944474/items/NGWM448U"],"itemData":{"id":205,"type":"article-journal","title":"Multiple penicillin-binding components in Bacillus subtilis, Bacillus cereus, Staphylococcus aureus, and Escherichia coli","container-title":"The Journal of biological chemistry","page":"5279-5288","volume":"247","issue":"17","note":"PMID: 4626716","journalAbbreviation":"J. Biol. Chem.","author":[{"family":"Suginaka","given":"H"},{"family":"Blumberg","given":"P M"},{"family":"Strominger","given":"J L"}],"issued":{"year":1972,"month":9,"day":10},"accessed":{"year":2012,"month":5,"day":15},"page-first":"5279"}}],"schema":"https://github.com/citation-style-language/schema/raw/master/csl-citation.json"}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 xml:space="preserve">(Suginaka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1972)</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 Glycan strands poly</w:t>
      </w:r>
      <w:r>
        <w:rPr>
          <w:rFonts w:ascii="Times New Roman" w:hAnsi="Times New Roman" w:cs="Times New Roman"/>
          <w:color w:val="000000" w:themeColor="text1"/>
          <w:sz w:val="24"/>
          <w:szCs w:val="24"/>
        </w:rPr>
        <w:t>mer</w:t>
      </w:r>
      <w:r w:rsidRPr="000D1271">
        <w:rPr>
          <w:rFonts w:ascii="Times New Roman" w:hAnsi="Times New Roman" w:cs="Times New Roman"/>
          <w:color w:val="000000" w:themeColor="text1"/>
          <w:sz w:val="24"/>
          <w:szCs w:val="24"/>
        </w:rPr>
        <w:t>ise by glycosidic bond formation between the non-reducing Glc</w:t>
      </w:r>
      <w:r w:rsidRPr="000D1271">
        <w:rPr>
          <w:rFonts w:ascii="Times New Roman" w:hAnsi="Times New Roman" w:cs="Times New Roman"/>
          <w:i/>
          <w:color w:val="000000" w:themeColor="text1"/>
          <w:sz w:val="24"/>
          <w:szCs w:val="24"/>
        </w:rPr>
        <w:t>N</w:t>
      </w:r>
      <w:r w:rsidRPr="000D1271">
        <w:rPr>
          <w:rFonts w:ascii="Times New Roman" w:hAnsi="Times New Roman" w:cs="Times New Roman"/>
          <w:color w:val="000000" w:themeColor="text1"/>
          <w:sz w:val="24"/>
          <w:szCs w:val="24"/>
        </w:rPr>
        <w:t>Ac terminus of lipid-linked disaccharide-pentapeptide and the lipid-</w:t>
      </w:r>
      <w:r>
        <w:rPr>
          <w:rFonts w:ascii="Times New Roman" w:hAnsi="Times New Roman" w:cs="Times New Roman"/>
          <w:sz w:val="24"/>
          <w:szCs w:val="24"/>
        </w:rPr>
        <w:t xml:space="preserve"> </w:t>
      </w:r>
    </w:p>
    <w:p w:rsidR="00BC7652" w:rsidRPr="00023DC7" w:rsidRDefault="00BC7652" w:rsidP="00BC7652">
      <w:pPr>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w:lastRenderedPageBreak/>
        <w:drawing>
          <wp:inline distT="0" distB="0" distL="0" distR="0">
            <wp:extent cx="5278120" cy="4140200"/>
            <wp:effectExtent l="19050" t="0" r="0" b="0"/>
            <wp:docPr id="14" name="Picture 19" descr="Peptidoglycan synthesis adap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ptidoglycan synthesis adapted.png"/>
                    <pic:cNvPicPr/>
                  </pic:nvPicPr>
                  <pic:blipFill>
                    <a:blip r:embed="rId13" cstate="print"/>
                    <a:stretch>
                      <a:fillRect/>
                    </a:stretch>
                  </pic:blipFill>
                  <pic:spPr>
                    <a:xfrm>
                      <a:off x="0" y="0"/>
                      <a:ext cx="5278120" cy="4140200"/>
                    </a:xfrm>
                    <a:prstGeom prst="rect">
                      <a:avLst/>
                    </a:prstGeom>
                  </pic:spPr>
                </pic:pic>
              </a:graphicData>
            </a:graphic>
          </wp:inline>
        </w:drawing>
      </w:r>
    </w:p>
    <w:p w:rsidR="00BC7652" w:rsidRDefault="00BC7652" w:rsidP="00BC7652">
      <w:pPr>
        <w:spacing w:line="360" w:lineRule="auto"/>
        <w:jc w:val="both"/>
        <w:rPr>
          <w:rFonts w:ascii="Times New Roman" w:hAnsi="Times New Roman" w:cs="Times New Roman"/>
          <w:sz w:val="24"/>
          <w:szCs w:val="24"/>
        </w:rPr>
      </w:pPr>
      <w:proofErr w:type="gramStart"/>
      <w:r w:rsidRPr="00023DC7">
        <w:rPr>
          <w:rFonts w:ascii="Times New Roman" w:hAnsi="Times New Roman" w:cs="Times New Roman"/>
          <w:b/>
          <w:color w:val="000000"/>
          <w:sz w:val="24"/>
          <w:szCs w:val="24"/>
        </w:rPr>
        <w:t xml:space="preserve">Figure </w:t>
      </w:r>
      <w:r>
        <w:rPr>
          <w:rFonts w:ascii="Times New Roman" w:hAnsi="Times New Roman" w:cs="Times New Roman"/>
          <w:b/>
          <w:color w:val="000000"/>
          <w:sz w:val="24"/>
          <w:szCs w:val="24"/>
        </w:rPr>
        <w:t>1.4</w:t>
      </w:r>
      <w:r w:rsidRPr="00023DC7">
        <w:rPr>
          <w:rFonts w:ascii="Times New Roman" w:hAnsi="Times New Roman" w:cs="Times New Roman"/>
          <w:b/>
          <w:color w:val="000000"/>
          <w:sz w:val="24"/>
          <w:szCs w:val="24"/>
        </w:rPr>
        <w:t>.</w:t>
      </w:r>
      <w:proofErr w:type="gramEnd"/>
      <w:r w:rsidRPr="00023DC7">
        <w:rPr>
          <w:rFonts w:ascii="Times New Roman" w:hAnsi="Times New Roman" w:cs="Times New Roman"/>
          <w:b/>
          <w:color w:val="000000"/>
          <w:sz w:val="24"/>
          <w:szCs w:val="24"/>
        </w:rPr>
        <w:t xml:space="preserve"> </w:t>
      </w:r>
      <w:proofErr w:type="gramStart"/>
      <w:r w:rsidRPr="00023DC7">
        <w:rPr>
          <w:rFonts w:ascii="Times New Roman" w:hAnsi="Times New Roman" w:cs="Times New Roman"/>
          <w:b/>
          <w:color w:val="000000"/>
          <w:sz w:val="24"/>
          <w:szCs w:val="24"/>
        </w:rPr>
        <w:t>The peptidoglycan biosynthesis pathway.</w:t>
      </w:r>
      <w:proofErr w:type="gramEnd"/>
      <w:r w:rsidRPr="00860FFB">
        <w:rPr>
          <w:rFonts w:ascii="Times New Roman" w:hAnsi="Times New Roman" w:cs="Times New Roman"/>
          <w:color w:val="000000"/>
          <w:sz w:val="24"/>
          <w:szCs w:val="24"/>
        </w:rPr>
        <w:t xml:space="preserve"> The </w:t>
      </w:r>
      <w:r>
        <w:rPr>
          <w:rFonts w:ascii="Times New Roman" w:hAnsi="Times New Roman" w:cs="Times New Roman"/>
          <w:color w:val="000000"/>
          <w:sz w:val="24"/>
          <w:szCs w:val="24"/>
        </w:rPr>
        <w:t>p</w:t>
      </w:r>
      <w:r w:rsidRPr="00860FFB">
        <w:rPr>
          <w:rFonts w:ascii="Times New Roman" w:hAnsi="Times New Roman" w:cs="Times New Roman"/>
          <w:color w:val="000000"/>
          <w:sz w:val="24"/>
          <w:szCs w:val="24"/>
        </w:rPr>
        <w:t>eptidoglycan disaccharide pentapeptide precurs</w:t>
      </w:r>
      <w:r>
        <w:rPr>
          <w:rFonts w:ascii="Times New Roman" w:hAnsi="Times New Roman" w:cs="Times New Roman"/>
          <w:color w:val="000000"/>
          <w:sz w:val="24"/>
          <w:szCs w:val="24"/>
        </w:rPr>
        <w:t xml:space="preserve">or is synthesised in the cytoplasmic membrane, transported across the cytoplasmic membrane to the periplasm, and polymerised into the existing sacculus. Synthases required for </w:t>
      </w:r>
      <w:r w:rsidRPr="000D1271">
        <w:rPr>
          <w:rFonts w:ascii="Times New Roman" w:hAnsi="Times New Roman" w:cs="Times New Roman"/>
          <w:color w:val="000000" w:themeColor="text1"/>
          <w:sz w:val="24"/>
          <w:szCs w:val="24"/>
        </w:rPr>
        <w:t xml:space="preserve">assembly of the disaccharide pentapeptide monomer are indicated. The translocases for lipid II transport across the cytoplasmic membrane are FtsW and RodA for septation and elongation respectively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{"citationID":"19gnaees3n","properties":{"formattedCitation":"(Scheffers and Pinho, 2005; Mohammadi et al., 2011)","plainCitation":"(Scheffers and Pinho, 2005; Mohammadi et al., 2011)"},"citationItems":[{"id":202,"uris":["http://zotero.org/users/944474/items/BD2RP3F4"],"uri":["http://zotero.org/users/944474/items/BD2RP3F4"],"itemData":{"id":202,"type":"article-journal","title":"Bacterial cell wall synthesis: new insights from localization studies","container-title":"Microbiology and molecular biology reviews: MMBR","page":"585-607","volume":"69","issue":"4","abstract":"In order to maintain shape and withstand intracellular pressure, most bacteria are surrounded by a cell wall that consists mainly of the cross-linked polymer peptidoglycan (PG). The importance of PG for the maintenance of bacterial cell shape is underscored by the fact that, for various bacteria, several mutations affecting PG synthesis are associated with cell shape defects. In recent years, the application of fluorescence microscopy to the field of PG synthesis has led to an enormous increase in data on the relationship between cell wall synthesis and bacterial cell shape. First, a novel staining method enabled the visualization of PG precursor incorporation in live cells. Second, penicillin-binding proteins (PBPs), which mediate the final stages of PG synthesis, have been localized in various model organisms by means of immunofluorescence microscopy or green fluorescent protein fusions. In this review, we integrate the knowledge on the last stages of PG synthesis obtained in previous studies with the new data available on localization of PG synthesis and PBPs, in both rod-shaped and coccoid cells. We discuss a model in which, at least for a subset of PBPs, the presence of substrate is a major factor in determining PBP localization.","DOI":"10.1128/MMBR.69.4.585-607.2005","note":"PMID: 16339737","shortTitle":"Bacterial cell wall synthesis","journalAbbreviation":"Microbiol. Mol. Biol. Rev.","author":[{"family":"Scheffers","given":"Dirk-Jan"},{"family":"Pinho","given":"Mariana G"}],"issued":{"year":2005,"month":12},"accessed":{"year":2012,"month":5,"day":14},"page-first":"585"}},{"id":201,"uris":["http://zotero.org/users/944474/items/ZTI7Q8UW"],"uri":["http://zotero.org/users/944474/items/ZTI7Q8UW"],"itemData":{"id":201,"type":"article-journal","title":"Identification of FtsW as a transporter of lipid-linked cell wall precursors across the membrane","container-title":"The EMBO journal","page":"1425-1432","volume":"30","issue":"8","abstract":"Bacterial cell growth necessitates synthesis of peptidoglycan. Assembly of this major constituent of the bacterial cell wall is a multistep process starting in the cytoplasm and ending in the exterior cell surface. The intracellular part of the pathway results in the production of the membrane-anchored cell wall precursor, Lipid II. After synthesis this lipid intermediate is translocated across the cell membrane. The translocation (flipping) step of Lipid II was demonstrated to require a specific protein (flippase). Here, we show that the integral membrane protein FtsW, an essential protein of the bacterial division machinery, is a transporter of the lipid-linked peptidoglycan precursors across the cytoplasmic membrane. Using Escherichia coli membrane vesicles we found that transport of Lipid II requires the presence of FtsW, and purified FtsW induced the transbilayer movement of Lipid II in model membranes. This study provides the first biochemical evidence for the involvement of an essential protein in the transport of lipid-linked cell wall precursors across biogenic membranes.","DOI":"10.1038/emboj.2011.61","note":"PMID: 21386816","journalAbbreviation":"EMBO J.","author":[{"family":"Mohammadi","given":"Tamimount"},{"family":"van Dam","given":"Vincent"},{"family":"Sijbrandi","given":"Robert"},{"family":"Vernet","given":"Thierry"},{"family":"Zapun","given":"André"},{"family":"Bouhss","given":"Ahmed"},{"family":"Diepeveen-de Bruin","given":"Marlies"},{"family":"Nguyen-Distèche","given":"Martine"},{"family":"de Kruijff","given":"Ben"},{"family":"Breukink","given":"Eefjan"}],"issued":{"year":2011,"month":4,"day":20},"accessed":{"year":2012,"month":5,"day":14},"page-first":"1425"}}],"schema":"https://github.com/citation-style-language/schema/raw/master/csl-citation.json"}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 xml:space="preserve">(Scheffers and Pinho, 2005; Mohammadi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2011)</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Pr="000D1271">
        <w:rPr>
          <w:rFonts w:ascii="Times New Roman" w:hAnsi="Times New Roman" w:cs="Times New Roman"/>
          <w:color w:val="000000" w:themeColor="text1"/>
          <w:sz w:val="24"/>
          <w:szCs w:val="24"/>
        </w:rPr>
        <w:t xml:space="preserve">The example here shows peptidoglycan assembly in a Gram-negative </w:t>
      </w:r>
      <w:proofErr w:type="gramStart"/>
      <w:r w:rsidRPr="000D1271">
        <w:rPr>
          <w:rFonts w:ascii="Times New Roman" w:hAnsi="Times New Roman" w:cs="Times New Roman"/>
          <w:color w:val="000000" w:themeColor="text1"/>
          <w:sz w:val="24"/>
          <w:szCs w:val="24"/>
        </w:rPr>
        <w:t>organism,</w:t>
      </w:r>
      <w:proofErr w:type="gramEnd"/>
      <w:r w:rsidRPr="000D1271">
        <w:rPr>
          <w:rFonts w:ascii="Times New Roman" w:hAnsi="Times New Roman" w:cs="Times New Roman"/>
          <w:color w:val="000000" w:themeColor="text1"/>
          <w:sz w:val="24"/>
          <w:szCs w:val="24"/>
        </w:rPr>
        <w:t xml:space="preserve"> however the process is essentially the same for Gram-positive bacteria, ex</w:t>
      </w:r>
      <w:r>
        <w:rPr>
          <w:rFonts w:ascii="Times New Roman" w:hAnsi="Times New Roman" w:cs="Times New Roman"/>
          <w:color w:val="000000" w:themeColor="text1"/>
          <w:sz w:val="24"/>
          <w:szCs w:val="24"/>
        </w:rPr>
        <w:t>cep</w:t>
      </w:r>
      <w:r w:rsidRPr="000D1271">
        <w:rPr>
          <w:rFonts w:ascii="Times New Roman" w:hAnsi="Times New Roman" w:cs="Times New Roman"/>
          <w:color w:val="000000" w:themeColor="text1"/>
          <w:sz w:val="24"/>
          <w:szCs w:val="24"/>
        </w:rPr>
        <w:t xml:space="preserve">t that the sacculus is not anchored to an outer membrane. Lpp; </w:t>
      </w:r>
      <w:proofErr w:type="gramStart"/>
      <w:r w:rsidRPr="000D1271">
        <w:rPr>
          <w:rFonts w:ascii="Times New Roman" w:hAnsi="Times New Roman" w:cs="Times New Roman"/>
          <w:color w:val="000000" w:themeColor="text1"/>
          <w:sz w:val="24"/>
          <w:szCs w:val="24"/>
        </w:rPr>
        <w:t>Brauns</w:t>
      </w:r>
      <w:proofErr w:type="gramEnd"/>
      <w:r w:rsidRPr="000D1271">
        <w:rPr>
          <w:rFonts w:ascii="Times New Roman" w:hAnsi="Times New Roman" w:cs="Times New Roman"/>
          <w:color w:val="000000" w:themeColor="text1"/>
          <w:sz w:val="24"/>
          <w:szCs w:val="24"/>
        </w:rPr>
        <w:t xml:space="preserve"> lipoprotein. Adapted from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{"citationID":"1e71k21d8b","properties":{"formattedCitation":"(Typas et al., 2012)","plainCitation":"(Typas et al., 2012)"},"citationItems":[{"id":317,"uris":["http://zotero.org/users/944474/items/JJ7BJ4H6"],"uri":["http://zotero.org/users/944474/items/JJ7BJ4H6"],"itemData":{"id":317,"type":"article-journal","title":"From the regulation of peptidoglycan synthesis to bacterial growth and morphology","container-title":"Nature reviews. Microbiology","page":"123-136","volume":"10","issue":"2","abstract":"How bacteria grow and divide while retaining a defined shape is a fundamental question in microbiology, but technological advances are now driving a new understanding of how the shape-maintaining bacterial peptidoglycan sacculus grows. In this Review, we highlight the relationship between peptidoglycan synthesis complexes and cytoskeletal elements, as well as recent evidence that peptidoglycan growth is regulated from outside the sacculus in Gram-negative bacteria. We also discuss how growth of the sacculus is sensitive to mechanical force and nutritional status, and describe the roles of peptidoglycan hydrolases in generating cell shape and of D-amino acids in sacculus remodelling.","DOI":"10.1038/nrmicro2677","note":"PMID: 22203377","journalAbbreviation":"Nat. Rev. Microbiol.","author":[{"family":"Typas","given":"Athanasios"},{"family":"Banzhaf","given":"Manuel"},{"family":"Gross","given":"Carol A"},{"family":"Vollmer","given":"Waldemar"}],"issued":{"year":2012,"month":2},"accessed":{"year":2012,"month":5,"day":30},"page-first":"123"}}],"schema":"https://github.com/citation-style-language/schema/raw/master/csl-citation.json"}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 xml:space="preserve">(Typas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2012)</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w:t>
      </w:r>
      <w:r>
        <w:rPr>
          <w:rFonts w:ascii="Times New Roman" w:hAnsi="Times New Roman" w:cs="Times New Roman"/>
          <w:sz w:val="24"/>
          <w:szCs w:val="24"/>
        </w:rPr>
        <w:br w:type="page"/>
      </w:r>
    </w:p>
    <w:p w:rsidR="00BC7652" w:rsidRDefault="00BC7652" w:rsidP="00BC7652">
      <w:pPr>
        <w:spacing w:line="480" w:lineRule="auto"/>
        <w:jc w:val="both"/>
        <w:rPr>
          <w:rFonts w:ascii="Times New Roman" w:hAnsi="Times New Roman" w:cs="Times New Roman"/>
          <w:sz w:val="24"/>
          <w:szCs w:val="24"/>
        </w:rPr>
      </w:pPr>
      <w:r w:rsidRPr="000D1271">
        <w:rPr>
          <w:rFonts w:ascii="Times New Roman" w:hAnsi="Times New Roman" w:cs="Times New Roman"/>
          <w:color w:val="000000" w:themeColor="text1"/>
          <w:sz w:val="24"/>
          <w:szCs w:val="24"/>
        </w:rPr>
        <w:lastRenderedPageBreak/>
        <w:t>anchored Mur</w:t>
      </w:r>
      <w:r w:rsidRPr="000D1271">
        <w:rPr>
          <w:rFonts w:ascii="Times New Roman" w:hAnsi="Times New Roman" w:cs="Times New Roman"/>
          <w:i/>
          <w:color w:val="000000" w:themeColor="text1"/>
          <w:sz w:val="24"/>
          <w:szCs w:val="24"/>
        </w:rPr>
        <w:t>N</w:t>
      </w:r>
      <w:r w:rsidRPr="000D1271">
        <w:rPr>
          <w:rFonts w:ascii="Times New Roman" w:hAnsi="Times New Roman" w:cs="Times New Roman"/>
          <w:color w:val="000000" w:themeColor="text1"/>
          <w:sz w:val="24"/>
          <w:szCs w:val="24"/>
        </w:rPr>
        <w:t xml:space="preserve">Ac residue at the reducing end of the growing glycan strand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{"citationID":"l7ldpo0hg","properties":{"formattedCitation":"(Ward and Perkins, 1973; Fuchs-Cleveland and Gilvarg, 1976)","plainCitation":"(Ward and Perkins, 1973; Fuchs-Cleveland and Gilvarg, 1976)"},"citationItems":[{"id":204,"uris":["http://zotero.org/users/944474/items/B88XNHWQ"],"uri":["http://zotero.org/users/944474/items/B88XNHWQ"],"itemData":{"id":204,"type":"article-journal","title":"The direction of glycan synthesis in a bacterial peptidoglycan","container-title":"The Biochemical journal","page":"721-728","volume":"135","issue":"4","abstract":"A cell-free membrane preparation from a poorly lytic mutant of Bacillus licheniformis was used to synthesize radioactive peptidoglycan. The product was apparently un-cross-linked. When UDP-N-acetyl[(14)C]glucosamine was used and the final peptidoglycan subjected to Smith degradation, no radioactive glycerol was found. On the other hand, when peptidoglycan labelled with meso-diamino[(14)C]pimelic acid was first hydrolysed in 0.1m-HCl at 60 degrees C for 2h and then subjected to alkaline conditions, radioactive lactyl-peptides were eliminated. The proportion of radioactive lactyl-peptide decreased with increasing time of incorporation. It is concluded that the glycan chains grow by extension at their reducing ends while remaining attached by some linkage labile to mild acid, such as a glycosyl link to undecaprenol pyrophosphate.","note":"PMID: 4778270","journalAbbreviation":"Biochem. J.","author":[{"family":"Ward","given":"J B"},{"family":"Perkins","given":"H R"}],"issued":{"year":1973,"month":12},"accessed":{"year":2012,"month":5,"day":14},"page-first":"721"}},{"id":203,"uris":["http://zotero.org/users/944474/items/JNI8AVMK"],"uri":["http://zotero.org/users/944474/items/JNI8AVMK"],"itemData":{"id":203,"type":"article-journal","title":"Oligomeric intermediate in peptidoglycan biosynthesis in Bacillus megaterium","container-title":"Proceedings of the National Academy of Sciences of the United States of America","page":"4200-4204","volume":"73","issue":"11","abstract":"An oligomeric intermediate in the biosynthetic pathway of peptidoglycan was isolated from B. megaterium. The oligomer has been identified as [disaccharide(pentapeptide)]12 pyrophosphoryl undecaprenol.","note":"PMID: 825860","journalAbbreviation":"Proc. Natl. Acad. Sci. U.S.A.","author":[{"family":"Fuchs-Cleveland","given":"E"},{"family":"Gilvarg","given":"C"}],"issued":{"year":1976,"month":11},"accessed":{"year":2012,"month":5,"day":14},"page-first":"4200"}}],"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(Ward and Perkins, 1973; Fuchs-Cleveland and Gilvarg, 1976)</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 U</w:t>
      </w:r>
      <w:r>
        <w:rPr>
          <w:rFonts w:ascii="Times New Roman" w:hAnsi="Times New Roman" w:cs="Times New Roman"/>
          <w:color w:val="000000" w:themeColor="text1"/>
          <w:sz w:val="24"/>
          <w:szCs w:val="24"/>
        </w:rPr>
        <w:t>ndecaprenol</w:t>
      </w:r>
      <w:r w:rsidRPr="000D1271">
        <w:rPr>
          <w:rFonts w:ascii="Times New Roman" w:hAnsi="Times New Roman" w:cs="Times New Roman"/>
          <w:color w:val="000000" w:themeColor="text1"/>
          <w:sz w:val="24"/>
          <w:szCs w:val="24"/>
        </w:rPr>
        <w:t xml:space="preserve"> is released</w:t>
      </w:r>
      <w:r>
        <w:rPr>
          <w:rFonts w:ascii="Times New Roman" w:hAnsi="Times New Roman" w:cs="Times New Roman"/>
          <w:sz w:val="24"/>
          <w:szCs w:val="24"/>
        </w:rPr>
        <w:t xml:space="preserve"> from the terminal reducing Mur</w:t>
      </w:r>
      <w:r w:rsidRPr="004C2CEB">
        <w:rPr>
          <w:rFonts w:ascii="Times New Roman" w:hAnsi="Times New Roman" w:cs="Times New Roman"/>
          <w:i/>
          <w:sz w:val="24"/>
          <w:szCs w:val="24"/>
        </w:rPr>
        <w:t>N</w:t>
      </w:r>
      <w:r>
        <w:rPr>
          <w:rFonts w:ascii="Times New Roman" w:hAnsi="Times New Roman" w:cs="Times New Roman"/>
          <w:sz w:val="24"/>
          <w:szCs w:val="24"/>
        </w:rPr>
        <w:t xml:space="preserve">Ac during formation of the glycosidic bond, and is subsequently dephosphorylated, releasing the bactoprenol lipid anchor which is recycled for further rounds of synthesis. </w:t>
      </w:r>
    </w:p>
    <w:p w:rsidR="00BC7652" w:rsidRPr="000214E1" w:rsidRDefault="00BC7652" w:rsidP="00BC7652">
      <w:pPr>
        <w:spacing w:line="48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Transpeptidation occurs by hydrolysis of the terminal </w:t>
      </w:r>
      <w:r w:rsidRPr="00810C45">
        <w:rPr>
          <w:rFonts w:ascii="Times New Roman" w:hAnsi="Times New Roman" w:cs="Times New Roman"/>
          <w:sz w:val="16"/>
          <w:szCs w:val="16"/>
        </w:rPr>
        <w:t>D</w:t>
      </w:r>
      <w:r>
        <w:rPr>
          <w:rFonts w:ascii="Times New Roman" w:hAnsi="Times New Roman" w:cs="Times New Roman"/>
          <w:sz w:val="24"/>
          <w:szCs w:val="24"/>
        </w:rPr>
        <w:t xml:space="preserve">-alanine of the pentapeptide. The donor tetrapeptide </w:t>
      </w:r>
      <w:r w:rsidRPr="00810C45">
        <w:rPr>
          <w:rFonts w:ascii="Times New Roman" w:hAnsi="Times New Roman" w:cs="Times New Roman"/>
          <w:sz w:val="16"/>
          <w:szCs w:val="16"/>
        </w:rPr>
        <w:t>D</w:t>
      </w:r>
      <w:r>
        <w:rPr>
          <w:rFonts w:ascii="Times New Roman" w:hAnsi="Times New Roman" w:cs="Times New Roman"/>
          <w:sz w:val="24"/>
          <w:szCs w:val="24"/>
        </w:rPr>
        <w:t xml:space="preserve">-alanine is then cross-linked to an acceptor peptide, which is either the ε-amino group of the position three dibasic amino acid, or the N-terminus of a </w:t>
      </w:r>
      <w:r w:rsidRPr="000D1271">
        <w:rPr>
          <w:rFonts w:ascii="Times New Roman" w:hAnsi="Times New Roman" w:cs="Times New Roman"/>
          <w:color w:val="000000" w:themeColor="text1"/>
          <w:sz w:val="24"/>
          <w:szCs w:val="24"/>
        </w:rPr>
        <w:t>peptide interbridge (Figure 1.4</w:t>
      </w:r>
      <w:r>
        <w:rPr>
          <w:rFonts w:ascii="Times New Roman" w:hAnsi="Times New Roman" w:cs="Times New Roman"/>
          <w:color w:val="000000" w:themeColor="text1"/>
          <w:sz w:val="24"/>
          <w:szCs w:val="24"/>
        </w:rPr>
        <w:t>;</w:t>
      </w:r>
      <w:r w:rsidRPr="000D1271">
        <w:rPr>
          <w:rFonts w:ascii="Times New Roman" w:hAnsi="Times New Roman" w:cs="Times New Roman"/>
          <w:color w:val="000000" w:themeColor="text1"/>
          <w:sz w:val="24"/>
          <w:szCs w:val="24"/>
        </w:rPr>
        <w:t xml:space="preserve">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{"citationID":"ETUS4fJd","properties":{"formattedCitation":"(Typas et al., 2012)","plainCitation":"(Typas et al., 2012)"},"citationItems":[{"id":317,"uris":["http://zotero.org/users/944474/items/JJ7BJ4H6"],"uri":["http://zotero.org/users/944474/items/JJ7BJ4H6"],"itemData":{"id":317,"type":"article-journal","title":"From the regulation of peptidoglycan synthesis to bacterial growth and morphology","container-title":"Nature reviews. Microbiology","page":"123-136","volume":"10","issue":"2","abstract":"How bacteria grow and divide while retaining a defined shape is a fundamental question in microbiology, but technological advances are now driving a new understanding of how the shape-maintaining bacterial peptidoglycan sacculus grows. In this Review, we highlight the relationship between peptidoglycan synthesis complexes and cytoskeletal elements, as well as recent evidence that peptidoglycan growth is regulated from outside the sacculus in Gram-negative bacteria. We also discuss how growth of the sacculus is sensitive to mechanical force and nutritional status, and describe the roles of peptidoglycan hydrolases in generating cell shape and of D-amino acids in sacculus remodelling.","DOI":"10.1038/nrmicro2677","note":"PMID: 22203377","journalAbbreviation":"Nat. Rev. Microbiol.","author":[{"family":"Typas","given":"Athanasios"},{"family":"Banzhaf","given":"Manuel"},{"family":"Gross","given":"Carol A"},{"family":"Vollmer","given":"Waldemar"}],"issued":{"year":2012,"month":2},"accessed":{"year":2012,"month":5,"day":30},"page-first":"123"}}],"schema":"https://github.com/citation-style-language/schema/raw/master/csl-citation.json"}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 xml:space="preserve">Typas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2012)</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w:t>
      </w:r>
    </w:p>
    <w:p w:rsidR="00BC7652" w:rsidRDefault="00BC7652" w:rsidP="00BC7652">
      <w:pPr>
        <w:tabs>
          <w:tab w:val="left" w:pos="1276"/>
        </w:tabs>
        <w:autoSpaceDE w:val="0"/>
        <w:autoSpaceDN w:val="0"/>
        <w:adjustRightInd w:val="0"/>
        <w:spacing w:before="480" w:after="120" w:line="48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1.4</w:t>
      </w:r>
      <w:r>
        <w:rPr>
          <w:rFonts w:ascii="Times New Roman" w:hAnsi="Times New Roman" w:cs="Times New Roman"/>
          <w:color w:val="000000"/>
          <w:sz w:val="28"/>
          <w:szCs w:val="28"/>
        </w:rPr>
        <w:tab/>
        <w:t>Teichoic acids</w:t>
      </w:r>
    </w:p>
    <w:p w:rsidR="00BC7652" w:rsidRPr="000D1271" w:rsidRDefault="00BC7652" w:rsidP="00BC7652">
      <w:pPr>
        <w:spacing w:before="240" w:after="120" w:line="480" w:lineRule="auto"/>
        <w:jc w:val="both"/>
        <w:rPr>
          <w:rFonts w:ascii="Times New Roman" w:hAnsi="Times New Roman" w:cs="Times New Roman"/>
          <w:color w:val="000000" w:themeColor="text1"/>
          <w:sz w:val="24"/>
          <w:szCs w:val="24"/>
        </w:rPr>
      </w:pPr>
      <w:r w:rsidRPr="000D1271">
        <w:rPr>
          <w:rFonts w:ascii="Times New Roman" w:hAnsi="Times New Roman" w:cs="Times New Roman"/>
          <w:color w:val="000000" w:themeColor="text1"/>
          <w:sz w:val="24"/>
          <w:szCs w:val="24"/>
        </w:rPr>
        <w:t xml:space="preserve">Anionic teichoic acids (TAs) of Gram-positive organisms include the lipoteichoic acids (LTAs) and wall teichoic acids (WTAs). WTA composition varies within and between species and typically comprises glycerol or ribitol phosphate (Figure 1.5A and B;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{"citationID":"189h8u31do","properties":{"formattedCitation":"(Burger and Glaser, 1964; Qian et al., 2006)","plainCitation":"(Burger and Glaser, 1964; Qian et al., 2006)"},"citationItems":[{"id":303,"uris":["http://zotero.org/users/944474/items/ZVXVTTPM"],"uri":["http://zotero.org/users/944474/items/ZVXVTTPM"],"itemData":{"id":303,"type":"article-journal","title":"The synthesis of teichoic acids. I. polyglycerophosphate","container-title":"The Journal of biological chemistry","page":"3168-3177","volume":"239","note":"PMID: 14245357","journalAbbreviation":"J. Biol. Chem.","author":[{"family":"Burger","given":"M M"},{"family":"Glaser","given":"L"}],"issued":{"year":1964,"month":10},"accessed":{"year":2012,"month":5,"day":29},"page-first":"3168"}},{"id":301,"uris":["http://zotero.org/users/944474/items/35UKWITZ"],"uri":["http://zotero.org/users/944474/items/35UKWITZ"],"itemData":{"id":301,"type":"article-journal","title":"Genomic characterization of ribitol teichoic acid synthesis in Staphylococcus aureus: genes, genomic organization and gene duplication","container-title":"BMC genomics","page":"74","volume":"7","abstract":"BACKGROUND\n\nStaphylococcus aureus or MRSA (Methicillin Resistant S. aureus), is an acquired pathogen and the primary cause of nosocomial infections worldwide. In S. aureus, teichoic acid is an essential component of the cell wall, and its biosynthesis is not yet well characterized. Studies in Bacillus subtilis have discovered two different pathways of teichoic acid biosynthesis, in two strains W23 and 168 respectively, namely teichoic acid ribitol (tar) and teichoic acid glycerol (tag). The genes involved in these two pathways are also characterized, tarA, tarB, tarD, tarI, tarJ, tarK, tarL for the tar pathway, and tagA, tagB, tagD, tagE, tagF for the tag pathway. With the genome sequences of several MRSA strains: Mu50, MW2, N315, MRSA252, COL as well as methicillin susceptible strain MSSA476 available, a comparative genomic analysis was performed to characterize teichoic acid biosynthesis in these S. aureus strains.\n\n\nRESULTS\n\nWe identified all S. aureus tar and tag gene orthologs in the selected S. aureus strains which would contribute to teichoic acids sythesis. Based on our identification of genes orthologous to tarI, tarJ, tarL, which are specific to tar pathway in B. subtilis W23, we also concluded that tar is the major teichoic acid biogenesis pathway in S. aureus. Further analyses indicated that the S. aureus tar genes, different from the divergon organization in B. subtilis, are organized into several clusters in cis. Most interesting, compared with genes in B. subtilis tar pathway, the S. aureus tar specific genes (tarI,J,L) are duplicated in all six S. aureus genomes.\n\n\nCONCLUSION\n\nIn the S. aureus strains we analyzed, tar (teichoic acid ribitol) is the main teichoic acid biogenesis pathway. The tar genes are organized into several genomic groups in cis and the genes specific to tar (relative to tag): tarI, tarJ, tarL are duplicated. The genomic organization of the S. aureus tar pathway suggests their regulations are different when compared to B. subtilis tar or tag pathway, which are grouped in two operons in a divergon structure.","DOI":"10.1186/1471-2164-7-74","note":"PMID: 16595020","shortTitle":"Genomic characterization of ribitol teichoic acid synthesis in Staphylococcus aureus","journalAbbreviation":"BMC Genomics","author":[{"family":"Qian","given":"Ziliang"},{"family":"Yin","given":"Yanbin"},{"family":"Zhang","given":"Yong"},{"family":"Lu","given":"Lingyi"},{"family":"Li","given":"Yixue"},{"family":"Jiang","given":"Ying"}],"issued":{"year":2006},"accessed":{"year":2012,"month":5,"day":29},"page-first":"74"}}],"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 xml:space="preserve">Burger and Glaser, 1964; Qian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2006)</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 xml:space="preserve">. The main chain of WTA polymers are 10-40 residues long in </w:t>
      </w:r>
      <w:r w:rsidRPr="000D1271">
        <w:rPr>
          <w:rFonts w:ascii="Times New Roman" w:hAnsi="Times New Roman" w:cs="Times New Roman"/>
          <w:i/>
          <w:color w:val="000000" w:themeColor="text1"/>
          <w:sz w:val="24"/>
          <w:szCs w:val="24"/>
        </w:rPr>
        <w:t xml:space="preserve">S. aureus, </w:t>
      </w:r>
      <w:r w:rsidRPr="000D1271">
        <w:rPr>
          <w:rFonts w:ascii="Times New Roman" w:hAnsi="Times New Roman" w:cs="Times New Roman"/>
          <w:color w:val="000000" w:themeColor="text1"/>
          <w:sz w:val="24"/>
          <w:szCs w:val="24"/>
        </w:rPr>
        <w:t xml:space="preserve">~40 residues in </w:t>
      </w:r>
      <w:r w:rsidRPr="000D1271">
        <w:rPr>
          <w:rFonts w:ascii="Times New Roman" w:hAnsi="Times New Roman" w:cs="Times New Roman"/>
          <w:i/>
          <w:color w:val="000000" w:themeColor="text1"/>
          <w:sz w:val="24"/>
          <w:szCs w:val="24"/>
        </w:rPr>
        <w:t>B. subtilis</w:t>
      </w:r>
      <w:r w:rsidRPr="000D1271">
        <w:rPr>
          <w:rFonts w:ascii="Times New Roman" w:hAnsi="Times New Roman" w:cs="Times New Roman"/>
          <w:color w:val="000000" w:themeColor="text1"/>
          <w:sz w:val="24"/>
          <w:szCs w:val="24"/>
        </w:rPr>
        <w:t xml:space="preserve"> W23 and 45-60 residues in </w:t>
      </w:r>
      <w:r w:rsidRPr="000D1271">
        <w:rPr>
          <w:rFonts w:ascii="Times New Roman" w:hAnsi="Times New Roman" w:cs="Times New Roman"/>
          <w:i/>
          <w:color w:val="000000" w:themeColor="text1"/>
          <w:sz w:val="24"/>
          <w:szCs w:val="24"/>
        </w:rPr>
        <w:t xml:space="preserve">B. subtilis </w:t>
      </w:r>
      <w:r w:rsidRPr="000D1271">
        <w:rPr>
          <w:rFonts w:ascii="Times New Roman" w:hAnsi="Times New Roman" w:cs="Times New Roman"/>
          <w:color w:val="000000" w:themeColor="text1"/>
          <w:sz w:val="24"/>
          <w:szCs w:val="24"/>
        </w:rPr>
        <w:t xml:space="preserve">168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{"citationID":"2islclt6d1","properties":{"formattedCitation":"(Archibald et al., 1993; Foster and Popham, 2002)","plainCitation":"(Archibald et al., 1993; Foster and Popham, 2002)"},"citationItems":[{"id":170,"uris":["http://zotero.org/users/944474/items/BWD8VX7D"],"uri":["http://zotero.org/users/944474/items/BWD8VX7D"],"itemData":{"id":170,"type":"chapter","title":"Cell wall structure, synthesis and turnover","container-title":"Bacillus subtilis and other gram-positive bacteria : biochemistry, physiology, and molecular genetics","publisher":"American Society for Microbiology","publisher-place":"Washington, D.C.","page":"381-410","event-place":"Washington, D.C.","ISBN":"1555810535 9781555810535","language":"English","editor":[{"family":"Sonenshein","given":"A. L"},{"family":"Hoch","given":"James A"},{"family":"Losick","given":"Richard"}],"author":[{"family":"Archibald","given":"A. R"},{"family":"Hancock","given":"I. C"},{"family":"Harwood","given":"C. R"}],"issued":{"year":1993},"page-first":"381"}},{"id":318,"uris":["http://zotero.org/users/944474/items/R95BFGCK"],"uri":["http://zotero.org/users/944474/items/R95BFGCK"],"itemData":{"id":318,"type":"chapter","title":"Structure and synthesis of cell wall, spore cortex, teichoic acids, S-layers, and capsules.","container-title":"Bacillus subtilis and its closest relatives: from genes to cells","publisher":"ASM Press","publisher-place":"Washington, D.C.","page":"21-41","event-place":"Washington, D.C.","ISBN":"1555812058 9781555812058","language":"English","editor":[{"family":"Sonenshein","given":"A. L"},{"family":"Hoch","given":"James A"},{"family":"Losick","given":"Richard"}],"author":[{"family":"Foster","given":"S. J"},{"family":"Popham","given":"D. L"}],"issued":{"year":2002},"page-first":"21"}}],"schema":"https://github.com/citation-style-language/schema/raw/master/csl-citation.json"}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 xml:space="preserve">(Archibald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1993; Foster and Popham, 2002)</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i/>
          <w:color w:val="000000" w:themeColor="text1"/>
          <w:sz w:val="24"/>
          <w:szCs w:val="24"/>
        </w:rPr>
        <w:t xml:space="preserve">. </w:t>
      </w:r>
      <w:r w:rsidRPr="000D1271">
        <w:rPr>
          <w:rFonts w:ascii="Times New Roman" w:hAnsi="Times New Roman" w:cs="Times New Roman"/>
          <w:color w:val="000000" w:themeColor="text1"/>
          <w:sz w:val="24"/>
          <w:szCs w:val="24"/>
        </w:rPr>
        <w:t xml:space="preserve">In </w:t>
      </w:r>
      <w:r w:rsidRPr="000D1271">
        <w:rPr>
          <w:rFonts w:ascii="Times New Roman" w:hAnsi="Times New Roman" w:cs="Times New Roman"/>
          <w:i/>
          <w:color w:val="000000" w:themeColor="text1"/>
          <w:sz w:val="24"/>
          <w:szCs w:val="24"/>
        </w:rPr>
        <w:t xml:space="preserve">B. subtilis </w:t>
      </w:r>
      <w:r w:rsidRPr="000D1271">
        <w:rPr>
          <w:rFonts w:ascii="Times New Roman" w:hAnsi="Times New Roman" w:cs="Times New Roman"/>
          <w:color w:val="000000" w:themeColor="text1"/>
          <w:sz w:val="24"/>
          <w:szCs w:val="24"/>
        </w:rPr>
        <w:t>WTAs are the major class of anionic polymer, accounting for 70-90% of the TA content, and are covalently linked to the peptidoglycan via a phosphodiester linkage to Mur</w:t>
      </w:r>
      <w:r w:rsidRPr="000D1271">
        <w:rPr>
          <w:rFonts w:ascii="Times New Roman" w:hAnsi="Times New Roman" w:cs="Times New Roman"/>
          <w:i/>
          <w:color w:val="000000" w:themeColor="text1"/>
          <w:sz w:val="24"/>
          <w:szCs w:val="24"/>
        </w:rPr>
        <w:t>N</w:t>
      </w:r>
      <w:r w:rsidRPr="000D1271">
        <w:rPr>
          <w:rFonts w:ascii="Times New Roman" w:hAnsi="Times New Roman" w:cs="Times New Roman"/>
          <w:color w:val="000000" w:themeColor="text1"/>
          <w:sz w:val="24"/>
          <w:szCs w:val="24"/>
        </w:rPr>
        <w:t xml:space="preserve">Ac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{"citationID":"269u7u2m7u","properties":{"formattedCitation":"(Swoboda et al., 2010)","plainCitation":"(Swoboda et al., 2010)"},"citationItems":[{"id":181,"uris":["http://zotero.org/users/944474/items/Q9FJQH6C"],"uri":["http://zotero.org/users/944474/items/Q9FJQH6C"],"itemData":{"id":181,"type":"article-journal","title":"Wall teichoic acid function, biosynthesis, and inhibition","container-title":"Chembiochem: a European journal of chemical biology","page":"35-45","volume":"11","issue":"1","DOI":"10.1002/cbic.200900557","note":"PMID: 19899094","journalAbbreviation":"Chembiochem","author":[{"family":"Swoboda","given":"Jonathan G"},{"family":"Campbell","given":"Jennifer"},{"family":"Meredith","given":"Timothy C"},{"family":"Walker","given":"Suzanne"}],"issued":{"year":2010,"month":1,"day":4},"accessed":{"year":2012,"month":5,"day":10},"page-first":"35"}}],"schema":"https://github.com/citation-style-language/schema/raw/master/csl-citation.json"}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 xml:space="preserve">(Swoboda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2010)</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 xml:space="preserve">. LTAs generally comprise a simple sugar-phosphate polymer (typically glycerol phosphate) tethered to the cytoplasmic membrane via a glycolipid anchor (Figure 1.5C). More complex LTA polymers are present in </w:t>
      </w:r>
      <w:r w:rsidRPr="000D1271">
        <w:rPr>
          <w:rFonts w:ascii="Times New Roman" w:hAnsi="Times New Roman" w:cs="Times New Roman"/>
          <w:i/>
          <w:color w:val="000000" w:themeColor="text1"/>
          <w:sz w:val="24"/>
          <w:szCs w:val="24"/>
        </w:rPr>
        <w:t>Lactococcus garviae</w:t>
      </w:r>
      <w:r w:rsidRPr="000D1271">
        <w:rPr>
          <w:rFonts w:ascii="Times New Roman" w:hAnsi="Times New Roman" w:cs="Times New Roman"/>
          <w:color w:val="000000" w:themeColor="text1"/>
          <w:sz w:val="24"/>
          <w:szCs w:val="24"/>
        </w:rPr>
        <w:t>,</w:t>
      </w:r>
      <w:r w:rsidRPr="000D1271">
        <w:rPr>
          <w:rFonts w:ascii="Times New Roman" w:hAnsi="Times New Roman" w:cs="Times New Roman"/>
          <w:i/>
          <w:color w:val="000000" w:themeColor="text1"/>
          <w:sz w:val="24"/>
          <w:szCs w:val="24"/>
        </w:rPr>
        <w:t xml:space="preserve"> Clostridium innocuum</w:t>
      </w:r>
      <w:r w:rsidRPr="000D1271">
        <w:rPr>
          <w:rFonts w:ascii="Times New Roman" w:hAnsi="Times New Roman" w:cs="Times New Roman"/>
          <w:color w:val="000000" w:themeColor="text1"/>
          <w:sz w:val="24"/>
          <w:szCs w:val="24"/>
        </w:rPr>
        <w:t xml:space="preserve"> and </w:t>
      </w:r>
      <w:r w:rsidRPr="000D1271">
        <w:rPr>
          <w:rFonts w:ascii="Times New Roman" w:hAnsi="Times New Roman" w:cs="Times New Roman"/>
          <w:i/>
          <w:color w:val="000000" w:themeColor="text1"/>
          <w:sz w:val="24"/>
          <w:szCs w:val="24"/>
        </w:rPr>
        <w:t xml:space="preserve">Streptococcus pneumoniae </w:t>
      </w:r>
      <w:r w:rsidRPr="000D1271">
        <w:rPr>
          <w:rFonts w:ascii="Times New Roman" w:hAnsi="Times New Roman" w:cs="Times New Roman"/>
          <w:i/>
          <w:color w:val="000000" w:themeColor="text1"/>
          <w:sz w:val="24"/>
          <w:szCs w:val="24"/>
        </w:rPr>
        <w:fldChar w:fldCharType="begin"/>
      </w:r>
      <w:r w:rsidRPr="000D1271">
        <w:rPr>
          <w:rFonts w:ascii="Times New Roman" w:hAnsi="Times New Roman" w:cs="Times New Roman"/>
          <w:i/>
          <w:color w:val="000000" w:themeColor="text1"/>
          <w:sz w:val="24"/>
          <w:szCs w:val="24"/>
        </w:rPr>
        <w:instrText xml:space="preserve"> ADDIN ZOTERO_ITEM CSL_CITATION {"citationID":"4jmck3j6m","properties":{"formattedCitation":"{\\rtf (Reichmann and Gr\\uc0\\u252{}ndling, 2011)}","plainCitation":"(Reichmann and Gründling, 2011)"},"citationItems":[{"id":182,"uris":["http://zotero.org/users/944474/items/XHRD3XJR"],"uri":["http://zotero.org/users/944474/items/XHRD3XJR"],"itemData":{"id":182,"type":"article-journal","title":"Location, synthesis and function of glycolipids and polyglycerolphosphate lipoteichoic acid in Gram-positive bacteria of the phylum Firmicutes","container-title":"FEMS microbiology letters","page":"97-105","volume":"319","issue":"2","abstract":"Lipoteichoic acid (LTA) is a zwitterionic polymer found in the cell wall of many Gram-positive bacteria. A widespread and one of the best-studied forms of LTA consists of a polyglycerolphosphate (PGP) chain that is tethered to the membrane via a glycolipid anchor. In this review, we will summarize our current understanding of the enzymes involved in glycolipid and PGP backbone synthesis in a variety of different Gram-positive bacteria. The recent identification of key LTA synthesis proteins allowed the construction and analysis of mutant strains with defined defects in glycolipid or backbone synthesis. Using these strains, new information on the functions of LTA for bacterial growth, physiology and during developmental processes was gained and will be discussed. Furthermore, we will reintroduce the idea that LTA remains in close proximity to the bacterial membrane for its function during bacterial growth rather than as a surface-exposed structure.","DOI":"10.1111/j.1574-6968.2011.02260.x","note":"PMID: 21388439","journalAbbreviation":"FEMS Microbiol. Lett.","author":[{"family":"Reichmann","given":"Nathalie T"},{"family":"Gründling","given":"Angelika"}],"issued":{"year":2011,"month":6},"accessed":{"year":2012,"month":5,"day":10},"page-first":"97"}}],"schema":"https://github.com/citation-style-language/schema/raw/master/csl-citation.json"} </w:instrText>
      </w:r>
      <w:r w:rsidRPr="000D1271">
        <w:rPr>
          <w:rFonts w:ascii="Times New Roman" w:hAnsi="Times New Roman" w:cs="Times New Roman"/>
          <w:i/>
          <w:color w:val="000000" w:themeColor="text1"/>
          <w:sz w:val="24"/>
          <w:szCs w:val="24"/>
        </w:rPr>
        <w:fldChar w:fldCharType="separate"/>
      </w:r>
      <w:r w:rsidRPr="000D1271">
        <w:rPr>
          <w:rFonts w:ascii="Times New Roman" w:hAnsi="Times New Roman" w:cs="Times New Roman"/>
          <w:color w:val="000000" w:themeColor="text1"/>
          <w:sz w:val="24"/>
          <w:szCs w:val="24"/>
        </w:rPr>
        <w:t>(Reichmann and Gründling, 2011)</w:t>
      </w:r>
      <w:r w:rsidRPr="000D1271">
        <w:rPr>
          <w:rFonts w:ascii="Times New Roman" w:hAnsi="Times New Roman" w:cs="Times New Roman"/>
          <w:i/>
          <w:color w:val="000000" w:themeColor="text1"/>
          <w:sz w:val="24"/>
          <w:szCs w:val="24"/>
        </w:rPr>
        <w:fldChar w:fldCharType="end"/>
      </w:r>
      <w:r w:rsidRPr="000D1271">
        <w:rPr>
          <w:rFonts w:ascii="Times New Roman" w:hAnsi="Times New Roman" w:cs="Times New Roman"/>
          <w:color w:val="000000" w:themeColor="text1"/>
          <w:sz w:val="24"/>
          <w:szCs w:val="24"/>
        </w:rPr>
        <w:t xml:space="preserve">. Pneumococci are somewhat unusual, as the WTA and LTA chain structures are </w:t>
      </w:r>
      <w:r w:rsidRPr="000D1271">
        <w:rPr>
          <w:rFonts w:ascii="Times New Roman" w:hAnsi="Times New Roman" w:cs="Times New Roman"/>
          <w:color w:val="000000" w:themeColor="text1"/>
          <w:sz w:val="24"/>
          <w:szCs w:val="24"/>
        </w:rPr>
        <w:lastRenderedPageBreak/>
        <w:t xml:space="preserve">identical and decorated with phosphoryl choline residues (Figure 1.5D;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{"citationID":"2jmpv5q4ke","properties":{"formattedCitation":"(Fischer et al., 1993)","plainCitation":"(Fischer et al., 1993)"},"citationItems":[{"id":644,"uris":["http://zotero.org/users/944474/items/NDPQXXRP"],"uri":["http://zotero.org/users/944474/items/NDPQXXRP"],"itemData":{"id":644,"type":"article-journal","title":"Teichoic acid and lipoteichoic acid of Streptococcus pneumoniae possess identical chain structures. A reinvestigation of teichoid acid (C polysaccharide)","container-title":"European journal of biochemistry / FEBS","page":"851-857","volume":"215","issue":"3","abstract":"Teichoic acid (C polysaccharide) was extracted and purified from Streptococcus pneumoniae R6 with standard procedures except that lipoteichoic acid was extracted first. The dephosphorylated repeating unit was isolated after hydrolysis with 48% (by mass) HF, the bis(phosphocholine)-containing repeating unit was isolated by alkali hydrolysis, anion-exchange chromatography and phosphomonoester cleavage. On the basis of compositional analysis, fast-atom-bombardment mass spectrometry and NMR spectroscopy the following structure is proposed: [formula: see text] where AATGal is 2-acetamido-4-amino-2,4,6-trideoxy-D-galactose. The repeating units are linked to each other by phosphodiester bonds between O5 of the ribitol and O6 of the glucopyranosyl residue of adjacent units. This chain structure is identical with that previously established for pneumococcal lipoteichoic acid [Behr, T., Fischer, W., Peter-Katalinić, J. &amp; Egge, H. (1992) Eur. J. Biochem. 207, 1063-1075]. This represents a unique situation because in other Gram-positive bacteria teichoic and lipoteichoic acids are structurally unrelated.","note":"PMID: 8354290","journalAbbreviation":"Eur. J. Biochem.","author":[{"family":"Fischer","given":"W"},{"family":"Behr","given":"T"},{"family":"Hartmann","given":"R"},{"family":"Peter-Katalinić","given":"J"},{"family":"Egge","given":"H"}],"issued":{"year":1993,"month":8,"day":1},"accessed":{"year":2012,"month":6,"day":28},"page-first":"851"}}],"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 xml:space="preserve">Fischer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1993)</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w:t>
      </w:r>
    </w:p>
    <w:p w:rsidR="00BC7652" w:rsidRDefault="00BC7652" w:rsidP="00BC7652">
      <w:pPr>
        <w:spacing w:before="120" w:line="480" w:lineRule="auto"/>
        <w:jc w:val="both"/>
        <w:rPr>
          <w:rFonts w:ascii="Times New Roman" w:hAnsi="Times New Roman" w:cs="Times New Roman"/>
          <w:sz w:val="24"/>
          <w:szCs w:val="24"/>
        </w:rPr>
      </w:pPr>
      <w:r>
        <w:rPr>
          <w:rFonts w:ascii="Times New Roman" w:hAnsi="Times New Roman" w:cs="Times New Roman"/>
          <w:sz w:val="24"/>
          <w:szCs w:val="24"/>
        </w:rPr>
        <w:t xml:space="preserve">Teichuronic acids have been identified in </w:t>
      </w:r>
      <w:r>
        <w:rPr>
          <w:rFonts w:ascii="Times New Roman" w:hAnsi="Times New Roman" w:cs="Times New Roman"/>
          <w:i/>
          <w:sz w:val="24"/>
          <w:szCs w:val="24"/>
        </w:rPr>
        <w:t>B. subtilis</w:t>
      </w:r>
      <w:r>
        <w:rPr>
          <w:rFonts w:ascii="Times New Roman" w:hAnsi="Times New Roman" w:cs="Times New Roman"/>
          <w:sz w:val="24"/>
          <w:szCs w:val="24"/>
        </w:rPr>
        <w:t xml:space="preserve"> grown under phosphate limited conditions, as well as </w:t>
      </w:r>
      <w:r w:rsidRPr="006078B8">
        <w:rPr>
          <w:rFonts w:ascii="Times New Roman" w:hAnsi="Times New Roman" w:cs="Times New Roman"/>
          <w:i/>
          <w:sz w:val="24"/>
          <w:szCs w:val="24"/>
        </w:rPr>
        <w:t xml:space="preserve">Bacillus </w:t>
      </w:r>
      <w:r w:rsidRPr="000D1271">
        <w:rPr>
          <w:rFonts w:ascii="Times New Roman" w:hAnsi="Times New Roman" w:cs="Times New Roman"/>
          <w:i/>
          <w:color w:val="000000" w:themeColor="text1"/>
          <w:sz w:val="24"/>
          <w:szCs w:val="24"/>
        </w:rPr>
        <w:t>lichenformis</w:t>
      </w:r>
      <w:r w:rsidRPr="000D1271">
        <w:rPr>
          <w:rFonts w:ascii="Times New Roman" w:hAnsi="Times New Roman" w:cs="Times New Roman"/>
          <w:color w:val="000000" w:themeColor="text1"/>
          <w:sz w:val="24"/>
          <w:szCs w:val="24"/>
        </w:rPr>
        <w:t xml:space="preserve"> and </w:t>
      </w:r>
      <w:r w:rsidRPr="000D1271">
        <w:rPr>
          <w:rFonts w:ascii="Times New Roman" w:hAnsi="Times New Roman" w:cs="Times New Roman"/>
          <w:i/>
          <w:color w:val="000000" w:themeColor="text1"/>
          <w:sz w:val="24"/>
          <w:szCs w:val="24"/>
        </w:rPr>
        <w:t>Micrococcus luteus</w:t>
      </w:r>
      <w:r w:rsidRPr="000D1271">
        <w:rPr>
          <w:rFonts w:ascii="Times New Roman" w:hAnsi="Times New Roman" w:cs="Times New Roman"/>
          <w:color w:val="000000" w:themeColor="text1"/>
          <w:sz w:val="24"/>
          <w:szCs w:val="24"/>
        </w:rPr>
        <w:t xml:space="preserve">. In </w:t>
      </w:r>
      <w:r w:rsidRPr="000D1271">
        <w:rPr>
          <w:rFonts w:ascii="Times New Roman" w:hAnsi="Times New Roman" w:cs="Times New Roman"/>
          <w:i/>
          <w:color w:val="000000" w:themeColor="text1"/>
          <w:sz w:val="24"/>
          <w:szCs w:val="24"/>
        </w:rPr>
        <w:t xml:space="preserve">B. subtilis, </w:t>
      </w:r>
      <w:r w:rsidRPr="000D1271">
        <w:rPr>
          <w:rFonts w:ascii="Times New Roman" w:hAnsi="Times New Roman" w:cs="Times New Roman"/>
          <w:color w:val="000000" w:themeColor="text1"/>
          <w:sz w:val="24"/>
          <w:szCs w:val="24"/>
        </w:rPr>
        <w:t xml:space="preserve">teichuronic acids are a polymer of glucuronic acid and </w:t>
      </w:r>
      <w:r w:rsidRPr="000D1271">
        <w:rPr>
          <w:rFonts w:ascii="Times New Roman" w:hAnsi="Times New Roman" w:cs="Times New Roman"/>
          <w:i/>
          <w:color w:val="000000" w:themeColor="text1"/>
          <w:sz w:val="24"/>
          <w:szCs w:val="24"/>
        </w:rPr>
        <w:t>N</w:t>
      </w:r>
      <w:r w:rsidRPr="000D1271">
        <w:rPr>
          <w:rFonts w:ascii="Times New Roman" w:hAnsi="Times New Roman" w:cs="Times New Roman"/>
          <w:color w:val="000000" w:themeColor="text1"/>
          <w:sz w:val="24"/>
          <w:szCs w:val="24"/>
        </w:rPr>
        <w:t xml:space="preserve">-acetylglucosamine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{"citationID":"30uSJNZR","properties":{"formattedCitation":"(Foster and Popham, 2002)","plainCitation":"(Foster and Popham, 2002)"},"citationItems":[{"id":318,"uris":["http://zotero.org/users/944474/items/R95BFGCK"],"uri":["http://zotero.org/users/944474/items/R95BFGCK"],"itemData":{"id":318,"type":"chapter","title":"Structure and synthesis of cell wall, spore cortex, teichoic acids, S-layers, and capsules.","container-title":"Bacillus subtilis and its closest relatives: from genes to cells","publisher":"ASM Press","publisher-place":"Washington, D.C.","page":"21-41","event-place":"Washington, D.C.","ISBN":"1555812058 9781555812058","language":"English","editor":[{"family":"Sonenshein","given":"A. L"},{"family":"Hoch","given":"James A"},{"family":"Losick","given":"Richard"}],"author":[{"family":"Foster","given":"S. J"},{"family":"Popham","given":"D. L"}],"issued":{"year":2002},"page-first":"21"}}],"schema":"https://github.com/citation-style-language/schema/raw/master/csl-citation.json"}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(Foster and Popham, 2002)</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 xml:space="preserve">. </w:t>
      </w:r>
      <w:r w:rsidRPr="000D1271">
        <w:rPr>
          <w:rFonts w:ascii="Times New Roman" w:hAnsi="Times New Roman" w:cs="Times New Roman"/>
          <w:i/>
          <w:color w:val="000000" w:themeColor="text1"/>
          <w:sz w:val="24"/>
          <w:szCs w:val="24"/>
        </w:rPr>
        <w:t>M. luteus</w:t>
      </w:r>
      <w:r w:rsidRPr="000D1271">
        <w:rPr>
          <w:rFonts w:ascii="Times New Roman" w:hAnsi="Times New Roman" w:cs="Times New Roman"/>
          <w:color w:val="000000" w:themeColor="text1"/>
          <w:sz w:val="24"/>
          <w:szCs w:val="24"/>
        </w:rPr>
        <w:t xml:space="preserve"> teichuronic acids comprise glucose and </w:t>
      </w:r>
      <w:r w:rsidRPr="000D1271">
        <w:rPr>
          <w:rFonts w:ascii="Times New Roman" w:hAnsi="Times New Roman" w:cs="Times New Roman"/>
          <w:i/>
          <w:color w:val="000000" w:themeColor="text1"/>
          <w:sz w:val="24"/>
          <w:szCs w:val="24"/>
        </w:rPr>
        <w:t>N-</w:t>
      </w:r>
      <w:r w:rsidRPr="000D1271">
        <w:rPr>
          <w:rFonts w:ascii="Times New Roman" w:hAnsi="Times New Roman" w:cs="Times New Roman"/>
          <w:color w:val="000000" w:themeColor="text1"/>
          <w:sz w:val="24"/>
          <w:szCs w:val="24"/>
        </w:rPr>
        <w:t xml:space="preserve">acetylmannoaminuronic acid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{"citationID":"rd8et0lm7","properties":{"formattedCitation":"(Archibald et al., 1993)","plainCitation":"(Archibald et al., 1993)"},"citationItems":[{"id":170,"uris":["http://zotero.org/users/944474/items/BWD8VX7D"],"uri":["http://zotero.org/users/944474/items/BWD8VX7D"],"itemData":{"id":170,"type":"chapter","title":"Cell wall structure, synthesis and turnover","container-title":"Bacillus subtilis and other gram-positive bacteria : biochemistry, physiology, and molecular genetics","publisher":"American Society for Microbiology","publisher-place":"Washington, D.C.","page":"381-410","event-place":"Washington, D.C.","ISBN":"1555810535 9781555810535","language":"English","editor":[{"family":"Sonenshein","given":"A. L"},{"family":"Hoch","given":"James A"},{"family":"Losick","given":"Richard"}],"author":[{"family":"Archibald","given":"A. R"},{"family":"Hancock","given":"I. C"},{"family":"Harwood","given":"C. R"}],"issued":{"year":1993},"page-first":"381"}}],"schema":"https://github.com/citation-style-language/schema/raw/master/csl-citation.json"}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 xml:space="preserve">(Archibald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1993)</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w:t>
      </w:r>
    </w:p>
    <w:p w:rsidR="00BC7652" w:rsidRPr="000214E1" w:rsidRDefault="00BC7652" w:rsidP="00BC7652">
      <w:pPr>
        <w:spacing w:line="480" w:lineRule="auto"/>
        <w:jc w:val="both"/>
        <w:rPr>
          <w:rFonts w:ascii="Times New Roman" w:hAnsi="Times New Roman" w:cs="Times New Roman"/>
          <w:color w:val="000000" w:themeColor="text1"/>
          <w:sz w:val="24"/>
          <w:szCs w:val="24"/>
        </w:rPr>
      </w:pPr>
      <w:r w:rsidRPr="000D1271">
        <w:rPr>
          <w:rFonts w:ascii="Times New Roman" w:hAnsi="Times New Roman" w:cs="Times New Roman"/>
          <w:color w:val="000000" w:themeColor="text1"/>
          <w:sz w:val="24"/>
          <w:szCs w:val="24"/>
        </w:rPr>
        <w:t xml:space="preserve">LTA and WTA mutants can be obtained separately, but have severe morphological and growth defects, whilst mutants devoid of both LTA and WTA are non-viable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{"citationID":"6r69oileg","properties":{"formattedCitation":"{\\rtf (D\\uc0\\u8217{}Elia, Millar, et al., 2006; D\\uc0\\u8217{}Elia, Pereira, et al., 2006; Schirner et al., 2009)}","plainCitation":"(D’Elia, Millar, et al., 2006; D’Elia, Pereira, et al., 2006; Schirner et al., 2009)"},"citationItems":[{"id":189,"uris":["http://zotero.org/users/944474/items/DVBAD9TA"],"uri":["http://zotero.org/users/944474/items/DVBAD9TA"],"itemData":{"id":189,"type":"article-journal","title":"Wall teichoic acid polymers are dispensable for cell viability in Bacillus subtilis","container-title":"Journal of bacteriology","page":"8313-8316","volume":"188","issue":"23","abstract":"An extensive literature has established that the synthesis of wall teichoic acid in Bacillus subtilis is essential for cell viability. Paradoxically, we have recently shown that wall teichoic acid biogenesis is dispensable in Staphylococcus aureus (M. A. D'Elia, M. P. Pereira, Y. S. Chung, W. Zhao, A. Chau, T. J. Kenney, M. C. Sulavik, T. A. Black, and E. D. Brown, J. Bacteriol. 188:4183-4189, 2006). A complex pattern of teichoic acid gene dispensability was seen in S. aureus where the first gene (tarO) was dispensable and later acting genes showed an indispensable phenotype. Here we show, for the first time, that wall teichoic acid synthesis is also dispensable in B. subtilis and that a similar gene dispensability pattern is seen where later acting enzymes display an essential phenotype, while the gene tagO, whose product catalyzes the first step in the pathway, could be deleted to yield viable mutants devoid of teichoic acid in the cell wall.","DOI":"10.1128/JB.01336-06","note":"PMID: 17012386","journalAbbreviation":"J. Bacteriol.","author":[{"family":"D'Elia","given":"Michael A"},{"family":"Millar","given":"Kathryn E"},{"family":"Beveridge","given":"Terry J"},{"family":"Brown","given":"Eric D"}],"issued":{"year":2006,"month":12},"accessed":{"year":2012,"month":5,"day":11},"page-first":"8313"}},{"id":190,"uris":["http://zotero.org/users/944474/items/A53JN3T6"],"uri":["http://zotero.org/users/944474/items/A53JN3T6"],"itemData":{"id":190,"type":"article-journal","title":"Lesions in teichoic acid biosynthesis in Staphylococcus aureus lead to a lethal gain of function in the otherwise dispensable pathway","container-title":"Journal of bacteriology","page":"4183-4189","volume":"188","issue":"12","abstract":"An extensive study of teichoic acid biosynthesis in the model organism Bacillus subtilis has established teichoic acid polymers as essential components of the gram-positive cell wall. However, similar studies pertaining to therapeutically relevant organisms, such as Staphylococcus aureus, are scarce. In this study we have carried out a meticulous examination of the dispensability of teichoic acid biosynthetic enzymes in S. aureus. By use of an allelic replacement methodology, we examined all facets of teichoic acid assembly, including intracellular polymer production and export. Using this approach we confirmed that the first-acting enzyme (TarO) was dispensable for growth, in contrast to dispensability studies in B. subtilis. Upon further characterization, we demonstrated that later-acting gene products (TarB, TarD, TarF, TarIJ, and TarH) responsible for polymer formation and export were essential for viability. We resolved this paradox by demonstrating that all of the apparently indispensable genes became dispensable in a tarO null genetic background. This work suggests a lethal gain-of-function mechanism where lesions beyond the initial step in wall teichoic acid biosynthesis render S. aureus nonviable. This discovery poses questions regarding the conventional understanding of essential gene sets, garnered through single-gene knockout experiments in bacteria and higher organisms, and points to a novel drug development strategy targeting late steps in teichoic acid synthesis for the infectious pathogen S. aureus.","DOI":"10.1128/JB.00197-06","note":"PMID: 16740924","journalAbbreviation":"J. Bacteriol.","author":[{"family":"D'Elia","given":"Michael A"},{"family":"Pereira","given":"Mark P"},{"family":"Chung","given":"Yu Seon"},{"family":"Zhao","given":"Wenjun"},{"family":"Chau","given":"Andrew"},{"family":"Kenney","given":"Teresa J"},{"family":"Sulavik","given":"Mark C"},{"family":"Black","given":"Todd A"},{"family":"Brown","given":"Eric D"}],"issued":{"year":2006,"month":6},"accessed":{"year":2012,"month":5,"day":11},"page-first":"4183"}},{"id":188,"uris":["http://zotero.org/users/944474/items/STTGTTUX"],"uri":["http://zotero.org/users/944474/items/STTGTTUX"],"itemData":{"id":188,"type":"article-journal","title":"Distinct and essential morphogenic functions for wall- and lipo-teichoic acids in Bacillus subtilis","container-title":"The EMBO journal","page":"830-842","volume":"28","issue":"7","abstract":"Teichoic acids (TAs) are anionic polymers that constitute a major component of the cell wall in most Gram-positive bacteria. D</w:instrText>
      </w:r>
      <w:r w:rsidRPr="00211798">
        <w:rPr>
          <w:rFonts w:ascii="Times New Roman" w:hAnsi="Times New Roman" w:cs="Times New Roman"/>
          <w:color w:val="000000" w:themeColor="text1"/>
          <w:sz w:val="24"/>
          <w:szCs w:val="24"/>
        </w:rPr>
        <w:instrText xml:space="preserve">espite decades of study, their function has remained unclear. TAs are covalently linked either to the cell wall peptidoglycan (wall TA (WTA)) or to the membrane (lipo-TA (LTA)). We have characterized the key enzyme of LTA synthesis in Bacillus subtilis, LTA synthase (LtaS). We show that LTA is needed for divalent cation homoeostasis and that its absence has severe effects on cell morphogenesis and cell division. Inactivation of both LTA and WTA is lethal and comparison of the individual mutants suggests that they have differentiated roles in elongation (WTA) and division (LTA). B. subtilis has four ltaS paralogues and we show how their roles are partially differentiated. Two paralogues have a redundant role in LTA synthesis during sporulation and their absence gives a novel absolute block in sporulation. The crystal structure of the extracytoplasmic part of LtaS, solved at 2.4-A resolution, reveals a phosphorylated threonine residue, which provides clues about the catalytic mechanism and identifies the active site of the enzyme.","DOI":"10.1038/emboj.2009.25","note":"PMID: 19229300","journalAbbreviation":"EMBO J.","author":[{"family":"Schirner","given":"Kathrin"},{"family":"Marles-Wright","given":"Jon"},{"family":"Lewis","given":"Richard J"},{"family":"Errington","given":"Jeff"}],"issued":{"year":2009,"month":4,"day":8},"accessed":{"year":2012,"month":5,"day":11},"page-first":"830"}}],"schema":"https://github.com/citation-style-language/schema/raw/master/csl-citation.json"}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211798">
        <w:rPr>
          <w:rFonts w:ascii="Times New Roman" w:hAnsi="Times New Roman" w:cs="Times New Roman"/>
          <w:color w:val="000000" w:themeColor="text1"/>
          <w:sz w:val="24"/>
          <w:szCs w:val="24"/>
        </w:rPr>
        <w:t xml:space="preserve">(D’Elia </w:t>
      </w:r>
      <w:r w:rsidRPr="00211798">
        <w:rPr>
          <w:rFonts w:ascii="Times New Roman" w:hAnsi="Times New Roman" w:cs="Times New Roman"/>
          <w:i/>
          <w:color w:val="000000" w:themeColor="text1"/>
          <w:sz w:val="24"/>
          <w:szCs w:val="24"/>
        </w:rPr>
        <w:t>et al</w:t>
      </w:r>
      <w:r w:rsidRPr="00211798">
        <w:rPr>
          <w:rFonts w:ascii="Times New Roman" w:hAnsi="Times New Roman" w:cs="Times New Roman"/>
          <w:color w:val="000000" w:themeColor="text1"/>
          <w:sz w:val="24"/>
          <w:szCs w:val="24"/>
        </w:rPr>
        <w:t xml:space="preserve">., 2006a; 2006b; Schirner </w:t>
      </w:r>
      <w:r w:rsidRPr="00211798">
        <w:rPr>
          <w:rFonts w:ascii="Times New Roman" w:hAnsi="Times New Roman" w:cs="Times New Roman"/>
          <w:i/>
          <w:color w:val="000000" w:themeColor="text1"/>
          <w:sz w:val="24"/>
          <w:szCs w:val="24"/>
        </w:rPr>
        <w:t>et al</w:t>
      </w:r>
      <w:r w:rsidRPr="00211798">
        <w:rPr>
          <w:rFonts w:ascii="Times New Roman" w:hAnsi="Times New Roman" w:cs="Times New Roman"/>
          <w:color w:val="000000" w:themeColor="text1"/>
          <w:sz w:val="24"/>
          <w:szCs w:val="24"/>
        </w:rPr>
        <w:t>., 2009)</w:t>
      </w:r>
      <w:r w:rsidRPr="000D1271">
        <w:rPr>
          <w:rFonts w:ascii="Times New Roman" w:hAnsi="Times New Roman" w:cs="Times New Roman"/>
          <w:color w:val="000000" w:themeColor="text1"/>
          <w:sz w:val="24"/>
          <w:szCs w:val="24"/>
        </w:rPr>
        <w:fldChar w:fldCharType="end"/>
      </w:r>
      <w:r w:rsidRPr="00211798">
        <w:rPr>
          <w:rFonts w:ascii="Times New Roman" w:hAnsi="Times New Roman" w:cs="Times New Roman"/>
          <w:color w:val="000000" w:themeColor="text1"/>
          <w:sz w:val="24"/>
          <w:szCs w:val="24"/>
        </w:rPr>
        <w:t xml:space="preserve">. </w:t>
      </w:r>
      <w:r w:rsidRPr="000D1271">
        <w:rPr>
          <w:rFonts w:ascii="Times New Roman" w:hAnsi="Times New Roman" w:cs="Times New Roman"/>
          <w:color w:val="000000" w:themeColor="text1"/>
          <w:sz w:val="24"/>
          <w:szCs w:val="24"/>
        </w:rPr>
        <w:t xml:space="preserve">This suggests redundancy of an essential function of the TAs, as one class can partially compensate for loss of the other. TAs contribute an overall negative charge of the cell surface due to the abundance of phosphate groups in the polymer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{"citationID":"xsA8NStT","properties":{"formattedCitation":"(Madigan et al., 2002)","plainCitation":"(Madigan et al., 2002)"},"citationItems":[{"id":171,"uris":["http://zotero.org/users/944474/items/TRXXKNTH"],"uri":["http://zotero.org/users/944474/items/TRXXKNTH"],"itemData":{"id":171,"type":"book","title":"Brock biology of microorganisms","publisher":"Prentice Hall/Pearson Education","publisher-place":"Upper Saddle River, NJ","event-place":"Upper Saddle River, NJ","ISBN":"0130662712 9780130662712 0130491470 9780130491473","language":"English","author":[{"family":"Madigan","given":"Michael T"},{"family":"Martinko","given":"John M"},{"family":"Parker","given":"Jack"}],"issued":{"year":2002}}}],"schema":"https://github.com/citation-style-language/schema/raw/master/csl-citation.json"}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 xml:space="preserve">(Madigan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2002)</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 xml:space="preserve">, but exhibit zwitterionic properties when modified with </w:t>
      </w:r>
      <w:r w:rsidRPr="000D1271">
        <w:rPr>
          <w:rFonts w:ascii="Times New Roman" w:hAnsi="Times New Roman" w:cs="Times New Roman"/>
          <w:color w:val="000000" w:themeColor="text1"/>
          <w:sz w:val="16"/>
          <w:szCs w:val="16"/>
        </w:rPr>
        <w:t>D</w:t>
      </w:r>
      <w:r w:rsidRPr="000D1271">
        <w:rPr>
          <w:rFonts w:ascii="Times New Roman" w:hAnsi="Times New Roman" w:cs="Times New Roman"/>
          <w:color w:val="000000" w:themeColor="text1"/>
          <w:sz w:val="24"/>
          <w:szCs w:val="24"/>
        </w:rPr>
        <w:t xml:space="preserve">-alanine residues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{"citationID":"20seqcn0j9","properties":{"formattedCitation":"(Neuhaus and Baddiley, 2003)","plainCitation":"(Neuhaus and Baddiley, 2003)"},"citationItems":[{"id":294,"uris":["http://zotero.org/users/944474/items/9EITDT8F"],"uri":["http://zotero.org/users/944474/items/9EITDT8F"],"itemData":{"id":294,"type":"article-journal","title":"A continuum of anionic charge: structures and functions of D-alanyl-teichoic acids in gram-positive bacteria","container-title":"Microbiology and molecular biology reviews: MMBR","page":"686-723","volume":"67","issue":"4","abstract":"Teichoic acids (TAs) are major wall and membrane components of most gram-positive bacteria. With few exceptions, they are polymers of glycerol-phosphate or ribitol-phosphate to which are attached glycosyl and D-alanyl ester residues. Wall TA is attached to peptidoglycan via a linkage unit, whereas lipoteichoic acid is attached to glycolipid intercalated in the membrane. Together with peptidoglycan, these polymers make up a polyanionic matrix that functions in (i) cation homeostasis; (ii) trafficking of ions, nutrients, proteins, and antibiotics; (iii) regulation of autolysins; and (iv) presentation of envelope proteins. The esterification of TAs with D-alanyl esters provides a means of modulating the net anionic charge, determining the cationic binding capacity, and displaying cations in the wall. This review addresses the structures and functions of D-alanyl-TAs, the D-alanylation system encoded by the dlt operon, and the roles of TAs in cell growth. The importance of dlt in the physiology of many organisms is illustrated by the variety of mutant phenotypes. In addition, advances in our understanding of D-alanyl ester function in virulence and host-mediated responses have been made possible through targeted mutagenesis of dlt. Studies of the mechanism of D-alanylation have identified two potential targets of antibacterial action and provided possible screening reactions for designing novel agents targeted to D-alanyl-TA synthesis.","note":"PMID: 14665680","shortTitle":"A continuum of anionic charge","journalAbbreviation":"Microbiol. Mol. Biol. Rev.","author":[{"family":"Neuhaus","given":"Francis C"},{"family":"Baddiley","given":"James"}],"issued":{"year":2003,"month":12},"accessed":{"year":2012,"month":5,"day":28},"page-first":"686"}}],"schema":"https://github.com/citation-style-language/schema/raw/master/csl-citation.json"}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(Neuhaus and Baddiley, 2003)</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 xml:space="preserve">. TAs have an important role in scavenging divalent cations, influence membrane permeability and stability, mediate interaction with the external environment and perform scaffold and regulatory functions for integral cell wall proteins involved in growth and division. LTAs and WTAs are thought to participate in coordination of the cell division machinery and elongation machinery respectively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{"citationID":"2fcn71idtr","properties":{"formattedCitation":"(Oku et al., 2009; Schirner et al., 2009)","plainCitation":"(Oku et al., 2009; Schirner et al., 2009)"},"citationItems":[{"id":183,"uris":["http://zotero.org/users/944474/items/WDGFNDEU"],"uri":["http://zotero.org/users/944474/items/WDGFNDEU"],"itemData":{"id":183,"type":"article-journal","title":"Pleiotropic roles of polyglycerolphosphate synthase of lipoteichoic acid in growth of Staphylococcus aureus cells","container-title":"Journal of bacteriology","page":"141-151","volume":"191","issue":"1","abstract":"Lipoteichoic acid (LTA) is one of two anionic polymers on the surface of the gram-positive bacterium Staphylococcus aureus. LTA is critical for the bacterium-host cell interaction and has recently been shown to be required for cell growth and division. To determine additional biological roles of LTA, we found it necessary to identify permissive conditions for the growth of an LTA-deficient mutant. We found that an LTA-deficient S. aureus Delta ltaS mutant could grow at 30 degrees C but not at 37 degrees C. Even at the permissive temperature, Delta ltaS mutant cells had aberrant cell division and separation, decreased autolysis, and reduced levels of peptidoglycan hydrolases. Upshift of Delta ltaS mutant cells to a nonpermissive temperature caused an inability to exclude Sytox green dye. A high-osmolarity growth medium remarkably rescued the colony-forming ability of the Delta ltaS mutant at 37 degrees C, indicating that LTA synthesis is required for growth under low-osmolarity conditions. In addition, the Delta ltaS mutation was found to be synthetically lethal with the Delta tagO mutation, which disrupts the synthesis of the other anionic polymer, wall teichoic acid (WTA), at 30 degrees C, suggesting that LTA and WTA compensate for one another in an essential function.","DOI":"10.1128/JB.01221-08","note":"PMID: 18952789","journalAbbreviation":"J. Bacteriol.","author":[{"family":"Oku","given":"Yusuke"},{"family":"Kurokawa","given":"Kenji"},{"family":"Matsuo","given":"Miki"},{"family":"Yamada","given":"Sakuo"},{"family":"Lee","given":"Bok-Luel"},{"family":"Sekimizu","given":"Kazuhisa"}],"issued":{"year":2009,"month":1},"accessed":{"year":2012,"month":5,"day":10},"page-first":"141"}},{"id":188,"uris":["http://zotero.org/users/944474/items/STTGTTUX"],"uri":["http://zotero.org/users/944474/items/STTGTTUX"],"itemData":{"id":188,"type":"article-journal","title":"Distinct and essential morphogenic functions for wall- and lipo-teichoic acids in Bacillus subtilis","container-title":"The EMBO journal","page":"830-842","volume":"28","issue":"7","abstract":"Teichoic acids (TAs) are anionic polymers that constitute a major component of the cell wall in most Gram-positive bacteria. Despite decades of study, their function has remained unclear. TAs are covalently linked either to the cell wall peptidoglycan (wall TA (WTA)) or to the membrane (lipo-TA (LTA)). We have characterized the key enzyme of LTA synthesis in Bacillus subtilis, LTA synthase (LtaS). We show that LTA is needed for divalent cation homoeostasis and that its absence has severe effects on cell morphogenesis and cell division. Inactivation of both LTA and WTA is lethal and comparison of the individual mutants suggests that they have differentiated roles in elongation (WTA) and division (LTA). B. subtilis has four ltaS paralogues and we show how their roles are partially differentiated. Two paralogues have a redundant role in LTA synthesis during sporulation and their absence gives a novel absolute block in sporulation. The crystal structure of the extracytoplasmic part of LtaS, solved at 2.4-A resolution, reveals a phosphorylated threonine residue, which provides clues about the catalytic mechanism and identifies the active site of the enzyme.","DOI":"10.1038/emboj.2009.25","note":"PMID: 19229300","journalAbbreviation":"EMBO J.","author":[{"family":"Schirner","given":"Kathrin"},{"family":"Marles-Wright","given":"Jon"},{"family":"Lewis","given":"Richard J"},{"family":"Errington","given":"Jeff"}],"issued":{"year":2009,"month":4,"day":8},"accessed":{"year":2012,"month":5,"day":11},"page-first":"830"}}],"schema":"https://github.com/citation-style-language/schema/raw/master/csl-citation.json"}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 xml:space="preserve">(Oku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xml:space="preserve">., 2009; Schirner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2009)</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w:t>
      </w:r>
    </w:p>
    <w:p w:rsidR="00BC7652" w:rsidRDefault="00BC7652" w:rsidP="00BC7652">
      <w:pPr>
        <w:tabs>
          <w:tab w:val="left" w:pos="1276"/>
        </w:tabs>
        <w:autoSpaceDE w:val="0"/>
        <w:autoSpaceDN w:val="0"/>
        <w:adjustRightInd w:val="0"/>
        <w:spacing w:before="120" w:after="0" w:line="480" w:lineRule="auto"/>
        <w:jc w:val="both"/>
        <w:rPr>
          <w:rFonts w:ascii="Times New Roman" w:hAnsi="Times New Roman" w:cs="Times New Roman"/>
          <w:color w:val="000000"/>
          <w:sz w:val="28"/>
          <w:szCs w:val="28"/>
        </w:rPr>
      </w:pPr>
      <w:r w:rsidRPr="00A802E4">
        <w:rPr>
          <w:rFonts w:ascii="Times New Roman" w:hAnsi="Times New Roman" w:cs="Times New Roman"/>
          <w:color w:val="000000"/>
          <w:sz w:val="28"/>
          <w:szCs w:val="28"/>
        </w:rPr>
        <w:t>1.</w:t>
      </w:r>
      <w:r>
        <w:rPr>
          <w:rFonts w:ascii="Times New Roman" w:hAnsi="Times New Roman" w:cs="Times New Roman"/>
          <w:color w:val="000000"/>
          <w:sz w:val="28"/>
          <w:szCs w:val="28"/>
        </w:rPr>
        <w:t>5</w:t>
      </w:r>
      <w:r>
        <w:rPr>
          <w:rFonts w:ascii="Times New Roman" w:hAnsi="Times New Roman" w:cs="Times New Roman"/>
          <w:color w:val="000000"/>
          <w:sz w:val="28"/>
          <w:szCs w:val="28"/>
        </w:rPr>
        <w:tab/>
        <w:t>Peptidoglycan dynamics</w:t>
      </w:r>
    </w:p>
    <w:p w:rsidR="00BC7652" w:rsidRDefault="00BC7652" w:rsidP="00BC7652">
      <w:pPr>
        <w:tabs>
          <w:tab w:val="left" w:pos="1276"/>
        </w:tabs>
        <w:spacing w:after="0" w:line="480" w:lineRule="auto"/>
        <w:jc w:val="both"/>
        <w:rPr>
          <w:rFonts w:ascii="Times New Roman" w:hAnsi="Times New Roman" w:cs="Times New Roman"/>
          <w:sz w:val="28"/>
          <w:szCs w:val="28"/>
        </w:rPr>
      </w:pPr>
      <w:r>
        <w:rPr>
          <w:rFonts w:ascii="Times New Roman" w:hAnsi="Times New Roman" w:cs="Times New Roman"/>
          <w:sz w:val="28"/>
          <w:szCs w:val="28"/>
        </w:rPr>
        <w:t>1.5.1</w:t>
      </w:r>
      <w:r>
        <w:rPr>
          <w:rFonts w:ascii="Times New Roman" w:hAnsi="Times New Roman" w:cs="Times New Roman"/>
          <w:sz w:val="28"/>
          <w:szCs w:val="28"/>
        </w:rPr>
        <w:tab/>
        <w:t>Enlargement of the sacculus</w:t>
      </w:r>
    </w:p>
    <w:p w:rsidR="00BC7652" w:rsidRDefault="00BC7652" w:rsidP="00BC7652">
      <w:pPr>
        <w:spacing w:before="240" w:line="480" w:lineRule="auto"/>
        <w:jc w:val="both"/>
        <w:rPr>
          <w:rFonts w:ascii="Times New Roman" w:hAnsi="Times New Roman" w:cs="Times New Roman"/>
          <w:sz w:val="24"/>
          <w:szCs w:val="24"/>
        </w:rPr>
        <w:sectPr w:rsidR="00BC7652" w:rsidSect="006C5A4E">
          <w:type w:val="continuous"/>
          <w:pgSz w:w="11906" w:h="16838"/>
          <w:pgMar w:top="1440" w:right="1134" w:bottom="1440" w:left="2268" w:header="708" w:footer="708" w:gutter="0"/>
          <w:cols w:space="708"/>
          <w:docGrid w:linePitch="360"/>
        </w:sectPr>
      </w:pPr>
      <w:r>
        <w:rPr>
          <w:rFonts w:ascii="Times New Roman" w:hAnsi="Times New Roman" w:cs="Times New Roman"/>
          <w:sz w:val="24"/>
          <w:szCs w:val="24"/>
        </w:rPr>
        <w:t>It has been proposed that growth of the sacculus requires hydrolysis of existing covalent bonds to accommodate insertion of nascent peptidoglycan. However, such a mechanism</w:t>
      </w:r>
    </w:p>
    <w:p w:rsidR="00BC7652" w:rsidRDefault="00BC7652" w:rsidP="00BC7652">
      <w:pPr>
        <w:spacing w:before="240" w:line="48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w:lastRenderedPageBreak/>
        <w:drawing>
          <wp:inline distT="0" distB="0" distL="0" distR="0">
            <wp:extent cx="4318808" cy="3372592"/>
            <wp:effectExtent l="0" t="0" r="5542" b="0"/>
            <wp:docPr id="8" name="Picture 7" descr="Teichoic acids figure A-B.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ichoic acids figure A-B.emf"/>
                    <pic:cNvPicPr/>
                  </pic:nvPicPr>
                  <pic:blipFill>
                    <a:blip r:embed="rId14" cstate="print"/>
                    <a:srcRect t="3072"/>
                    <a:stretch>
                      <a:fillRect/>
                    </a:stretch>
                  </pic:blipFill>
                  <pic:spPr>
                    <a:xfrm>
                      <a:off x="0" y="0"/>
                      <a:ext cx="4318808" cy="3372592"/>
                    </a:xfrm>
                    <a:prstGeom prst="rect">
                      <a:avLst/>
                    </a:prstGeom>
                  </pic:spPr>
                </pic:pic>
              </a:graphicData>
            </a:graphic>
          </wp:inline>
        </w:drawing>
      </w:r>
      <w:r>
        <w:rPr>
          <w:rFonts w:ascii="Times New Roman" w:hAnsi="Times New Roman" w:cs="Times New Roman"/>
          <w:noProof/>
          <w:color w:val="000000"/>
          <w:sz w:val="24"/>
          <w:szCs w:val="24"/>
          <w:lang w:eastAsia="en-GB"/>
        </w:rPr>
        <w:drawing>
          <wp:inline distT="0" distB="0" distL="0" distR="0">
            <wp:extent cx="4320000" cy="2582505"/>
            <wp:effectExtent l="0" t="0" r="0" b="0"/>
            <wp:docPr id="10" name="Picture 9" descr="Teichoic acids figure C-D.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ichoic acids figure C-D.emf"/>
                    <pic:cNvPicPr/>
                  </pic:nvPicPr>
                  <pic:blipFill>
                    <a:blip r:embed="rId15" cstate="print"/>
                    <a:stretch>
                      <a:fillRect/>
                    </a:stretch>
                  </pic:blipFill>
                  <pic:spPr>
                    <a:xfrm>
                      <a:off x="0" y="0"/>
                      <a:ext cx="4320000" cy="2582505"/>
                    </a:xfrm>
                    <a:prstGeom prst="rect">
                      <a:avLst/>
                    </a:prstGeom>
                  </pic:spPr>
                </pic:pic>
              </a:graphicData>
            </a:graphic>
          </wp:inline>
        </w:drawing>
      </w:r>
    </w:p>
    <w:p w:rsidR="00BC7652" w:rsidRDefault="00BC7652" w:rsidP="00BC7652">
      <w:pPr>
        <w:autoSpaceDE w:val="0"/>
        <w:autoSpaceDN w:val="0"/>
        <w:adjustRightInd w:val="0"/>
        <w:spacing w:after="120" w:line="360" w:lineRule="auto"/>
        <w:jc w:val="both"/>
        <w:rPr>
          <w:rFonts w:ascii="Times New Roman" w:hAnsi="Times New Roman" w:cs="Times New Roman"/>
          <w:b/>
          <w:color w:val="000000"/>
          <w:sz w:val="24"/>
          <w:szCs w:val="24"/>
        </w:rPr>
      </w:pPr>
      <w:proofErr w:type="gramStart"/>
      <w:r w:rsidRPr="00C2739D">
        <w:rPr>
          <w:rFonts w:ascii="Times New Roman" w:hAnsi="Times New Roman" w:cs="Times New Roman"/>
          <w:b/>
          <w:color w:val="000000"/>
          <w:sz w:val="24"/>
          <w:szCs w:val="24"/>
        </w:rPr>
        <w:t>Figure 1.5</w:t>
      </w:r>
      <w:r>
        <w:rPr>
          <w:rFonts w:ascii="Times New Roman" w:hAnsi="Times New Roman" w:cs="Times New Roman"/>
          <w:b/>
          <w:color w:val="000000"/>
          <w:sz w:val="24"/>
          <w:szCs w:val="24"/>
        </w:rPr>
        <w:t>.</w:t>
      </w:r>
      <w:proofErr w:type="gramEnd"/>
      <w:r>
        <w:rPr>
          <w:rFonts w:ascii="Times New Roman" w:hAnsi="Times New Roman" w:cs="Times New Roman"/>
          <w:b/>
          <w:color w:val="000000"/>
          <w:sz w:val="24"/>
          <w:szCs w:val="24"/>
        </w:rPr>
        <w:t xml:space="preserve"> </w:t>
      </w:r>
      <w:proofErr w:type="gramStart"/>
      <w:r>
        <w:rPr>
          <w:rFonts w:ascii="Times New Roman" w:hAnsi="Times New Roman" w:cs="Times New Roman"/>
          <w:b/>
          <w:color w:val="000000"/>
          <w:sz w:val="24"/>
          <w:szCs w:val="24"/>
        </w:rPr>
        <w:t xml:space="preserve">The structure of wall teichoic acids and lipoteichoic acids in </w:t>
      </w:r>
      <w:r>
        <w:rPr>
          <w:rFonts w:ascii="Times New Roman" w:hAnsi="Times New Roman" w:cs="Times New Roman"/>
          <w:b/>
          <w:i/>
          <w:color w:val="000000"/>
          <w:sz w:val="24"/>
          <w:szCs w:val="24"/>
        </w:rPr>
        <w:t>B. subtilis, S. aureus</w:t>
      </w:r>
      <w:r>
        <w:rPr>
          <w:rFonts w:ascii="Times New Roman" w:hAnsi="Times New Roman" w:cs="Times New Roman"/>
          <w:b/>
          <w:color w:val="000000"/>
          <w:sz w:val="24"/>
          <w:szCs w:val="24"/>
        </w:rPr>
        <w:t xml:space="preserve"> and </w:t>
      </w:r>
      <w:r>
        <w:rPr>
          <w:rFonts w:ascii="Times New Roman" w:hAnsi="Times New Roman" w:cs="Times New Roman"/>
          <w:b/>
          <w:i/>
          <w:color w:val="000000"/>
          <w:sz w:val="24"/>
          <w:szCs w:val="24"/>
        </w:rPr>
        <w:t>S. pneumoniae.</w:t>
      </w:r>
      <w:proofErr w:type="gramEnd"/>
      <w:r>
        <w:rPr>
          <w:rFonts w:ascii="Times New Roman" w:hAnsi="Times New Roman" w:cs="Times New Roman"/>
          <w:b/>
          <w:color w:val="000000"/>
          <w:sz w:val="24"/>
          <w:szCs w:val="24"/>
        </w:rPr>
        <w:t xml:space="preserve"> </w:t>
      </w:r>
      <w:r w:rsidRPr="00450C4E">
        <w:rPr>
          <w:rFonts w:ascii="Times New Roman" w:hAnsi="Times New Roman" w:cs="Times New Roman"/>
          <w:color w:val="000000"/>
          <w:sz w:val="24"/>
          <w:szCs w:val="24"/>
        </w:rPr>
        <w:t xml:space="preserve">The </w:t>
      </w:r>
      <w:r>
        <w:rPr>
          <w:rFonts w:ascii="Times New Roman" w:hAnsi="Times New Roman" w:cs="Times New Roman"/>
          <w:color w:val="000000"/>
          <w:sz w:val="24"/>
          <w:szCs w:val="24"/>
        </w:rPr>
        <w:t xml:space="preserve">glycerol phosphate and ribitol phosphate WTA structures present in (A) </w:t>
      </w:r>
      <w:r>
        <w:rPr>
          <w:rFonts w:ascii="Times New Roman" w:hAnsi="Times New Roman" w:cs="Times New Roman"/>
          <w:i/>
          <w:color w:val="000000"/>
          <w:sz w:val="24"/>
          <w:szCs w:val="24"/>
        </w:rPr>
        <w:t xml:space="preserve">B. subtilis </w:t>
      </w:r>
      <w:r>
        <w:rPr>
          <w:rFonts w:ascii="Times New Roman" w:hAnsi="Times New Roman" w:cs="Times New Roman"/>
          <w:color w:val="000000"/>
          <w:sz w:val="24"/>
          <w:szCs w:val="24"/>
        </w:rPr>
        <w:t xml:space="preserve">168 and (B) </w:t>
      </w:r>
      <w:r>
        <w:rPr>
          <w:rFonts w:ascii="Times New Roman" w:hAnsi="Times New Roman" w:cs="Times New Roman"/>
          <w:i/>
          <w:color w:val="000000"/>
          <w:sz w:val="24"/>
          <w:szCs w:val="24"/>
        </w:rPr>
        <w:t xml:space="preserve">S. aureus </w:t>
      </w:r>
      <w:r>
        <w:rPr>
          <w:rFonts w:ascii="Times New Roman" w:hAnsi="Times New Roman" w:cs="Times New Roman"/>
          <w:color w:val="000000"/>
          <w:sz w:val="24"/>
          <w:szCs w:val="24"/>
        </w:rPr>
        <w:t xml:space="preserve">/ </w:t>
      </w:r>
      <w:r>
        <w:rPr>
          <w:rFonts w:ascii="Times New Roman" w:hAnsi="Times New Roman" w:cs="Times New Roman"/>
          <w:i/>
          <w:color w:val="000000"/>
          <w:sz w:val="24"/>
          <w:szCs w:val="24"/>
        </w:rPr>
        <w:t>B. subtilis</w:t>
      </w:r>
      <w:r>
        <w:rPr>
          <w:rFonts w:ascii="Times New Roman" w:hAnsi="Times New Roman" w:cs="Times New Roman"/>
          <w:color w:val="000000"/>
          <w:sz w:val="24"/>
          <w:szCs w:val="24"/>
        </w:rPr>
        <w:t xml:space="preserve"> W23 respectively. </w:t>
      </w:r>
      <w:r w:rsidRPr="00543FD3">
        <w:rPr>
          <w:rFonts w:ascii="Times New Roman" w:hAnsi="Times New Roman" w:cs="Times New Roman"/>
          <w:color w:val="000000"/>
          <w:sz w:val="24"/>
          <w:szCs w:val="24"/>
        </w:rPr>
        <w:t>(C) The</w:t>
      </w:r>
      <w:r>
        <w:rPr>
          <w:rFonts w:ascii="Times New Roman" w:hAnsi="Times New Roman" w:cs="Times New Roman"/>
          <w:color w:val="000000"/>
          <w:sz w:val="24"/>
          <w:szCs w:val="24"/>
        </w:rPr>
        <w:t xml:space="preserve"> LTA structure of </w:t>
      </w:r>
      <w:r>
        <w:rPr>
          <w:rFonts w:ascii="Times New Roman" w:hAnsi="Times New Roman" w:cs="Times New Roman"/>
          <w:i/>
          <w:color w:val="000000"/>
          <w:sz w:val="24"/>
          <w:szCs w:val="24"/>
        </w:rPr>
        <w:t xml:space="preserve">S. aureus. </w:t>
      </w:r>
      <w:r>
        <w:rPr>
          <w:rFonts w:ascii="Times New Roman" w:hAnsi="Times New Roman" w:cs="Times New Roman"/>
          <w:color w:val="000000"/>
          <w:sz w:val="24"/>
          <w:szCs w:val="24"/>
        </w:rPr>
        <w:t>The</w:t>
      </w:r>
      <w:r w:rsidRPr="00543FD3">
        <w:rPr>
          <w:rFonts w:ascii="Times New Roman" w:hAnsi="Times New Roman" w:cs="Times New Roman"/>
          <w:color w:val="000000"/>
          <w:sz w:val="24"/>
          <w:szCs w:val="24"/>
        </w:rPr>
        <w:t xml:space="preserve"> glycolipid unit is </w:t>
      </w:r>
      <w:r w:rsidRPr="00984530">
        <w:rPr>
          <w:rFonts w:ascii="Times New Roman" w:hAnsi="Times New Roman" w:cs="Times New Roman"/>
          <w:color w:val="000000"/>
          <w:sz w:val="16"/>
          <w:szCs w:val="16"/>
        </w:rPr>
        <w:t>D</w:t>
      </w:r>
      <w:r w:rsidRPr="00543FD3">
        <w:rPr>
          <w:rFonts w:ascii="Times New Roman" w:hAnsi="Times New Roman" w:cs="Times New Roman"/>
          <w:color w:val="000000"/>
          <w:sz w:val="24"/>
          <w:szCs w:val="24"/>
        </w:rPr>
        <w:t>-</w:t>
      </w:r>
      <w:r>
        <w:rPr>
          <w:rFonts w:ascii="Times New Roman" w:hAnsi="Times New Roman" w:cs="Times New Roman"/>
          <w:color w:val="000000"/>
          <w:sz w:val="24"/>
          <w:szCs w:val="24"/>
        </w:rPr>
        <w:t>Glc</w:t>
      </w:r>
      <w:r>
        <w:rPr>
          <w:rFonts w:ascii="Times New Roman" w:hAnsi="Times New Roman" w:cs="Times New Roman"/>
          <w:i/>
          <w:color w:val="000000"/>
          <w:sz w:val="24"/>
          <w:szCs w:val="24"/>
        </w:rPr>
        <w:t>p</w:t>
      </w:r>
      <w:r w:rsidRPr="00543FD3">
        <w:rPr>
          <w:rFonts w:ascii="Times New Roman" w:hAnsi="Times New Roman" w:cs="Times New Roman"/>
          <w:color w:val="000000"/>
          <w:sz w:val="24"/>
          <w:szCs w:val="24"/>
        </w:rPr>
        <w:t xml:space="preserve"> (</w:t>
      </w:r>
      <w:r>
        <w:rPr>
          <w:rFonts w:ascii="Times New Roman" w:hAnsi="Times New Roman" w:cs="Times New Roman"/>
          <w:color w:val="000000"/>
          <w:sz w:val="24"/>
          <w:szCs w:val="24"/>
        </w:rPr>
        <w:t>β</w:t>
      </w:r>
      <w:r w:rsidRPr="00543FD3">
        <w:rPr>
          <w:rFonts w:ascii="Times New Roman" w:hAnsi="Times New Roman" w:cs="Times New Roman"/>
          <w:color w:val="000000"/>
          <w:sz w:val="24"/>
          <w:szCs w:val="24"/>
        </w:rPr>
        <w:t>1</w:t>
      </w:r>
      <w:proofErr w:type="gramStart"/>
      <w:r w:rsidRPr="00543FD3">
        <w:rPr>
          <w:rFonts w:ascii="Times New Roman" w:hAnsi="Times New Roman" w:cs="Times New Roman"/>
          <w:color w:val="000000"/>
          <w:sz w:val="24"/>
          <w:szCs w:val="24"/>
        </w:rPr>
        <w:t>,6</w:t>
      </w:r>
      <w:proofErr w:type="gramEnd"/>
      <w:r w:rsidRPr="00543FD3">
        <w:rPr>
          <w:rFonts w:ascii="Times New Roman" w:hAnsi="Times New Roman" w:cs="Times New Roman"/>
          <w:color w:val="000000"/>
          <w:sz w:val="24"/>
          <w:szCs w:val="24"/>
        </w:rPr>
        <w:t>)-</w:t>
      </w:r>
      <w:r w:rsidRPr="00984530">
        <w:rPr>
          <w:rFonts w:ascii="Times New Roman" w:hAnsi="Times New Roman" w:cs="Times New Roman"/>
          <w:color w:val="000000"/>
          <w:sz w:val="16"/>
          <w:szCs w:val="16"/>
        </w:rPr>
        <w:t>D</w:t>
      </w:r>
      <w:r w:rsidRPr="00543FD3">
        <w:rPr>
          <w:rFonts w:ascii="Times New Roman" w:hAnsi="Times New Roman" w:cs="Times New Roman"/>
          <w:color w:val="000000"/>
          <w:sz w:val="24"/>
          <w:szCs w:val="24"/>
        </w:rPr>
        <w:t>-Gl</w:t>
      </w:r>
      <w:r>
        <w:rPr>
          <w:rFonts w:ascii="Times New Roman" w:hAnsi="Times New Roman" w:cs="Times New Roman"/>
          <w:color w:val="000000"/>
          <w:sz w:val="24"/>
          <w:szCs w:val="24"/>
        </w:rPr>
        <w:t>c</w:t>
      </w:r>
      <w:r w:rsidRPr="00984530">
        <w:rPr>
          <w:rFonts w:ascii="Times New Roman" w:hAnsi="Times New Roman" w:cs="Times New Roman"/>
          <w:i/>
          <w:color w:val="000000"/>
          <w:sz w:val="24"/>
          <w:szCs w:val="24"/>
        </w:rPr>
        <w:t>p</w:t>
      </w:r>
      <w:r>
        <w:rPr>
          <w:rFonts w:ascii="Times New Roman" w:hAnsi="Times New Roman" w:cs="Times New Roman"/>
          <w:color w:val="000000"/>
          <w:sz w:val="24"/>
          <w:szCs w:val="24"/>
        </w:rPr>
        <w:t xml:space="preserve"> (β1,3)acyl</w:t>
      </w:r>
      <w:r w:rsidRPr="00984530">
        <w:rPr>
          <w:rFonts w:ascii="Times New Roman" w:hAnsi="Times New Roman" w:cs="Times New Roman"/>
          <w:color w:val="000000"/>
          <w:sz w:val="24"/>
          <w:szCs w:val="24"/>
          <w:vertAlign w:val="subscript"/>
        </w:rPr>
        <w:t>2</w:t>
      </w:r>
      <w:r>
        <w:rPr>
          <w:rFonts w:ascii="Times New Roman" w:hAnsi="Times New Roman" w:cs="Times New Roman"/>
          <w:color w:val="000000"/>
          <w:sz w:val="24"/>
          <w:szCs w:val="24"/>
        </w:rPr>
        <w:t xml:space="preserve">Gro. (D) The LTA and WTA structure of </w:t>
      </w:r>
      <w:r>
        <w:rPr>
          <w:rFonts w:ascii="Times New Roman" w:hAnsi="Times New Roman" w:cs="Times New Roman"/>
          <w:i/>
          <w:color w:val="000000"/>
          <w:sz w:val="24"/>
          <w:szCs w:val="24"/>
        </w:rPr>
        <w:t xml:space="preserve">S. pneumoniae </w:t>
      </w:r>
      <w:r>
        <w:rPr>
          <w:rFonts w:ascii="Times New Roman" w:hAnsi="Times New Roman" w:cs="Times New Roman"/>
          <w:color w:val="000000"/>
          <w:sz w:val="24"/>
          <w:szCs w:val="24"/>
        </w:rPr>
        <w:t xml:space="preserve">has the same chain structure, but different linkage units. The linkage units are indicated. The LTA glycolipid unit is </w:t>
      </w:r>
      <w:r w:rsidRPr="00984530">
        <w:rPr>
          <w:rFonts w:ascii="Times New Roman" w:hAnsi="Times New Roman" w:cs="Times New Roman"/>
          <w:color w:val="000000"/>
          <w:sz w:val="16"/>
          <w:szCs w:val="16"/>
        </w:rPr>
        <w:t>D</w:t>
      </w:r>
      <w:r w:rsidRPr="00543FD3">
        <w:rPr>
          <w:rFonts w:ascii="Times New Roman" w:hAnsi="Times New Roman" w:cs="Times New Roman"/>
          <w:color w:val="000000"/>
          <w:sz w:val="24"/>
          <w:szCs w:val="24"/>
        </w:rPr>
        <w:t>-</w:t>
      </w:r>
      <w:r>
        <w:rPr>
          <w:rFonts w:ascii="Times New Roman" w:hAnsi="Times New Roman" w:cs="Times New Roman"/>
          <w:color w:val="000000"/>
          <w:sz w:val="24"/>
          <w:szCs w:val="24"/>
        </w:rPr>
        <w:t>Gal</w:t>
      </w:r>
      <w:r>
        <w:rPr>
          <w:rFonts w:ascii="Times New Roman" w:hAnsi="Times New Roman" w:cs="Times New Roman"/>
          <w:i/>
          <w:color w:val="000000"/>
          <w:sz w:val="24"/>
          <w:szCs w:val="24"/>
        </w:rPr>
        <w:t>p</w:t>
      </w:r>
      <w:r w:rsidRPr="00543FD3">
        <w:rPr>
          <w:rFonts w:ascii="Times New Roman" w:hAnsi="Times New Roman" w:cs="Times New Roman"/>
          <w:color w:val="000000"/>
          <w:sz w:val="24"/>
          <w:szCs w:val="24"/>
        </w:rPr>
        <w:t xml:space="preserve"> (</w:t>
      </w:r>
      <w:r>
        <w:rPr>
          <w:rFonts w:ascii="Times New Roman" w:hAnsi="Times New Roman" w:cs="Times New Roman"/>
          <w:color w:val="000000"/>
          <w:sz w:val="24"/>
          <w:szCs w:val="24"/>
        </w:rPr>
        <w:t>α</w:t>
      </w:r>
      <w:r w:rsidRPr="00543FD3">
        <w:rPr>
          <w:rFonts w:ascii="Times New Roman" w:hAnsi="Times New Roman" w:cs="Times New Roman"/>
          <w:color w:val="000000"/>
          <w:sz w:val="24"/>
          <w:szCs w:val="24"/>
        </w:rPr>
        <w:t>1</w:t>
      </w:r>
      <w:proofErr w:type="gramStart"/>
      <w:r w:rsidRPr="00543FD3">
        <w:rPr>
          <w:rFonts w:ascii="Times New Roman" w:hAnsi="Times New Roman" w:cs="Times New Roman"/>
          <w:color w:val="000000"/>
          <w:sz w:val="24"/>
          <w:szCs w:val="24"/>
        </w:rPr>
        <w:t>,6</w:t>
      </w:r>
      <w:proofErr w:type="gramEnd"/>
      <w:r w:rsidRPr="00543FD3">
        <w:rPr>
          <w:rFonts w:ascii="Times New Roman" w:hAnsi="Times New Roman" w:cs="Times New Roman"/>
          <w:color w:val="000000"/>
          <w:sz w:val="24"/>
          <w:szCs w:val="24"/>
        </w:rPr>
        <w:t>)-</w:t>
      </w:r>
      <w:r w:rsidRPr="00984530">
        <w:rPr>
          <w:rFonts w:ascii="Times New Roman" w:hAnsi="Times New Roman" w:cs="Times New Roman"/>
          <w:color w:val="000000"/>
          <w:sz w:val="16"/>
          <w:szCs w:val="16"/>
        </w:rPr>
        <w:t>D</w:t>
      </w:r>
      <w:r w:rsidRPr="00543FD3">
        <w:rPr>
          <w:rFonts w:ascii="Times New Roman" w:hAnsi="Times New Roman" w:cs="Times New Roman"/>
          <w:color w:val="000000"/>
          <w:sz w:val="24"/>
          <w:szCs w:val="24"/>
        </w:rPr>
        <w:t>-Gl</w:t>
      </w:r>
      <w:r>
        <w:rPr>
          <w:rFonts w:ascii="Times New Roman" w:hAnsi="Times New Roman" w:cs="Times New Roman"/>
          <w:color w:val="000000"/>
          <w:sz w:val="24"/>
          <w:szCs w:val="24"/>
        </w:rPr>
        <w:t>c</w:t>
      </w:r>
      <w:r w:rsidRPr="00984530">
        <w:rPr>
          <w:rFonts w:ascii="Times New Roman" w:hAnsi="Times New Roman" w:cs="Times New Roman"/>
          <w:i/>
          <w:color w:val="000000"/>
          <w:sz w:val="24"/>
          <w:szCs w:val="24"/>
        </w:rPr>
        <w:t>p</w:t>
      </w:r>
      <w:r>
        <w:rPr>
          <w:rFonts w:ascii="Times New Roman" w:hAnsi="Times New Roman" w:cs="Times New Roman"/>
          <w:color w:val="000000"/>
          <w:sz w:val="24"/>
          <w:szCs w:val="24"/>
        </w:rPr>
        <w:t xml:space="preserve"> (α1,3)acyl</w:t>
      </w:r>
      <w:r w:rsidRPr="00984530">
        <w:rPr>
          <w:rFonts w:ascii="Times New Roman" w:hAnsi="Times New Roman" w:cs="Times New Roman"/>
          <w:color w:val="000000"/>
          <w:sz w:val="24"/>
          <w:szCs w:val="24"/>
          <w:vertAlign w:val="subscript"/>
        </w:rPr>
        <w:t>2</w:t>
      </w:r>
      <w:r>
        <w:rPr>
          <w:rFonts w:ascii="Times New Roman" w:hAnsi="Times New Roman" w:cs="Times New Roman"/>
          <w:color w:val="000000"/>
          <w:sz w:val="24"/>
          <w:szCs w:val="24"/>
        </w:rPr>
        <w:t xml:space="preserve">Gro, whilst the WTA acid is covalently linked to the </w:t>
      </w:r>
      <w:r w:rsidRPr="000D1271">
        <w:rPr>
          <w:rFonts w:ascii="Times New Roman" w:hAnsi="Times New Roman" w:cs="Times New Roman"/>
          <w:color w:val="000000" w:themeColor="text1"/>
          <w:sz w:val="24"/>
          <w:szCs w:val="24"/>
        </w:rPr>
        <w:t xml:space="preserve">peptidoglycan via the phosphate residue. </w:t>
      </w:r>
      <w:proofErr w:type="gramStart"/>
      <w:r w:rsidRPr="000D1271">
        <w:rPr>
          <w:rFonts w:ascii="Times New Roman" w:hAnsi="Times New Roman" w:cs="Times New Roman"/>
          <w:color w:val="000000" w:themeColor="text1"/>
          <w:sz w:val="24"/>
          <w:szCs w:val="24"/>
        </w:rPr>
        <w:t>Gal</w:t>
      </w:r>
      <w:r w:rsidRPr="000D1271">
        <w:rPr>
          <w:rFonts w:ascii="Times New Roman" w:hAnsi="Times New Roman" w:cs="Times New Roman"/>
          <w:i/>
          <w:color w:val="000000" w:themeColor="text1"/>
          <w:sz w:val="24"/>
          <w:szCs w:val="24"/>
        </w:rPr>
        <w:t>p</w:t>
      </w:r>
      <w:r w:rsidRPr="000D1271">
        <w:rPr>
          <w:rFonts w:ascii="Times New Roman" w:hAnsi="Times New Roman" w:cs="Times New Roman"/>
          <w:color w:val="000000" w:themeColor="text1"/>
          <w:sz w:val="24"/>
          <w:szCs w:val="24"/>
        </w:rPr>
        <w:t>, galactopyransoyl; Glc</w:t>
      </w:r>
      <w:r w:rsidRPr="000D1271">
        <w:rPr>
          <w:rFonts w:ascii="Times New Roman" w:hAnsi="Times New Roman" w:cs="Times New Roman"/>
          <w:i/>
          <w:color w:val="000000" w:themeColor="text1"/>
          <w:sz w:val="24"/>
          <w:szCs w:val="24"/>
        </w:rPr>
        <w:t>p</w:t>
      </w:r>
      <w:r w:rsidRPr="000D1271">
        <w:rPr>
          <w:rFonts w:ascii="Times New Roman" w:hAnsi="Times New Roman" w:cs="Times New Roman"/>
          <w:color w:val="000000" w:themeColor="text1"/>
          <w:sz w:val="24"/>
          <w:szCs w:val="24"/>
        </w:rPr>
        <w:t>, glucopyranosyl; Gro, glycerol.</w:t>
      </w:r>
      <w:proofErr w:type="gramEnd"/>
      <w:r w:rsidRPr="000D1271">
        <w:rPr>
          <w:rFonts w:ascii="Times New Roman" w:hAnsi="Times New Roman" w:cs="Times New Roman"/>
          <w:color w:val="000000" w:themeColor="text1"/>
          <w:sz w:val="24"/>
          <w:szCs w:val="24"/>
        </w:rPr>
        <w:t xml:space="preserve"> Adapted from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{"citationID":"6c8npdmqm","properties":{"formattedCitation":"(Fischer, 2000; Weber et al., 2003; Swoboda et al., 2010)","plainCitation":"(Fischer, 2000; Weber et al., 2003; Swoboda et al., 2010)"},"citationItems":[{"id":613,"uris":["http://zotero.org/users/944474/items/BW9K56IT"],"uri":["http://zotero.org/users/944474/items/BW9K56IT"],"itemData":{"id":613,"type":"chapter","title":"Pneumococcal lipoteichoic and teichoic acid","container-title":"Streptococcus pneumoniae: molecular biology and mechanisms of disease","publisher":"Liebert","publisher-place":"New York","page":"155-177","event-place":"New York","ISBN":"0913113859  9780913113851","language":"English","editor":[{"family":"Tomasz","given":"Alexander"}],"author":[{"family":"Fischer","given":"Werner"}],"issued":{"year":2000},"page-first":"155"}},{"id":615,"uris":["http://zotero.org/users/944474/items/IB3EHIZH"],"uri":["http://zotero.org/users/944474/items/IB3EHIZH"],"itemData":{"id":615,"type":"article-journal","title":"Innate sensors for Gram-positive bacteria","container-title":"Current opinion in immunology","page":"408-415","volume":"15","issue":"4","abstract":"More than half of invasive bacterial infections are Gram-positive in origin. This class of bacteria has neither endotoxins nor an outer membrane, yet it generates some of the most powerful inflammatory responses known in medicine. Some recent seminal studies go a long way toward settling the controversies that surround the process by which Gram-positive bacterial surfaces trigger the human immune system. Although the components of the cell wall are now chemically defined in exquisite detail and the interaction with the toll-like receptor 2 pathway has been discovered, it is only very recently that definitive studies combining these advanced biochemical and cell biological tools have been carried out. It is these breakthrough studies that have finally confirmed the paradigm of innate sensors for Gram-positive bacteria.","note":"PMID: 12900272","journalAbbreviation":"Curr. Opin. Immunol.","author":[{"family":"Weber","given":"Joerg R"},{"family":"Moreillon","given":"Philippe"},{"family":"Tuomanen","given":"Elaine I"}],"issued":{"year":2003,"month":8},"accessed":{"year":2012,"month":6,"day":25},"page-first":"408"}},{"id":181,"uris":["http://zotero.org/users/944474/items/Q9FJQH6C"],"uri":["http://zotero.org/users/944474/items/Q9FJQH6C"],"itemData":{"id":181,"type":"article-journal","title":"Wall teichoic acid function, biosynthesis, and inhibition","container-title":"Chembiochem: a European journal of chemical biology","page":"35-45","volume":"11","issue":"1","DOI":"10.1002/cbic.200900557","note":"PMID: 19899094","journalAbbreviation":"Chembiochem","author":[{"family":"Swoboda","given":"Jonathan G"},{"family":"Campbell","given":"Jennifer"},{"family":"Meredith","given":"Timothy C"},{"family":"Walker","given":"Suzanne"}],"issued":{"year":2010,"month":1,"day":4},"accessed":{"year":2012,"month":5,"day":10},"page-first":"35"}}],"schema":"https://github.com/citation-style-language/schema/raw/master/csl-citation.json"}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 xml:space="preserve">(Fischer, 2000; Weber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xml:space="preserve">., 2003; Swoboda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2010)</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w:t>
      </w:r>
      <w:r>
        <w:rPr>
          <w:rFonts w:ascii="Times New Roman" w:hAnsi="Times New Roman" w:cs="Times New Roman"/>
          <w:b/>
          <w:color w:val="000000"/>
          <w:sz w:val="24"/>
          <w:szCs w:val="24"/>
        </w:rPr>
        <w:br w:type="page"/>
      </w:r>
    </w:p>
    <w:p w:rsidR="00BC7652" w:rsidRDefault="00BC7652" w:rsidP="00BC7652">
      <w:pPr>
        <w:spacing w:before="240" w:line="480" w:lineRule="auto"/>
        <w:jc w:val="both"/>
        <w:rPr>
          <w:rFonts w:ascii="Times New Roman" w:hAnsi="Times New Roman" w:cs="Times New Roman"/>
          <w:sz w:val="24"/>
          <w:szCs w:val="24"/>
        </w:rPr>
      </w:pPr>
      <w:proofErr w:type="gramStart"/>
      <w:r w:rsidRPr="000D1271">
        <w:rPr>
          <w:rFonts w:ascii="Times New Roman" w:hAnsi="Times New Roman" w:cs="Times New Roman"/>
          <w:color w:val="000000" w:themeColor="text1"/>
          <w:sz w:val="24"/>
          <w:szCs w:val="24"/>
        </w:rPr>
        <w:lastRenderedPageBreak/>
        <w:t>could</w:t>
      </w:r>
      <w:proofErr w:type="gramEnd"/>
      <w:r w:rsidRPr="000D1271">
        <w:rPr>
          <w:rFonts w:ascii="Times New Roman" w:hAnsi="Times New Roman" w:cs="Times New Roman"/>
          <w:color w:val="000000" w:themeColor="text1"/>
          <w:sz w:val="24"/>
          <w:szCs w:val="24"/>
        </w:rPr>
        <w:t xml:space="preserve"> potentially compromise the cell wall integrity (Dmitriev </w:t>
      </w:r>
      <w:r w:rsidRPr="00C521B3">
        <w:rPr>
          <w:rFonts w:ascii="Times New Roman" w:hAnsi="Times New Roman" w:cs="Times New Roman"/>
          <w:i/>
          <w:color w:val="000000" w:themeColor="text1"/>
          <w:sz w:val="24"/>
          <w:szCs w:val="24"/>
        </w:rPr>
        <w:t>et al</w:t>
      </w:r>
      <w:r w:rsidRPr="000D1271">
        <w:rPr>
          <w:rFonts w:ascii="Times New Roman" w:hAnsi="Times New Roman" w:cs="Times New Roman"/>
          <w:color w:val="000000" w:themeColor="text1"/>
          <w:sz w:val="24"/>
          <w:szCs w:val="24"/>
        </w:rPr>
        <w:t>., 2005). A “three-for-one” mechanism was proposed for safe incorporation of nascent material into a monolayered peptidoglycan network (Figure 1.6A</w:t>
      </w:r>
      <w:r>
        <w:rPr>
          <w:rFonts w:ascii="Times New Roman" w:hAnsi="Times New Roman" w:cs="Times New Roman"/>
          <w:color w:val="000000" w:themeColor="text1"/>
          <w:sz w:val="24"/>
          <w:szCs w:val="24"/>
        </w:rPr>
        <w:t>;</w:t>
      </w:r>
      <w:r w:rsidRPr="000D1271">
        <w:rPr>
          <w:rFonts w:ascii="Times New Roman" w:hAnsi="Times New Roman" w:cs="Times New Roman"/>
          <w:color w:val="000000" w:themeColor="text1"/>
          <w:sz w:val="24"/>
          <w:szCs w:val="24"/>
        </w:rPr>
        <w:t xml:space="preserve">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{"citationID":"2nfk5pdmee","properties":{"formattedCitation":"{\\rtf (H\\uc0\\u246{}ltje, 1998)}","plainCitation":"(Höltje, 1998)"},"citationItems":[{"id":13,"uris":["http://zotero.org/users/944474/items/64V5T8BJ"],"uri":["http://zotero.org/users/944474/items/64V5T8BJ"],"itemData":{"id":13,"type":"article-journal","title":"Growth of the stress-bearing and shape-maintaining murein sacculus of Escherichia coli","container-title":"Microbiology and Molecular Biology Reviews: MMBR","page":"181-203","volume":"62","issue":"1","abstract":"To withstand the high intracellular pressure, the cell wall of most bacteria is stabilized by a unique cross-linked biopolymer called murein or peptidoglycan. It is made of glycan strands [poly-(GlcNAc-MurNAc)], which are linked by short peptides to form a covalently closed net. Completely surrounding the cell, the murein represents a kind of bacterial exoskeleton known as the murein sacculus. Not only does the sacculus endow bacteria with mechanical stability, but in addition it maintains the specific shape of the cell. Enlargement and division of the murein sacculus is a prerequisite for growth of the bacterium. Two groups of enzymes, hydrolases and synthases, have to cooperate to allow the insertion of new subunits into the murein net. The action of these enzymes must be well coordinated to guarantee growth of the stress-bearing sacculus without risking bacteriolysis. Protein-protein interaction studies suggest that this is accomplished by the formation of a multienzyme complex, a murein-synthesizing machinery combining murein hydrolases and synthases. Enlargement of both the multilayered murein of gram-positive and the thin, single-layered murein of gram-negative bacteria seems to follow an inside-to-outside growth strategy. New material is hooked in a relaxed state underneath the stress-bearing sacculus before it becomes inserted upon cleavage of covalent bonds in the layer(s) under tension. A model is presented that postulates that maintenance of bacterial shape is achieved by the enzyme complex copying the preexisting murein sacculus that plays the role of a template.","note":"PMID: 9529891","journalAbbreviation":"Microbiol. Mol. Biol. Rev.","author":[{"family":"Höltje","given":"J V"}],"issued":{"year":1998,"month":3},"accessed":{"year":2012,"month":3,"day":6},"page-first":"181"}}],"schema":"https://github.com/citation-style-language/schema/raw/master/csl-citation.json"}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szCs w:val="24"/>
        </w:rPr>
        <w:t>Höltje, 1998)</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 xml:space="preserve">. In this model, one glycan strand in the sacculus (the docking strand) is displaced by a nascent triplet of cross-linked glycan strands and pulled into the plane of the sacculus under turgor stress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{"citationID":"9HcsTdTp","properties":{"formattedCitation":"{\\rtf (H\\uc0\\u246{}ltje, 1998)}","plainCitation":"(Höltje, 1998)"},"citationItems":[{"id":13,"uris":["http://zotero.org/users/944474/items/64V5T8BJ"],"uri":["http://zotero.org/users/944474/items/64V5T8BJ"],"itemData":{"id":13,"type":"article-journal","title":"Growth of the stress-bearing and shape-maintaining murein sacculus of Escherichia coli","container-title":"Microbiology and Molecular Biology Reviews: MMBR","page":"181-203","volume":"62","issue":"1","abstract":"To withstand the high intracellular pressure, the cell wall of most bacteria is stabilized by a unique cross-linked biopolymer called murein or peptidoglycan. It is made of glycan strands [poly-(GlcNAc-MurNAc)], which are linked by short peptides to form a covalently closed net. Completely surrounding the cell, the murein represents a kind of bacterial exoskeleton known as the murein sacculus. Not only does the sacculus endow bacteria with mechanical stability, but in addition it maintains the specific shape of the cell. Enlargement and division of the murein sacculus is a prerequisite for growth of the bacterium. Two groups of enzymes, hydrolases and synthases, have to cooperate to allow the insertion of new subunits into the murein net. The action of these enzymes must be well coordinated to guarantee growth of the stress-bearing sacculus without risking bacteriolysis. Protein-protein interaction studies suggest that this is accomplished by the formation of a multienzyme complex, a murein-synthesizing machinery combining murein hydrolases and synthases. Enlargement of both the multilayered murein of gram-positive and the thin, single-layered murein of gram-negative bacteria seems to follow an inside-to-outside growth strategy. New material is hooked in a relaxed state underneath the stress-bearing sacculus before it becomes inserted upon cleavage of covalent bonds in the layer(s) under tension. A model is presented that postulates that maintenance of bacterial shape is achieved by the enzyme complex copying the preexisting murein sacculus that plays the role of a template.","note":"PMID: 9529891","journalAbbreviation":"Microbiol. Mol. Biol. Rev.","author":[{"family":"Höltje","given":"J V"}],"issued":{"year":1998,"month":3},"accessed":{"year":2012,"month":3,"day":6},"page-first":"181"}}],"schema":"https://github.com/citation-style-language/schema/raw/master/csl-citation.json"}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szCs w:val="24"/>
        </w:rPr>
        <w:t>(Höltje, 1998)</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 A three-for-one growth mechanism of ‘inside-to-outside’ growth, compatible with growth of the multilayered Gram-positive sacculus was later proposed (Figure 1.6B</w:t>
      </w:r>
      <w:r>
        <w:rPr>
          <w:rFonts w:ascii="Times New Roman" w:hAnsi="Times New Roman" w:cs="Times New Roman"/>
          <w:color w:val="000000" w:themeColor="text1"/>
          <w:sz w:val="24"/>
          <w:szCs w:val="24"/>
        </w:rPr>
        <w:t>;</w:t>
      </w:r>
      <w:r w:rsidRPr="000D1271">
        <w:rPr>
          <w:rFonts w:ascii="Times New Roman" w:hAnsi="Times New Roman" w:cs="Times New Roman"/>
          <w:color w:val="000000" w:themeColor="text1"/>
          <w:sz w:val="24"/>
          <w:szCs w:val="24"/>
        </w:rPr>
        <w:t xml:space="preserve">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{"citationID":"2plkf5i0cn","properties":{"formattedCitation":"{\\rtf (H\\uc0\\u246{}ltje and Heidrich, 2001)}","plainCitation":"(Höltje and Heidrich, 2001)"},"citationItems":[{"id":14,"uris":["http://zotero.org/users/944474/items/UVTUZT4Q"],"uri":["http://zotero.org/users/944474/items/UVTUZT4Q"],"itemData":{"id":14,"type":"article-journal","title":"Enzymology of elongation and constriction of the murein sacculus of Escherichia coli","container-title":"Biochimie","page":"103-108","volume":"83","issue":"1","abstract":"Multiple deletions in murein hydrolases revealed that predominantly amidases are responsible for cleavage of the septum during cell division. Endopeptidases and lytic transglycosylases seem also be involved. In the absence of these enzymes E. coli grows normally but forms chains of adhering cells. Surprisingly, mutants lacking up to eight different murein hydrolases still grow with almost unaffected growth rate. Therefore it is speculated that general enlargement of the murein sacculus may differ from cell division by using transferases rather than the two sets of hydrolytic and synthetic enzymes as seems to be the case for the constriction process. A model is presented that describes growth of the murein of both Gram-positive and -negative bacteria by the activity of murein transferases. It is speculated that enzymes exist that catalyze a transpeptidation of the pre-existing murein onto murein precursors or nascent murein by using the chemical energy present in peptide cross-bridges. Such enzymes would at the same time cleave bonds in the murein net and insert new material into the growing sacculus.","note":"PMID: 11254982","journalAbbreviation":"Biochimie","author":[{"family":"Höltje","given":"J V"},{"family":"Heidrich","given":"C"}],"issued":{"year":2001,"month":1},"accessed":{"year":2012,"month":3,"day":6},"page-first":"103"}}],"schema":"https://github.com/citation-style-language/schema/raw/master/csl-citation.json"}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szCs w:val="24"/>
        </w:rPr>
        <w:t>Höltje and Heidrich, 2001)</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 Such a mode of insertion would necessitate coordination of enzyme complexes comprising both transpeptidases</w:t>
      </w:r>
      <w:r w:rsidRPr="00630253">
        <w:rPr>
          <w:rFonts w:ascii="Times New Roman" w:hAnsi="Times New Roman" w:cs="Times New Roman"/>
          <w:sz w:val="24"/>
          <w:szCs w:val="24"/>
        </w:rPr>
        <w:t xml:space="preserve"> and hydrolases.</w:t>
      </w:r>
      <w:r>
        <w:rPr>
          <w:rFonts w:ascii="Times New Roman" w:hAnsi="Times New Roman" w:cs="Times New Roman"/>
          <w:sz w:val="24"/>
          <w:szCs w:val="24"/>
        </w:rPr>
        <w:t xml:space="preserve"> Whether this growth mode occurs </w:t>
      </w:r>
      <w:r>
        <w:rPr>
          <w:rFonts w:ascii="Times New Roman" w:hAnsi="Times New Roman" w:cs="Times New Roman"/>
          <w:i/>
          <w:sz w:val="24"/>
          <w:szCs w:val="24"/>
        </w:rPr>
        <w:t>in vivo</w:t>
      </w:r>
      <w:r>
        <w:rPr>
          <w:rFonts w:ascii="Times New Roman" w:hAnsi="Times New Roman" w:cs="Times New Roman"/>
          <w:sz w:val="24"/>
          <w:szCs w:val="24"/>
        </w:rPr>
        <w:t xml:space="preserve"> is unknown.</w:t>
      </w:r>
    </w:p>
    <w:p w:rsidR="00BC7652" w:rsidRDefault="00BC7652" w:rsidP="00BC7652">
      <w:pPr>
        <w:spacing w:line="480" w:lineRule="auto"/>
        <w:jc w:val="both"/>
        <w:rPr>
          <w:rFonts w:ascii="Times New Roman" w:hAnsi="Times New Roman" w:cs="Times New Roman"/>
          <w:sz w:val="24"/>
          <w:szCs w:val="24"/>
        </w:rPr>
      </w:pPr>
    </w:p>
    <w:p w:rsidR="00BC7652" w:rsidRPr="008D0209" w:rsidRDefault="00BC7652" w:rsidP="00BC7652">
      <w:pPr>
        <w:tabs>
          <w:tab w:val="left" w:pos="1276"/>
        </w:tabs>
        <w:spacing w:line="480" w:lineRule="auto"/>
        <w:jc w:val="both"/>
        <w:rPr>
          <w:rFonts w:ascii="Times New Roman" w:hAnsi="Times New Roman" w:cs="Times New Roman"/>
          <w:sz w:val="28"/>
          <w:szCs w:val="28"/>
        </w:rPr>
      </w:pPr>
      <w:r>
        <w:rPr>
          <w:rFonts w:ascii="Times New Roman" w:hAnsi="Times New Roman" w:cs="Times New Roman"/>
          <w:sz w:val="28"/>
          <w:szCs w:val="28"/>
        </w:rPr>
        <w:t>1.5.2</w:t>
      </w:r>
      <w:r>
        <w:rPr>
          <w:rFonts w:ascii="Times New Roman" w:hAnsi="Times New Roman" w:cs="Times New Roman"/>
          <w:sz w:val="28"/>
          <w:szCs w:val="28"/>
        </w:rPr>
        <w:tab/>
        <w:t xml:space="preserve">Coordination of peptidoglycan synthesis </w:t>
      </w:r>
    </w:p>
    <w:p w:rsidR="00BC7652" w:rsidRPr="000D1271" w:rsidRDefault="00BC7652" w:rsidP="00BC7652">
      <w:pPr>
        <w:spacing w:before="240" w:line="480" w:lineRule="auto"/>
        <w:jc w:val="both"/>
        <w:rPr>
          <w:rFonts w:ascii="Times New Roman" w:hAnsi="Times New Roman" w:cs="Times New Roman"/>
          <w:color w:val="000000" w:themeColor="text1"/>
          <w:sz w:val="24"/>
          <w:szCs w:val="24"/>
        </w:rPr>
      </w:pPr>
      <w:r w:rsidRPr="000D1271">
        <w:rPr>
          <w:rFonts w:ascii="Times New Roman" w:hAnsi="Times New Roman" w:cs="Times New Roman"/>
          <w:color w:val="000000" w:themeColor="text1"/>
          <w:sz w:val="24"/>
          <w:szCs w:val="24"/>
        </w:rPr>
        <w:t xml:space="preserve">Peptidoglycan biosynthesis must be coordinated in such a way that cell shape is maintained. Cytoskeletal elements, MreB and FtsZ which are structural homologues of eukaryotic actin and tubulin respectively, act as scaffolds to coordinate the peptidoglycan biosynthetic apparatus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{"citationID":"1f0n5pkhjc","properties":{"formattedCitation":"{\\rtf (L\\uc0\\u246{}we and Amos, 1998; Jones et al., 2001; van den Ent et al., 2001; Daniel and Errington, 2003; Errington et al., 2003)}","plainCitation":"(Löwe and Amos, 1998; Jones et al., 2001; van den Ent et al., 2001; Daniel and Errington, 2003; Errington et al., 2003)"},"citationItems":[{"id":347,"uris":["http://zotero.org/users/944474/items/T4FZPZ5B"],"uri":["http://zotero.org/users/944474/items/T4FZPZ5B"],"itemData":{"id":347,"type":"article-journal","title":"Crystal structure of the bacterial cell-division protein FtsZ","container-title":"Nature","page":"203-206","volume":"391","issue":"6663","abstract":"Bacterial cell division ends with septation, the constriction of the cell wall and cell membranes that leads to the formation of two daughter cells. During septation, FtsZ, a protein of relative molecular mass 40,000 which is ubiquitous in eubacteria and is also found in archaea and chloroplasts, localizes early at the division site to form a ring-shaped septum. This septum is required for the mechanochemical process of membrane constriction. FtsZ is a GTPase with weak sequence homology to tubulins. The nature of FtsZ polymers in vivo is unknown, but FtsZ can form tubules, sheets and minirings in vitro. Here we report the crystal structure at 2.8 A resolution of recombinant FtsZ from the hyperthermophilic methanogen Methanococcus jannaschii. FtsZ has two domains, one of which is a GTPase domain with a fold related to one found in the proteins p21ras and elongation factor EF-Tu. The carboxy-terminal domain, whose function is unknown, is a four-stranded beta-sheet tilted by 90 degrees against the beta-sheet of the GTPase domain. The two domains are arranged around a central helix. GDP binding is different from that typically found in GTPases and involves four phosphate-binding loops and a sugar-binding loop in the first domain, with guanine being recognized by residues in the central connecting helix. The three-dimensional structure of FtsZ is similar to the structure of alpha- and beta-tubulin.","DOI":"10.1038/34472","note":"PMID: 9428770","journalAbbreviation":"Nature","author":[{"family":"Löwe","given":"J"},{"family":"Amos","given":"L A"}],"issued":{"year":1998,"month":1,"day":8},"accessed":{"year":2012,"month":6,"day":5},"page-first":"203"}},{"id":231,"uris":["http://zotero.org/users/944474/items/4N2GSPBX"],"uri":["http://zotero.org/users/944474/items/4N2GSPBX"],"itemData":{"id":231,"type":"article-journal","title":"Control of cell shape in bacteria: helical, actin-like filaments in Bacillus subtilis","container-title":"Cell","page":"913-922","volume":"104","issue":"6","abstract":"In the absence of an overt cytoskeleton, the external cell wall of bacteria has traditionally been assumed to be the primary determinant of cell shape. In the Gram-positive bacterium Bacillus subtilis, two related genes, mreB and mbl, were shown to be required for different aspects of cell morphogenesis. Subcellular localization of the MreB and Mbl proteins revealed that each forms a distinct kind of filamentous helical structure lying close to the cell surface. The distribution of the proteins in different species of bacteria, and the similarity of their sequence to eukaryotic actins, suggest that the MreB-like proteins have a cytoskeletal, actin-like role in bacterial cell morphogenesis.","note":"PMID: 11290328","shortTitle":"Control of cell shape in bacteria","journalAbbreviation":"Cell","author":[{"family":"Jones","given":"L J"},{"family":"Carballido-López","given":"R"},{"family":"Errington","given":"J"}],"issued":{"year":2001,"month":3,"day":23},"accessed":{"year":2012,"month":5,"day":18},"page-first":"913"}},{"id":239,"uris":["http://zotero.org/users/944474/items/87PPR35N"],"uri":["http://zotero.org/users/944474/items/87PPR35N"],"itemData":{"id":239,"type":"article-journal","title":"Prokaryotic origin of the actin cytoskeleton","container-title":"Nature","page":"39-44","volume":"413","issue":"6851","abstract":"It was thought until recently that bacteria lack the actin or tubulin filament networks that organize eukaryotic cytoplasm. However, we show here that the bacterial MreB protein assembles into filaments with a subunit repeat similar to that of F-actin-the physiological polymer of eukaryotic actin. By elucidating the MreB crystal structure we demonstrate that MreB and actin are very similar in three dimensions. Moreover, the crystals contain protofilaments, allowing visualization of actin-like strands at atomic resolution. The structure of the MreB protofilament is in remarkably good agreement with the model for F-actin, showing that the proteins assemble in identical orientations. The actin-like properties of MreB explain the finding that MreB forms large fibrous spirals under the cell membrane of rod-shaped cells, where they are involved in cell-shape determination. Thus, prokaryotes are now known to possess homologues both of tubulin, namely FtsZ, and of actin.","DOI":"10.1038/35092500","note":"PMID: 11544518","journalAbbreviation":"Nature","author":[{"family":"van den Ent","given":"F"},{"family":"Amos","given":"L A"},{"family":"Löwe","given":"J"}],"issued":{"year":2001,"month":9,"day":6},"accessed":{"year":2012,"month":5,"day":21},"page-first":"39"}},{"id":235,"uris":["http://zotero.org/users/944474/items/K6264288"],"uri":["http://zotero.org/users/944474/items/K6264288"],"itemData":{"id":235,"type":"article-journal","title":"Control of cell morphogenesis in bacteria: two distinct ways to make a rod-shaped cell","container-title":"Cell","page":"767-776","volume":"113","issue":"6","abstract":"Cell shape in most eubacteria is maintained by a tough external peptidoglycan cell wall. Recently, cell shape determining proteins of the MreB family were shown to form helical, actin-like cables in the cell. We used a fluorescent derivative of the antibiotic vancomycin as a probe for nascent peptidoglycan synthesis in unfixed cells of various Gram-positive bacteria. In the rod-shaped bacterium B. subtilis, synthesis of the cylindrical part of the cell wall occurs in a helical pattern governed by an MreB homolog, Mbl. However, a few rod-shaped bacteria have no MreB system. Here, a rod-like shape can be achieved by a completely different mechanism based on use of polar growth zones derived from the division machinery. These results provide insights into the diverse molecular strategies used by bacteria to control their cellular morphology, as well as suggesting ways in which these strategies may impact on growth rates and cell envelope structure.","note":"PMID: 12809607","shortTitle":"Control of cell morphogenesis in bacteria","journalAbbreviation":"Cell","author":[{"family":"Daniel","given":"Richard A"},{"family":"Errington","given":"Jeff"}],"issued":{"year":2003,"month":6,"day":13},"accessed":{"year":2012,"month":5,"day":21},"page-first":"767"}},{"id":345,"uris":["http://zotero.org/users/944474/items/67W4TQH7"],"uri":["http://zotero.org/users/944474/items/67W4TQH7"],"itemData":{"id":345,"type":"article-journal","title":"Cytokinesis in bacteria","container-title":"Microbiology and molecular biology reviews: MMBR","page":"52-65, table of contents","volume":"67","issue":"1","abstract":"Work on two diverse rod-shaped bacteria, Escherichia coli and Bacillus subtilis, has defined a set of about 10 conserved proteins that are important for cell division in a wide range of eubacteria. These proteins are directed to the division site by the combination of two negative regulatory systems. Nucleoid occlusion is a poorly understood mechanism whereby the nucleoid prevents division in the cylindrical part of the cell, until chromosome segregation has occurred near midcell. The Min proteins prevent division in the nucleoid-free spaces near the cell poles in a manner that is beginning to be understood in cytological and biochemical terms. The hierarchy whereby the essential division proteins assemble at the midcell division site has been worked out for both E. coli and B. subtilis. They can be divided into essentially three classes depending on their position in the hierarchy and, to a certain extent, their subcellular localization. FtsZ is a cytosolic tubulin-like protein that polymerizes into an oligomeric structure that forms the initial ring at midcell. FtsA is another cytosolic protein that is related to actin, but its precise function is unclear. The cytoplasmic proteins are linked to the membrane by putative membrane anchor proteins, such as ZipA of E. coli and possibly EzrA of B. subtilis, which have a single membrane span but a cytoplasmic C-terminal domain. The remaining proteins are either integral membrane proteins or transmembrane proteins with their major domains outside the cell. The functions of most of these proteins are unclear with the exception of at least one penicillin-binding protein, which catalyzes a key step in cell wall synthesis in the division septum.","note":"PMID: 12626683","journalAbbreviation":"Microbiol. Mol. Biol. Rev.","author":[{"family":"Errington","given":"Jeffery"},{"family":"Daniel","given":"Richard A"},{"family":"Scheffers","given":"Dirk-Jan"}],"issued":{"year":2003,"month":3},"accessed":{"year":2012,"month":6,"day":5},"page-first":"52"}}],"schema":"https://github.com/citation-style-language/schema/raw/master/csl-citation.json"}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szCs w:val="24"/>
        </w:rPr>
        <w:t xml:space="preserve">(Löwe and Amos, 1998; Jones </w:t>
      </w:r>
      <w:r w:rsidRPr="00C521B3">
        <w:rPr>
          <w:rFonts w:ascii="Times New Roman" w:hAnsi="Times New Roman" w:cs="Times New Roman"/>
          <w:i/>
          <w:color w:val="000000" w:themeColor="text1"/>
          <w:sz w:val="24"/>
          <w:szCs w:val="24"/>
        </w:rPr>
        <w:t>et al</w:t>
      </w:r>
      <w:r w:rsidRPr="000D1271">
        <w:rPr>
          <w:rFonts w:ascii="Times New Roman" w:hAnsi="Times New Roman" w:cs="Times New Roman"/>
          <w:color w:val="000000" w:themeColor="text1"/>
          <w:sz w:val="24"/>
          <w:szCs w:val="24"/>
        </w:rPr>
        <w:t xml:space="preserve">., 2001; van den Ent </w:t>
      </w:r>
      <w:r w:rsidRPr="00C521B3">
        <w:rPr>
          <w:rFonts w:ascii="Times New Roman" w:hAnsi="Times New Roman" w:cs="Times New Roman"/>
          <w:i/>
          <w:color w:val="000000" w:themeColor="text1"/>
          <w:sz w:val="24"/>
          <w:szCs w:val="24"/>
        </w:rPr>
        <w:t>et al</w:t>
      </w:r>
      <w:r w:rsidRPr="000D1271">
        <w:rPr>
          <w:rFonts w:ascii="Times New Roman" w:hAnsi="Times New Roman" w:cs="Times New Roman"/>
          <w:color w:val="000000" w:themeColor="text1"/>
          <w:sz w:val="24"/>
          <w:szCs w:val="24"/>
        </w:rPr>
        <w:t xml:space="preserve">., 2001; Daniel and Errington, 2003; Errington </w:t>
      </w:r>
      <w:r w:rsidRPr="00C521B3">
        <w:rPr>
          <w:rFonts w:ascii="Times New Roman" w:hAnsi="Times New Roman" w:cs="Times New Roman"/>
          <w:i/>
          <w:color w:val="000000" w:themeColor="text1"/>
          <w:sz w:val="24"/>
          <w:szCs w:val="24"/>
        </w:rPr>
        <w:t>et al</w:t>
      </w:r>
      <w:r w:rsidRPr="000D1271">
        <w:rPr>
          <w:rFonts w:ascii="Times New Roman" w:hAnsi="Times New Roman" w:cs="Times New Roman"/>
          <w:color w:val="000000" w:themeColor="text1"/>
          <w:sz w:val="24"/>
          <w:szCs w:val="24"/>
        </w:rPr>
        <w:t>., 2003)</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 xml:space="preserve">. The FtsZ GTPase polymerises at the bacterial division ring and is required for division in almost all bacteria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{"citationID":"20spd1i8t0","properties":{"formattedCitation":"(Bernander and Ettema, 2010; Erickson et al., 2010)","plainCitation":"(Bernander and Ettema, 2010; Erickson et al., 2010)"},"citationItems":[{"id":602,"uris":["http://zotero.org/users/944474/items/ESPQM6TT"],"uri":["http://zotero.org/users/944474/items/ESPQM6TT"],"itemData":{"id":602,"type":"article-journal","title":"FtsZ-less cell division in archaea and bacteria","container-title":"Current opinion in microbiology","page":"747-752","volume":"13","issue":"6","abstract":"A dedicated cell division machinery is needed for efficient proliferation of an organism. The eukaryotic actin-myosin based mechanism and the bacterial FtsZ-dependent machinery have both been characterized in detail, and a third division mechanism, the Cdv system, was recently discovered in archaea from the Crenarchaeota phylum. Despite these findings, division mechanisms remain to be identified in, for example, organisms belonging to the bacterial PVC superphylum, bacteria with extremely reduced genomes, wall-less archaea and bacteria, and in archaea that carry out the division process without cell constriction. Cytokinesis mechanisms in these clades and individual taxa are likely to include adaptation of host functions to division of bacterial symbionts, transfer of bacterial division genes into the host genome, vesicle formation without a dedicated constriction machinery, cross-wall formation without invagination, as well as entirely novel division mechanisms.","DOI":"10.1016/j.mib.2010.10.005","note":"PMID: 21050804","journalAbbreviation":"Curr. Opin. Microbiol.","author":[{"family":"Bernander","given":"Rolf"},{"family":"Ettema","given":"Thijs Jg"}],"issued":{"year":2010,"month":12},"accessed":{"year":2012,"month":6,"day":21},"page-first":"747"}},{"id":601,"uris":["http://zotero.org/users/944474/items/958877CV"],"uri":["http://zotero.org/users/944474/items/958877CV"],"itemData":{"id":601,"type":"article-journal","title":"FtsZ in bacterial cytokinesis: cytoskeleton and force generator all in one","container-title":"Microbiology and molecular biology reviews: MMBR","page":"504-528","volume":"74","issue":"4","abstract":"FtsZ, a bacterial homolog of tubulin, is well established as forming the cytoskeletal framework for the cytokinetic ring. Recent work has shown that purified FtsZ, in the absence of any other division proteins, can assemble Z rings when incorporated inside tubular liposomes. Moreover, these artificial Z rings can generate a constriction force, demonstrating that FtsZ is its own force generator. Here we review light microscope observations of how Z rings assemble in bacteria. Assembly begins with long-pitch helices that condense into the Z ring. Once formed, the Z ring can transition to short-pitch helices that are suggestive of its structure. FtsZ assembles in vitro into short protofilaments that are </w:instrText>
      </w:r>
      <w:r w:rsidRPr="000D1271">
        <w:rPr>
          <w:rFonts w:ascii="Cambria Math" w:hAnsi="Cambria Math" w:cs="Cambria Math"/>
          <w:color w:val="000000" w:themeColor="text1"/>
          <w:sz w:val="24"/>
          <w:szCs w:val="24"/>
        </w:rPr>
        <w:instrText>∼</w:instrText>
      </w:r>
      <w:r w:rsidRPr="000D1271">
        <w:rPr>
          <w:rFonts w:ascii="Times New Roman" w:hAnsi="Times New Roman" w:cs="Times New Roman"/>
          <w:color w:val="000000" w:themeColor="text1"/>
          <w:sz w:val="24"/>
          <w:szCs w:val="24"/>
        </w:rPr>
        <w:instrText xml:space="preserve">30 subunits long. We present models for how these protofilaments might be further assembled into the Z ring. We discuss recent experiments on assembly dynamics of FtsZ in vitro, with particular attention to how two regulatory proteins, SulA and MinC, inhibit assembly. Recent efforts to develop antibacterial drugs that target FtsZ are reviewed. Finally, we discuss evidence of how FtsZ generates a constriction force: by protofilament bending into a curved conformation.","DOI":"10.1128/MMBR.00021-10","note":"PMID: 21119015","shortTitle":"FtsZ in bacterial cytokinesis","journalAbbreviation":"Microbiol. Mol. Biol. Rev.","author":[{"family":"Erickson","given":"Harold P"},{"family":"Anderson","given":"David E"},{"family":"Osawa","given":"Masaki"}],"issued":{"year":2010,"month":12},"accessed":{"year":2012,"month":6,"day":21},"page-first":"504"}}],"schema":"https://github.com/citation-style-language/schema/raw/master/csl-citation.json"}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rPr>
        <w:t xml:space="preserve">(Bernander and Ettema, 2010; Erickson </w:t>
      </w:r>
      <w:r w:rsidRPr="00C521B3">
        <w:rPr>
          <w:rFonts w:ascii="Times New Roman" w:hAnsi="Times New Roman" w:cs="Times New Roman"/>
          <w:i/>
          <w:color w:val="000000" w:themeColor="text1"/>
          <w:sz w:val="24"/>
        </w:rPr>
        <w:t>et al</w:t>
      </w:r>
      <w:r w:rsidRPr="000D1271">
        <w:rPr>
          <w:rFonts w:ascii="Times New Roman" w:hAnsi="Times New Roman" w:cs="Times New Roman"/>
          <w:color w:val="000000" w:themeColor="text1"/>
          <w:sz w:val="24"/>
        </w:rPr>
        <w:t>., 2010)</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 xml:space="preserve">. The emerging model is that FtsZ forms a dynamic ring of protofilaments at the septum, which acts as a constricting scaffold for coordination of cell division. The MreB cytoskeleton coordinates cylinder elongation in many rod-shaped bacteria. The MreB ATPase is highly dynamic and polymerises in localised patches which move rapidly around the cell cylinder in a helical manner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{"citationID":"1en0gdbdla","properties":{"formattedCitation":"{\\rtf (Dom\\uc0\\u237{}nguez-Escobar et al., 2011)}","plainCitation":"(Domínguez-Escobar et al., 2011)"},"citationItems":[{"id":236,"uris":["http://zotero.org/users/944474/items/DURF3HX3"],"uri":["http://zotero.org/users/944474/items/DURF3HX3"],"itemData":{"id":236,"type":"article-journal","title":"Processive movement of MreB-associated cell wall biosynthetic complexes in bacteria","container-title":"Science (New York, N.Y.)","page":"225-228","volume":"333","issue":"6039","abstract":"The peptidoglycan cell wall and the actin-like MreB cytoskeleton are major determinants of cell shape in rod-shaped bacteria. The prevailing model postulates that helical, membrane-associated MreB filaments organize elongation-specific peptidoglycan-synthesizing complexes along sidewalls. We used total internal reflection fluorescence microscopy to visualize the dynamic relation between MreB isoforms and cell wall synthesis in live Bacillus subtilis cells. During exponential growth, MreB proteins did not form helical structures. Instead, together with other morphogenetic factors, they assembled into discrete patches that moved processively along peripheral tracks perpendicular to the cell axis. Patch motility was largely powered by cell wall synthesis, and MreB polymers restricted diffusion of patch components in the membrane and oriented patch motion.","DOI":"10.1126/science.1203466","note":"PMID: 21636744","journalAbbreviation":"Science","author":[{"family":"Domínguez-Escobar","given":"Julia"},{"family":"Chastanet","given":"Arnaud"},{"family":"Crevenna","given":"Alvaro H"},{"family":"Fromion","given":"Vincent"},{"family":"Wedlich-Söldner","given":"Roland"},{"family":"Carballido-López","given":"Rut"}],"issued":{"year":2011,"month":7,"day":8},"accessed":{"year":2012,"month":5,"day":21},"page-first":"225"}}],"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szCs w:val="24"/>
        </w:rPr>
        <w:t xml:space="preserve">(Domínguez-Escobar </w:t>
      </w:r>
      <w:r w:rsidRPr="00C521B3">
        <w:rPr>
          <w:rFonts w:ascii="Times New Roman" w:hAnsi="Times New Roman" w:cs="Times New Roman"/>
          <w:i/>
          <w:color w:val="000000" w:themeColor="text1"/>
          <w:sz w:val="24"/>
          <w:szCs w:val="24"/>
        </w:rPr>
        <w:t>et al</w:t>
      </w:r>
      <w:r w:rsidRPr="000D1271">
        <w:rPr>
          <w:rFonts w:ascii="Times New Roman" w:hAnsi="Times New Roman" w:cs="Times New Roman"/>
          <w:color w:val="000000" w:themeColor="text1"/>
          <w:sz w:val="24"/>
          <w:szCs w:val="24"/>
        </w:rPr>
        <w:t>., 2011)</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w:t>
      </w:r>
    </w:p>
    <w:p w:rsidR="00BC7652" w:rsidRDefault="00BC7652" w:rsidP="00BC7652">
      <w:pPr>
        <w:autoSpaceDE w:val="0"/>
        <w:autoSpaceDN w:val="0"/>
        <w:adjustRightInd w:val="0"/>
        <w:spacing w:after="120" w:line="480" w:lineRule="auto"/>
        <w:jc w:val="right"/>
        <w:rPr>
          <w:rFonts w:ascii="Times New Roman" w:hAnsi="Times New Roman" w:cs="Times New Roman"/>
          <w:color w:val="000000"/>
          <w:sz w:val="28"/>
          <w:szCs w:val="28"/>
        </w:rPr>
      </w:pPr>
      <w:r w:rsidRPr="00A74453">
        <w:rPr>
          <w:rFonts w:ascii="Times New Roman" w:hAnsi="Times New Roman" w:cs="Times New Roman"/>
          <w:noProof/>
          <w:color w:val="000000"/>
          <w:sz w:val="28"/>
          <w:szCs w:val="28"/>
          <w:lang w:val="en-US" w:eastAsia="zh-TW"/>
        </w:rPr>
        <w:lastRenderedPageBreak/>
        <w:pict>
          <v:shape id="_x0000_s1030" type="#_x0000_t202" style="position:absolute;left:0;text-align:left;margin-left:1.4pt;margin-top:-7.35pt;width:36.3pt;height:47.45pt;z-index:251658240;mso-width-relative:margin;mso-height-relative:margin" filled="f" stroked="f">
            <v:textbox>
              <w:txbxContent>
                <w:p w:rsidR="002D7C9B" w:rsidRPr="005E7F7B" w:rsidRDefault="002D7C9B" w:rsidP="00BC7652">
                  <w:pPr>
                    <w:rPr>
                      <w:sz w:val="52"/>
                      <w:szCs w:val="52"/>
                    </w:rPr>
                  </w:pPr>
                  <w:r w:rsidRPr="005E7F7B">
                    <w:rPr>
                      <w:sz w:val="52"/>
                      <w:szCs w:val="52"/>
                    </w:rPr>
                    <w:t>A</w:t>
                  </w:r>
                </w:p>
              </w:txbxContent>
            </v:textbox>
          </v:shape>
        </w:pict>
      </w:r>
      <w:r>
        <w:rPr>
          <w:rFonts w:ascii="Times New Roman" w:hAnsi="Times New Roman" w:cs="Times New Roman"/>
          <w:noProof/>
          <w:color w:val="000000"/>
          <w:sz w:val="28"/>
          <w:szCs w:val="28"/>
          <w:lang w:eastAsia="en-GB"/>
        </w:rPr>
        <w:pict>
          <v:shape id="_x0000_s1031" type="#_x0000_t202" style="position:absolute;left:0;text-align:left;margin-left:1.35pt;margin-top:279.9pt;width:36.3pt;height:47.45pt;z-index:251658240;mso-width-relative:margin;mso-height-relative:margin" filled="f" stroked="f">
            <v:textbox>
              <w:txbxContent>
                <w:p w:rsidR="002D7C9B" w:rsidRPr="005E7F7B" w:rsidRDefault="002D7C9B" w:rsidP="00BC7652">
                  <w:pPr>
                    <w:rPr>
                      <w:sz w:val="52"/>
                      <w:szCs w:val="52"/>
                    </w:rPr>
                  </w:pPr>
                  <w:r>
                    <w:rPr>
                      <w:sz w:val="52"/>
                      <w:szCs w:val="52"/>
                    </w:rPr>
                    <w:t>B</w:t>
                  </w:r>
                </w:p>
              </w:txbxContent>
            </v:textbox>
          </v:shape>
        </w:pict>
      </w:r>
      <w:r>
        <w:rPr>
          <w:rFonts w:ascii="Times New Roman" w:hAnsi="Times New Roman" w:cs="Times New Roman"/>
          <w:noProof/>
          <w:color w:val="000000"/>
          <w:sz w:val="28"/>
          <w:szCs w:val="28"/>
          <w:lang w:eastAsia="en-GB"/>
        </w:rPr>
        <w:drawing>
          <wp:inline distT="0" distB="0" distL="0" distR="0">
            <wp:extent cx="4898381" cy="3420000"/>
            <wp:effectExtent l="0" t="0" r="0" b="0"/>
            <wp:docPr id="17" name="Picture 1" descr="Three for one model.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ree for one model.emf"/>
                    <pic:cNvPicPr/>
                  </pic:nvPicPr>
                  <pic:blipFill>
                    <a:blip r:embed="rId16" cstate="print"/>
                    <a:srcRect l="1113" r="1283"/>
                    <a:stretch>
                      <a:fillRect/>
                    </a:stretch>
                  </pic:blipFill>
                  <pic:spPr>
                    <a:xfrm>
                      <a:off x="0" y="0"/>
                      <a:ext cx="4898381" cy="3420000"/>
                    </a:xfrm>
                    <a:prstGeom prst="rect">
                      <a:avLst/>
                    </a:prstGeom>
                  </pic:spPr>
                </pic:pic>
              </a:graphicData>
            </a:graphic>
          </wp:inline>
        </w:drawing>
      </w:r>
    </w:p>
    <w:p w:rsidR="00BC7652" w:rsidRDefault="00BC7652" w:rsidP="00BC7652">
      <w:pPr>
        <w:autoSpaceDE w:val="0"/>
        <w:autoSpaceDN w:val="0"/>
        <w:adjustRightInd w:val="0"/>
        <w:spacing w:after="120" w:line="480" w:lineRule="auto"/>
        <w:jc w:val="right"/>
        <w:rPr>
          <w:rFonts w:ascii="Times New Roman" w:hAnsi="Times New Roman" w:cs="Times New Roman"/>
          <w:color w:val="000000"/>
          <w:sz w:val="28"/>
          <w:szCs w:val="28"/>
        </w:rPr>
      </w:pPr>
      <w:r w:rsidRPr="00F366A9">
        <w:rPr>
          <w:rFonts w:ascii="Times New Roman" w:hAnsi="Times New Roman" w:cs="Times New Roman"/>
          <w:noProof/>
          <w:color w:val="000000"/>
          <w:sz w:val="28"/>
          <w:szCs w:val="28"/>
          <w:lang w:eastAsia="en-GB"/>
        </w:rPr>
        <w:drawing>
          <wp:inline distT="0" distB="0" distL="0" distR="0">
            <wp:extent cx="4885939" cy="2838340"/>
            <wp:effectExtent l="19050" t="0" r="0" b="0"/>
            <wp:docPr id="18" name="Picture 24" descr="Gram pos 3-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m pos 3-4-1.tif"/>
                    <pic:cNvPicPr/>
                  </pic:nvPicPr>
                  <pic:blipFill>
                    <a:blip r:embed="rId17" cstate="print"/>
                    <a:srcRect l="677" t="1468" r="1470"/>
                    <a:stretch>
                      <a:fillRect/>
                    </a:stretch>
                  </pic:blipFill>
                  <pic:spPr>
                    <a:xfrm>
                      <a:off x="0" y="0"/>
                      <a:ext cx="4885939" cy="2838340"/>
                    </a:xfrm>
                    <a:prstGeom prst="rect">
                      <a:avLst/>
                    </a:prstGeom>
                  </pic:spPr>
                </pic:pic>
              </a:graphicData>
            </a:graphic>
          </wp:inline>
        </w:drawing>
      </w:r>
    </w:p>
    <w:p w:rsidR="00BC7652" w:rsidRPr="00E21D0B" w:rsidRDefault="00BC7652" w:rsidP="00BC7652">
      <w:pPr>
        <w:autoSpaceDE w:val="0"/>
        <w:autoSpaceDN w:val="0"/>
        <w:adjustRightInd w:val="0"/>
        <w:spacing w:after="120" w:line="360" w:lineRule="auto"/>
        <w:jc w:val="both"/>
        <w:rPr>
          <w:rFonts w:ascii="Times New Roman" w:hAnsi="Times New Roman" w:cs="Times New Roman"/>
          <w:b/>
          <w:sz w:val="24"/>
          <w:szCs w:val="24"/>
        </w:rPr>
      </w:pPr>
      <w:proofErr w:type="gramStart"/>
      <w:r w:rsidRPr="00A82E59">
        <w:rPr>
          <w:rFonts w:ascii="Times New Roman" w:hAnsi="Times New Roman" w:cs="Times New Roman"/>
          <w:b/>
          <w:color w:val="000000"/>
          <w:sz w:val="24"/>
          <w:szCs w:val="24"/>
        </w:rPr>
        <w:t xml:space="preserve">Figure </w:t>
      </w:r>
      <w:r>
        <w:rPr>
          <w:rFonts w:ascii="Times New Roman" w:hAnsi="Times New Roman" w:cs="Times New Roman"/>
          <w:b/>
          <w:color w:val="000000"/>
          <w:sz w:val="24"/>
          <w:szCs w:val="24"/>
        </w:rPr>
        <w:t>1.6</w:t>
      </w:r>
      <w:r w:rsidRPr="00A82E59">
        <w:rPr>
          <w:rFonts w:ascii="Times New Roman" w:hAnsi="Times New Roman" w:cs="Times New Roman"/>
          <w:b/>
          <w:color w:val="000000"/>
          <w:sz w:val="24"/>
          <w:szCs w:val="24"/>
        </w:rPr>
        <w:t>.</w:t>
      </w:r>
      <w:proofErr w:type="gramEnd"/>
      <w:r w:rsidRPr="00A82E59">
        <w:rPr>
          <w:rFonts w:ascii="Times New Roman" w:hAnsi="Times New Roman" w:cs="Times New Roman"/>
          <w:b/>
          <w:color w:val="000000"/>
          <w:sz w:val="24"/>
          <w:szCs w:val="24"/>
        </w:rPr>
        <w:t xml:space="preserve"> </w:t>
      </w:r>
      <w:proofErr w:type="gramStart"/>
      <w:r>
        <w:rPr>
          <w:rFonts w:ascii="Times New Roman" w:hAnsi="Times New Roman" w:cs="Times New Roman"/>
          <w:b/>
          <w:color w:val="000000"/>
          <w:sz w:val="24"/>
          <w:szCs w:val="24"/>
        </w:rPr>
        <w:t>Safe enlargement of the cell wall</w:t>
      </w:r>
      <w:r w:rsidRPr="00A82E59">
        <w:rPr>
          <w:rFonts w:ascii="Times New Roman" w:hAnsi="Times New Roman" w:cs="Times New Roman"/>
          <w:b/>
          <w:color w:val="000000"/>
          <w:sz w:val="24"/>
          <w:szCs w:val="24"/>
        </w:rPr>
        <w:t>.</w:t>
      </w:r>
      <w:proofErr w:type="gramEnd"/>
      <w:r>
        <w:rPr>
          <w:rFonts w:ascii="Times New Roman" w:hAnsi="Times New Roman" w:cs="Times New Roman"/>
          <w:color w:val="000000"/>
          <w:sz w:val="24"/>
          <w:szCs w:val="24"/>
        </w:rPr>
        <w:t xml:space="preserve"> </w:t>
      </w:r>
      <w:proofErr w:type="gramStart"/>
      <w:r>
        <w:rPr>
          <w:rFonts w:ascii="Times New Roman" w:hAnsi="Times New Roman" w:cs="Times New Roman"/>
          <w:sz w:val="24"/>
          <w:szCs w:val="24"/>
        </w:rPr>
        <w:t>A, The three-for-one model.</w:t>
      </w:r>
      <w:proofErr w:type="gramEnd"/>
      <w:r>
        <w:rPr>
          <w:rFonts w:ascii="Times New Roman" w:hAnsi="Times New Roman" w:cs="Times New Roman"/>
          <w:sz w:val="24"/>
          <w:szCs w:val="24"/>
        </w:rPr>
        <w:t xml:space="preserve"> A cross-linked triplet of nascent peptidoglycan forms </w:t>
      </w:r>
      <w:r w:rsidRPr="00630253">
        <w:rPr>
          <w:rFonts w:ascii="Times New Roman" w:hAnsi="Times New Roman" w:cs="Times New Roman"/>
          <w:sz w:val="24"/>
          <w:szCs w:val="24"/>
        </w:rPr>
        <w:t>a trimeric crossbridge</w:t>
      </w:r>
      <w:r>
        <w:rPr>
          <w:rFonts w:ascii="Times New Roman" w:hAnsi="Times New Roman" w:cs="Times New Roman"/>
          <w:sz w:val="24"/>
          <w:szCs w:val="24"/>
        </w:rPr>
        <w:t xml:space="preserve"> beneath </w:t>
      </w:r>
      <w:r w:rsidRPr="00630253">
        <w:rPr>
          <w:rFonts w:ascii="Times New Roman" w:hAnsi="Times New Roman" w:cs="Times New Roman"/>
          <w:sz w:val="24"/>
          <w:szCs w:val="24"/>
        </w:rPr>
        <w:t>a single glyca</w:t>
      </w:r>
      <w:r>
        <w:rPr>
          <w:rFonts w:ascii="Times New Roman" w:hAnsi="Times New Roman" w:cs="Times New Roman"/>
          <w:sz w:val="24"/>
          <w:szCs w:val="24"/>
        </w:rPr>
        <w:t xml:space="preserve">n strand (the docking strand) in the sacculus. </w:t>
      </w:r>
      <w:r w:rsidRPr="00630253">
        <w:rPr>
          <w:rFonts w:ascii="Times New Roman" w:hAnsi="Times New Roman" w:cs="Times New Roman"/>
          <w:sz w:val="24"/>
          <w:szCs w:val="24"/>
        </w:rPr>
        <w:t>The docking strand is selectively excised</w:t>
      </w:r>
      <w:r>
        <w:rPr>
          <w:rFonts w:ascii="Times New Roman" w:hAnsi="Times New Roman" w:cs="Times New Roman"/>
          <w:sz w:val="24"/>
          <w:szCs w:val="24"/>
        </w:rPr>
        <w:t>, drawing</w:t>
      </w:r>
      <w:r w:rsidRPr="00630253">
        <w:rPr>
          <w:rFonts w:ascii="Times New Roman" w:hAnsi="Times New Roman" w:cs="Times New Roman"/>
          <w:sz w:val="24"/>
          <w:szCs w:val="24"/>
        </w:rPr>
        <w:t xml:space="preserve"> the </w:t>
      </w:r>
      <w:r>
        <w:rPr>
          <w:rFonts w:ascii="Times New Roman" w:hAnsi="Times New Roman" w:cs="Times New Roman"/>
          <w:sz w:val="24"/>
          <w:szCs w:val="24"/>
        </w:rPr>
        <w:t xml:space="preserve">nascent material into the stress bearing plane of the sacculus. </w:t>
      </w:r>
      <w:proofErr w:type="gramStart"/>
      <w:r w:rsidRPr="00F366A9">
        <w:rPr>
          <w:rFonts w:ascii="Times New Roman" w:hAnsi="Times New Roman" w:cs="Times New Roman"/>
          <w:sz w:val="24"/>
          <w:szCs w:val="24"/>
        </w:rPr>
        <w:t>B</w:t>
      </w:r>
      <w:r>
        <w:rPr>
          <w:rFonts w:ascii="Times New Roman" w:hAnsi="Times New Roman" w:cs="Times New Roman"/>
          <w:sz w:val="24"/>
          <w:szCs w:val="24"/>
        </w:rPr>
        <w:t>,</w:t>
      </w:r>
      <w:r w:rsidRPr="00E21D0B">
        <w:rPr>
          <w:rFonts w:ascii="Times New Roman" w:hAnsi="Times New Roman" w:cs="Times New Roman"/>
          <w:sz w:val="24"/>
          <w:szCs w:val="24"/>
        </w:rPr>
        <w:t xml:space="preserve"> Inside-to-outside growth</w:t>
      </w:r>
      <w:r>
        <w:rPr>
          <w:rFonts w:ascii="Times New Roman" w:hAnsi="Times New Roman" w:cs="Times New Roman"/>
          <w:sz w:val="24"/>
          <w:szCs w:val="24"/>
        </w:rPr>
        <w:t xml:space="preserve"> of the Gram-positive </w:t>
      </w:r>
      <w:r w:rsidRPr="00024B87">
        <w:rPr>
          <w:rFonts w:ascii="Times New Roman" w:hAnsi="Times New Roman" w:cs="Times New Roman"/>
          <w:sz w:val="24"/>
          <w:szCs w:val="24"/>
        </w:rPr>
        <w:t>sacculus, based on the three-for-one model.</w:t>
      </w:r>
      <w:proofErr w:type="gramEnd"/>
      <w:r w:rsidRPr="00024B87">
        <w:rPr>
          <w:rFonts w:ascii="Times New Roman" w:hAnsi="Times New Roman" w:cs="Times New Roman"/>
          <w:sz w:val="24"/>
          <w:szCs w:val="24"/>
        </w:rPr>
        <w:t xml:space="preserve"> </w:t>
      </w:r>
      <w:proofErr w:type="gramStart"/>
      <w:r w:rsidRPr="00024B87">
        <w:rPr>
          <w:rFonts w:ascii="Times New Roman" w:hAnsi="Times New Roman" w:cs="Times New Roman"/>
          <w:sz w:val="24"/>
          <w:szCs w:val="24"/>
        </w:rPr>
        <w:t>Shaded circles</w:t>
      </w:r>
      <w:r>
        <w:rPr>
          <w:rFonts w:ascii="Times New Roman" w:hAnsi="Times New Roman" w:cs="Times New Roman"/>
          <w:sz w:val="24"/>
          <w:szCs w:val="24"/>
        </w:rPr>
        <w:t>;</w:t>
      </w:r>
      <w:r w:rsidRPr="00024B87">
        <w:rPr>
          <w:rFonts w:ascii="Times New Roman" w:hAnsi="Times New Roman" w:cs="Times New Roman"/>
          <w:sz w:val="24"/>
          <w:szCs w:val="24"/>
        </w:rPr>
        <w:t xml:space="preserve"> nascent </w:t>
      </w:r>
      <w:r>
        <w:rPr>
          <w:rFonts w:ascii="Times New Roman" w:hAnsi="Times New Roman" w:cs="Times New Roman"/>
          <w:sz w:val="24"/>
          <w:szCs w:val="24"/>
        </w:rPr>
        <w:t>disaccharide pentapeptide trimer,</w:t>
      </w:r>
      <w:r w:rsidRPr="00024B87">
        <w:rPr>
          <w:rFonts w:ascii="Times New Roman" w:hAnsi="Times New Roman" w:cs="Times New Roman"/>
          <w:sz w:val="24"/>
          <w:szCs w:val="24"/>
        </w:rPr>
        <w:t xml:space="preserve"> white circles</w:t>
      </w:r>
      <w:r>
        <w:rPr>
          <w:rFonts w:ascii="Times New Roman" w:hAnsi="Times New Roman" w:cs="Times New Roman"/>
          <w:sz w:val="24"/>
          <w:szCs w:val="24"/>
        </w:rPr>
        <w:t>;</w:t>
      </w:r>
      <w:r w:rsidRPr="00024B87">
        <w:rPr>
          <w:rFonts w:ascii="Times New Roman" w:hAnsi="Times New Roman" w:cs="Times New Roman"/>
          <w:sz w:val="24"/>
          <w:szCs w:val="24"/>
        </w:rPr>
        <w:t xml:space="preserve"> </w:t>
      </w:r>
      <w:r>
        <w:rPr>
          <w:rFonts w:ascii="Times New Roman" w:hAnsi="Times New Roman" w:cs="Times New Roman"/>
          <w:sz w:val="24"/>
          <w:szCs w:val="24"/>
        </w:rPr>
        <w:t>pre-</w:t>
      </w:r>
      <w:r w:rsidRPr="000D1271">
        <w:rPr>
          <w:rFonts w:ascii="Times New Roman" w:hAnsi="Times New Roman" w:cs="Times New Roman"/>
          <w:color w:val="000000" w:themeColor="text1"/>
          <w:sz w:val="24"/>
          <w:szCs w:val="24"/>
        </w:rPr>
        <w:t>existing peptidoglycan of the sacculus.</w:t>
      </w:r>
      <w:proofErr w:type="gramEnd"/>
      <w:r w:rsidRPr="000D1271">
        <w:rPr>
          <w:rFonts w:ascii="Times New Roman" w:hAnsi="Times New Roman" w:cs="Times New Roman"/>
          <w:color w:val="000000" w:themeColor="text1"/>
          <w:sz w:val="24"/>
          <w:szCs w:val="24"/>
        </w:rPr>
        <w:t xml:space="preserve"> Bars represent stem peptides. Adapted from </w:t>
      </w:r>
      <w:r w:rsidRPr="000D1271">
        <w:rPr>
          <w:rFonts w:ascii="Times New Roman" w:hAnsi="Times New Roman" w:cs="Times New Roman"/>
          <w:color w:val="000000" w:themeColor="text1"/>
          <w:sz w:val="24"/>
          <w:szCs w:val="24"/>
        </w:rPr>
        <w:fldChar w:fldCharType="begin"/>
      </w:r>
      <w:r w:rsidRPr="000D1271">
        <w:rPr>
          <w:rFonts w:ascii="Times New Roman" w:hAnsi="Times New Roman" w:cs="Times New Roman"/>
          <w:color w:val="000000" w:themeColor="text1"/>
          <w:sz w:val="24"/>
          <w:szCs w:val="24"/>
        </w:rPr>
        <w:instrText xml:space="preserve"> ADDIN ZOTERO_ITEM CSL_CITATION {"citationID":"246ro0obkb","properties":{"formattedCitation":"{\\rtf (H\\uc0\\u246{}ltje, 1998; H\\uc0\\u246{}ltje and Heidrich, 2001)}","plainCitation":"(Höltje, 1998; Höltje and Heidrich, 2001)"},"citationItems":[{"id":13,"uris":["http://zotero.org/users/944474/items/64V5T8BJ"],"uri":["http://zotero.org/users/944474/items/64V5T8BJ"],"itemData":{"id":13,"type":"article-journal","title":"Growth of the stress-bearing and shape-maintaining murein sacculus of Escherichia coli","container-title":"Microbiology and Molecular Biology Reviews: MMBR","page":"181-203","volume":"62","issue":"1","abstract":"To withstand the high intracellular pressure, the cell wall of most bacteria is stabilized by a unique cross-linked biopolymer called murein or peptidoglycan. It is made of glycan strands [poly-(GlcNAc-MurNAc)], which are linked by short peptides to form a covalently closed net. Completely surrounding the cell, the murein represents a kind of bacterial exoskeleton known as the murein sacculus. Not only does the sacculus endow bacteria with mechanical stability, but in addition it maintains the specific shape of the cell. Enlargement and division of the murein sacculus is a prerequisite for growth of the bacterium. Two groups of enzymes, hydrolases and synthases, have to cooperate to allow the insertion of new subunits into the murein net. The action of these enzymes must be well coordinated to guarantee growth of the stress-bearing sacculus without risking bacteriolysis. Protein-protein interaction studies suggest that this is accomplished by the formation of a multienzyme complex, a murein-synthesizing machinery combining murein hydrolases and synthases. Enlargement of both the multilayered murein of gram-positive and the thin, single-layered murein of gram-negative bacteria seems to follow an inside-to-outside growth strategy. New material is hooked in a relaxed state underneath the stress-bearing sacculus before it becomes inserted upon cleavage of covalent bonds in the layer(s) under tension. A model is presented that postulates that maintenance of bacterial shape is achieved by the enzyme complex copying the preexisting murein sacculus that plays the role of a template.","note":"PMID: 9529891","journalAbbreviation":"Microbiol. Mol. Biol. Rev.","author":[{"family":"Höltje","given":"J V"}],"issued":{"year":1998,"month":3},"accessed":{"year":2012,"month":3,"day":6},"page-first":"181"}},{"id":14,"uris":["http://zotero.org/users/944474/items/UVTUZT4Q"],"uri":["http://zotero.org/users/944474/items/UVTUZT4Q"],"itemData":{"id":14,"type":"article-journal","title":"Enzymology of elongation and constriction of the murein sacculus of Escherichia coli","container-title":"Biochimie","page":"103-108","volume":"83","issue":"1","abstract":"Multiple deletions in murein hydrolases revealed that predominantly amidases are responsible for cleavage of the septum during cell division. Endopeptidases and lytic transglycosylases seem also be involved. In the absence of these enzymes E. coli grows normally but forms chains of adhering cells. Surprisingly, mutants lacking up to eight different murein hydrolases still grow with almost unaffected growth rate. Therefore it is speculated that general enlargement of the murein sacculus may differ from cell division by using transferases rather than the two sets of hydrolytic and synthetic enzymes as seems to be the case for the constriction process. A model is presented that describes growth of the murein of both Gram-positive and -negative bacteria by the activity of murein transferases. It is speculated that enzymes exist that catalyze a transpeptidation of the pre-existing murein onto murein precursors or nascent murein by using the chemical energy present in peptide cross-bridges. Such enzymes would at the same time cleave bonds in the murein net and insert new material into the growing sacculus.","note":"PMID: 11254982","journalAbbreviation":"Biochimie","author":[{"family":"Höltje","given":"J V"},{"family":"Heidrich","given":"C"}],"issued":{"year":2001,"month":1},"accessed":{"year":2012,"month":3,"day":6},"page-first":"103"}}],"schema":"https://github.com/citation-style-language/schema/raw/master/csl-citation.json"} </w:instrText>
      </w:r>
      <w:r w:rsidRPr="000D1271">
        <w:rPr>
          <w:rFonts w:ascii="Times New Roman" w:hAnsi="Times New Roman" w:cs="Times New Roman"/>
          <w:color w:val="000000" w:themeColor="text1"/>
          <w:sz w:val="24"/>
          <w:szCs w:val="24"/>
        </w:rPr>
        <w:fldChar w:fldCharType="separate"/>
      </w:r>
      <w:r w:rsidRPr="000D1271">
        <w:rPr>
          <w:rFonts w:ascii="Times New Roman" w:hAnsi="Times New Roman" w:cs="Times New Roman"/>
          <w:color w:val="000000" w:themeColor="text1"/>
          <w:sz w:val="24"/>
          <w:szCs w:val="24"/>
        </w:rPr>
        <w:t>(Höltje, 1998; Höltje and Heidrich, 2001)</w:t>
      </w:r>
      <w:r w:rsidRPr="000D1271">
        <w:rPr>
          <w:rFonts w:ascii="Times New Roman" w:hAnsi="Times New Roman" w:cs="Times New Roman"/>
          <w:color w:val="000000" w:themeColor="text1"/>
          <w:sz w:val="24"/>
          <w:szCs w:val="24"/>
        </w:rPr>
        <w:fldChar w:fldCharType="end"/>
      </w:r>
      <w:r w:rsidRPr="000D1271">
        <w:rPr>
          <w:rFonts w:ascii="Times New Roman" w:hAnsi="Times New Roman" w:cs="Times New Roman"/>
          <w:color w:val="000000" w:themeColor="text1"/>
          <w:sz w:val="24"/>
          <w:szCs w:val="24"/>
        </w:rPr>
        <w:t>.</w:t>
      </w:r>
      <w:r w:rsidRPr="00E21D0B">
        <w:rPr>
          <w:rFonts w:ascii="Times New Roman" w:hAnsi="Times New Roman" w:cs="Times New Roman"/>
          <w:color w:val="000000"/>
          <w:sz w:val="24"/>
          <w:szCs w:val="24"/>
        </w:rPr>
        <w:br w:type="page"/>
      </w:r>
    </w:p>
    <w:p w:rsidR="00BC7652" w:rsidRPr="000256F4" w:rsidRDefault="00BC7652" w:rsidP="00BC7652">
      <w:pPr>
        <w:tabs>
          <w:tab w:val="left" w:pos="1276"/>
        </w:tabs>
        <w:spacing w:line="480" w:lineRule="auto"/>
        <w:jc w:val="both"/>
        <w:rPr>
          <w:rFonts w:ascii="Times New Roman" w:hAnsi="Times New Roman" w:cs="Times New Roman"/>
          <w:sz w:val="28"/>
          <w:szCs w:val="28"/>
        </w:rPr>
      </w:pPr>
      <w:r>
        <w:rPr>
          <w:rFonts w:ascii="Times New Roman" w:hAnsi="Times New Roman" w:cs="Times New Roman"/>
          <w:sz w:val="28"/>
          <w:szCs w:val="28"/>
        </w:rPr>
        <w:lastRenderedPageBreak/>
        <w:t>1.5.2.1</w:t>
      </w:r>
      <w:r>
        <w:rPr>
          <w:rFonts w:ascii="Times New Roman" w:hAnsi="Times New Roman" w:cs="Times New Roman"/>
          <w:sz w:val="28"/>
          <w:szCs w:val="28"/>
        </w:rPr>
        <w:tab/>
      </w:r>
      <w:r w:rsidRPr="000256F4">
        <w:rPr>
          <w:rFonts w:ascii="Times New Roman" w:hAnsi="Times New Roman" w:cs="Times New Roman"/>
          <w:sz w:val="28"/>
          <w:szCs w:val="28"/>
        </w:rPr>
        <w:t>Peptidoglycan dynamics in rod-shaped bacteria</w:t>
      </w:r>
    </w:p>
    <w:p w:rsidR="00BC7652" w:rsidRDefault="00BC7652" w:rsidP="00BC765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Whilst </w:t>
      </w:r>
      <w:r>
        <w:rPr>
          <w:rFonts w:ascii="Times New Roman" w:hAnsi="Times New Roman" w:cs="Times New Roman"/>
          <w:i/>
          <w:sz w:val="24"/>
          <w:szCs w:val="24"/>
        </w:rPr>
        <w:t>E</w:t>
      </w:r>
      <w:r w:rsidRPr="00DD35A0">
        <w:rPr>
          <w:rFonts w:ascii="Times New Roman" w:hAnsi="Times New Roman" w:cs="Times New Roman"/>
          <w:i/>
          <w:sz w:val="24"/>
          <w:szCs w:val="24"/>
        </w:rPr>
        <w:t>. coli</w:t>
      </w:r>
      <w:r>
        <w:rPr>
          <w:rFonts w:ascii="Times New Roman" w:hAnsi="Times New Roman" w:cs="Times New Roman"/>
          <w:sz w:val="24"/>
          <w:szCs w:val="24"/>
        </w:rPr>
        <w:t xml:space="preserve"> possess only one </w:t>
      </w:r>
      <w:r w:rsidRPr="00103851">
        <w:rPr>
          <w:rFonts w:ascii="Times New Roman" w:hAnsi="Times New Roman" w:cs="Times New Roman"/>
          <w:sz w:val="24"/>
          <w:szCs w:val="24"/>
        </w:rPr>
        <w:t>MreB</w:t>
      </w:r>
      <w:r>
        <w:rPr>
          <w:rFonts w:ascii="Times New Roman" w:hAnsi="Times New Roman" w:cs="Times New Roman"/>
          <w:sz w:val="24"/>
          <w:szCs w:val="24"/>
        </w:rPr>
        <w:t xml:space="preserve"> actin homologue, </w:t>
      </w:r>
      <w:r>
        <w:rPr>
          <w:rFonts w:ascii="Times New Roman" w:hAnsi="Times New Roman" w:cs="Times New Roman"/>
          <w:i/>
          <w:sz w:val="24"/>
          <w:szCs w:val="24"/>
        </w:rPr>
        <w:t>B. subtilis</w:t>
      </w:r>
      <w:r>
        <w:rPr>
          <w:rFonts w:ascii="Times New Roman" w:hAnsi="Times New Roman" w:cs="Times New Roman"/>
          <w:sz w:val="24"/>
          <w:szCs w:val="24"/>
        </w:rPr>
        <w:t xml:space="preserve"> possesses three </w:t>
      </w:r>
      <w:r w:rsidRPr="00900361">
        <w:rPr>
          <w:rFonts w:ascii="Times New Roman" w:hAnsi="Times New Roman" w:cs="Times New Roman"/>
          <w:color w:val="000000" w:themeColor="text1"/>
          <w:sz w:val="24"/>
          <w:szCs w:val="24"/>
        </w:rPr>
        <w:t>MreB paralogoues, MreB, Mbl (</w:t>
      </w:r>
      <w:r w:rsidRPr="00900361">
        <w:rPr>
          <w:rFonts w:ascii="Times New Roman" w:hAnsi="Times New Roman" w:cs="Times New Roman"/>
          <w:i/>
          <w:color w:val="000000" w:themeColor="text1"/>
          <w:sz w:val="24"/>
          <w:szCs w:val="24"/>
        </w:rPr>
        <w:t>M</w:t>
      </w:r>
      <w:r w:rsidRPr="00900361">
        <w:rPr>
          <w:rFonts w:ascii="Times New Roman" w:hAnsi="Times New Roman" w:cs="Times New Roman"/>
          <w:color w:val="000000" w:themeColor="text1"/>
          <w:sz w:val="24"/>
          <w:szCs w:val="24"/>
        </w:rPr>
        <w:t>re</w:t>
      </w:r>
      <w:r w:rsidRPr="00900361">
        <w:rPr>
          <w:rFonts w:ascii="Times New Roman" w:hAnsi="Times New Roman" w:cs="Times New Roman"/>
          <w:i/>
          <w:color w:val="000000" w:themeColor="text1"/>
          <w:sz w:val="24"/>
          <w:szCs w:val="24"/>
        </w:rPr>
        <w:t>B</w:t>
      </w:r>
      <w:r w:rsidRPr="00900361">
        <w:rPr>
          <w:rFonts w:ascii="Times New Roman" w:hAnsi="Times New Roman" w:cs="Times New Roman"/>
          <w:color w:val="000000" w:themeColor="text1"/>
          <w:sz w:val="24"/>
          <w:szCs w:val="24"/>
        </w:rPr>
        <w:t>-</w:t>
      </w:r>
      <w:r w:rsidRPr="00900361">
        <w:rPr>
          <w:rFonts w:ascii="Times New Roman" w:hAnsi="Times New Roman" w:cs="Times New Roman"/>
          <w:i/>
          <w:color w:val="000000" w:themeColor="text1"/>
          <w:sz w:val="24"/>
          <w:szCs w:val="24"/>
        </w:rPr>
        <w:t>l</w:t>
      </w:r>
      <w:r w:rsidRPr="00900361">
        <w:rPr>
          <w:rFonts w:ascii="Times New Roman" w:hAnsi="Times New Roman" w:cs="Times New Roman"/>
          <w:color w:val="000000" w:themeColor="text1"/>
          <w:sz w:val="24"/>
          <w:szCs w:val="24"/>
        </w:rPr>
        <w:t xml:space="preserve">ike) and MreBH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{"citationID":"1c3s3njkve","properties":{"formattedCitation":"(Daniel and Errington, 2003)","plainCitation":"(Daniel and Errington, 2003)"},"citationItems":[{"id":235,"uris":["http://zotero.org/users/944474/items/K6264288"],"uri":["http://zotero.org/users/944474/items/K6264288"],"itemData":{"id":235,"type":"article-journal","title":"Control of cell morphogenesis in bacteria: two distinct ways to make a rod-shaped cell","container-title":"Cell","page":"767-776","volume":"113","issue":"6","abstract":"Cell shape in most eubacteria is maintained by a tough external peptidoglycan cell wall. Recently, cell shape determining proteins of the MreB family were shown to form helical, actin-like cables in the cell. We used a fluorescent derivative of the antibiotic vancomycin as a probe for nascent peptidoglycan synthesis in unfixed cells of various Gram-positive bacteria. In the rod-shaped bacterium B. subtilis, synthesis of the cylindrical part of the cell wall occurs in a helical pattern governed by an MreB homolog, Mbl. However, a few rod-shaped bacteria have no MreB system. Here, a rod-like shape can be achieved by a completely different mechanism based on use of polar growth zones derived from the division machinery. These results provide insights into the diverse molecular strategies used by bacteria to control their cellular morphology, as well as suggesting ways in which these strategies may impact on growth rates and cell envelope structure.","note":"PMID: 12809607","shortTitle":"Control of cell morphogenesis in bacteria","journalAbbreviation":"Cell","author":[{"family":"Daniel","given":"Richard A"},{"family":"Errington","given":"Jeff"}],"issued":{"year":2003,"month":6,"day":13},"accessed":{"year":2012,"month":5,"day":21},"page-first":"767"}}],"schema":"https://github.com/citation-style-language/schema/raw/master/csl-citation.json"}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(Daniel and Errington, 2003)</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MreB</w:t>
      </w:r>
      <w:r>
        <w:rPr>
          <w:rFonts w:ascii="Times New Roman" w:hAnsi="Times New Roman" w:cs="Times New Roman"/>
          <w:sz w:val="24"/>
          <w:szCs w:val="24"/>
        </w:rPr>
        <w:t xml:space="preserve"> and Mbl coordinate the peptidoglycan synthesis machinery, whilst MreBH may </w:t>
      </w:r>
      <w:r w:rsidRPr="00900361">
        <w:rPr>
          <w:rFonts w:ascii="Times New Roman" w:hAnsi="Times New Roman" w:cs="Times New Roman"/>
          <w:color w:val="000000" w:themeColor="text1"/>
          <w:sz w:val="24"/>
          <w:szCs w:val="24"/>
        </w:rPr>
        <w:t xml:space="preserve">coordinate peptidoglycan hydrolase activity, as has been suggested for </w:t>
      </w:r>
      <w:r w:rsidRPr="00900361">
        <w:rPr>
          <w:rFonts w:ascii="Times New Roman" w:hAnsi="Times New Roman" w:cs="Times New Roman"/>
          <w:i/>
          <w:color w:val="000000" w:themeColor="text1"/>
          <w:sz w:val="24"/>
          <w:szCs w:val="24"/>
        </w:rPr>
        <w:t>B. subtilis</w:t>
      </w:r>
      <w:r w:rsidRPr="00900361">
        <w:rPr>
          <w:rFonts w:ascii="Times New Roman" w:hAnsi="Times New Roman" w:cs="Times New Roman"/>
          <w:color w:val="000000" w:themeColor="text1"/>
          <w:sz w:val="24"/>
          <w:szCs w:val="24"/>
        </w:rPr>
        <w:t xml:space="preserve"> LytE (Figure 1.7A;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{"citationID":"1f8hl5ui3a","properties":{"formattedCitation":"{\\rtf (Carballido-L\\uc0\\u243{}pez et al., 2006)}","plainCitation":"(Carballido-López et al., 2006)"},"citationItems":[{"id":229,"uris":["http://zotero.org/users/944474/items/89TDBDW8"],"uri":["http://zotero.org/users/944474/items/89TDBDW8"],"itemData":{"id":229,"type":"article-journal","title":"Actin homolog MreBH governs cell morphogenesis by localization of the cell wall hydrolase LytE","container-title":"Developmental cell","page":"399-409","volume":"11","issue":"3","abstract":"MreB proteins are bacterial actin homologs involved in cell morphogenesis and various other cellular processes. However, the effector proteins used by MreBs remain largely unknown. Bacillus subtilis has three MreB isoforms. Mbl and possibly MreB have previously been shown to be implicated in cell wall synthesis. We have now found that the third isoform, MreBH, colocalizes with the two other MreB isoforms in B. subtilis and also has an important role in cell morphogenesis. MreBH can physically interact with a cell wall hydrolase, LytE, and is required for its helical pattern of extracellular localization. Moreover, lytE and mreBH mutants exhibit similar cell-wall-related defects. We propose that controlled elongation of rod-shaped B. subtilis depends on the coordination of cell wall synthesis and hydrolysis in helical tracts defined by MreB proteins. Our data also suggest that physical interactions with intracellular actin bundles can influence the later localization pattern of extracellular effectors.","DOI":"10.1016/j.devcel.2006.07.017","note":"PMID: 16950129","journalAbbreviation":"Dev. Cell","author":[{"family":"Carballido-López","given":"Rut"},{"family":"Formstone","given":"Alex"},{"family":"Li","given":"Ying"},{"family":"Ehrlich","given":"S Dusko"},{"family":"Noirot","given":"Philippe"},{"family":"Errington","given":"Jeff"}],"issued":{"year":2006,"month":9},"accessed":{"year":2012,"month":5,"day":18},"page-first":"399"}}],"schema":"https://github.com/citation-style-language/schema/raw/master/csl-citation.json"}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szCs w:val="24"/>
        </w:rPr>
        <w:t xml:space="preserve">Carballido-López </w:t>
      </w:r>
      <w:r w:rsidRPr="00C521B3">
        <w:rPr>
          <w:rFonts w:ascii="Times New Roman" w:hAnsi="Times New Roman" w:cs="Times New Roman"/>
          <w:i/>
          <w:color w:val="000000" w:themeColor="text1"/>
          <w:sz w:val="24"/>
          <w:szCs w:val="24"/>
        </w:rPr>
        <w:t>et al</w:t>
      </w:r>
      <w:r w:rsidRPr="00900361">
        <w:rPr>
          <w:rFonts w:ascii="Times New Roman" w:hAnsi="Times New Roman" w:cs="Times New Roman"/>
          <w:color w:val="000000" w:themeColor="text1"/>
          <w:sz w:val="24"/>
          <w:szCs w:val="24"/>
        </w:rPr>
        <w:t>., 2006)</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Other species such as </w:t>
      </w:r>
      <w:r w:rsidRPr="00900361">
        <w:rPr>
          <w:rFonts w:ascii="Times New Roman" w:hAnsi="Times New Roman" w:cs="Times New Roman"/>
          <w:i/>
          <w:color w:val="000000" w:themeColor="text1"/>
          <w:sz w:val="24"/>
          <w:szCs w:val="24"/>
        </w:rPr>
        <w:t>Corynebacterium</w:t>
      </w:r>
      <w:r w:rsidRPr="00900361">
        <w:rPr>
          <w:rFonts w:ascii="Times New Roman" w:hAnsi="Times New Roman" w:cs="Times New Roman"/>
          <w:color w:val="000000" w:themeColor="text1"/>
          <w:sz w:val="24"/>
          <w:szCs w:val="24"/>
        </w:rPr>
        <w:t xml:space="preserve"> have a rod-shape, but lack a cytoskeletal apparatus for coordination of cylinder elongation. Instead elongation occurs from both poles (Figure 1.7B).</w:t>
      </w:r>
      <w:r>
        <w:rPr>
          <w:rFonts w:ascii="Times New Roman" w:hAnsi="Times New Roman" w:cs="Times New Roman"/>
          <w:sz w:val="24"/>
          <w:szCs w:val="24"/>
        </w:rPr>
        <w:t xml:space="preserve"> </w:t>
      </w:r>
    </w:p>
    <w:p w:rsidR="00BC7652" w:rsidRDefault="00BC7652" w:rsidP="00BC7652">
      <w:pPr>
        <w:autoSpaceDE w:val="0"/>
        <w:autoSpaceDN w:val="0"/>
        <w:adjustRightInd w:val="0"/>
        <w:spacing w:after="120" w:line="480" w:lineRule="auto"/>
        <w:jc w:val="both"/>
        <w:rPr>
          <w:rFonts w:ascii="Times New Roman" w:hAnsi="Times New Roman" w:cs="Times New Roman"/>
          <w:color w:val="000000"/>
          <w:sz w:val="24"/>
          <w:szCs w:val="24"/>
        </w:rPr>
      </w:pPr>
    </w:p>
    <w:p w:rsidR="00BC7652" w:rsidRPr="000256F4" w:rsidRDefault="00BC7652" w:rsidP="00BC7652">
      <w:pPr>
        <w:tabs>
          <w:tab w:val="left" w:pos="1276"/>
        </w:tabs>
        <w:autoSpaceDE w:val="0"/>
        <w:autoSpaceDN w:val="0"/>
        <w:adjustRightInd w:val="0"/>
        <w:spacing w:after="120" w:line="48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1.5.2.2</w:t>
      </w:r>
      <w:r>
        <w:rPr>
          <w:rFonts w:ascii="Times New Roman" w:hAnsi="Times New Roman" w:cs="Times New Roman"/>
          <w:color w:val="000000"/>
          <w:sz w:val="28"/>
          <w:szCs w:val="28"/>
        </w:rPr>
        <w:tab/>
      </w:r>
      <w:r w:rsidRPr="000256F4">
        <w:rPr>
          <w:rFonts w:ascii="Times New Roman" w:hAnsi="Times New Roman" w:cs="Times New Roman"/>
          <w:color w:val="000000"/>
          <w:sz w:val="28"/>
          <w:szCs w:val="28"/>
        </w:rPr>
        <w:t>Peptidoglycan dynamics</w:t>
      </w:r>
      <w:r>
        <w:rPr>
          <w:rFonts w:ascii="Times New Roman" w:hAnsi="Times New Roman" w:cs="Times New Roman"/>
          <w:color w:val="000000"/>
          <w:sz w:val="28"/>
          <w:szCs w:val="28"/>
        </w:rPr>
        <w:t xml:space="preserve"> in</w:t>
      </w:r>
      <w:r w:rsidRPr="000256F4">
        <w:rPr>
          <w:rFonts w:ascii="Times New Roman" w:hAnsi="Times New Roman" w:cs="Times New Roman"/>
          <w:color w:val="000000"/>
          <w:sz w:val="28"/>
          <w:szCs w:val="28"/>
        </w:rPr>
        <w:t xml:space="preserve"> coccoid bacteria</w:t>
      </w:r>
    </w:p>
    <w:p w:rsidR="00BC7652" w:rsidRPr="00900361" w:rsidRDefault="00BC7652" w:rsidP="00BC7652">
      <w:pPr>
        <w:autoSpaceDE w:val="0"/>
        <w:autoSpaceDN w:val="0"/>
        <w:adjustRightInd w:val="0"/>
        <w:spacing w:after="120" w:line="480" w:lineRule="auto"/>
        <w:jc w:val="both"/>
        <w:rPr>
          <w:rFonts w:ascii="Times New Roman" w:hAnsi="Times New Roman" w:cs="Times New Roman"/>
          <w:color w:val="000000" w:themeColor="text1"/>
          <w:sz w:val="24"/>
          <w:szCs w:val="24"/>
        </w:rPr>
      </w:pPr>
      <w:r w:rsidRPr="00900361">
        <w:rPr>
          <w:rFonts w:ascii="Times New Roman" w:hAnsi="Times New Roman" w:cs="Times New Roman"/>
          <w:color w:val="000000" w:themeColor="text1"/>
          <w:sz w:val="24"/>
          <w:szCs w:val="24"/>
        </w:rPr>
        <w:t xml:space="preserve">Coccoid organisms have no cell cylinder and do not possess an MreB-like cytoskeleton. They can be classed as true cocci, which are spherically shaped, or ovococci, which are slightly elongated across the mid-cell. Analysis of nascent wall synthesis and localisation of PBPs suggests that true cocci have just one peptidoglycan synthesis machinery, coordinated by FtsZ during division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{"citationID":"1i7j1ra80m","properties":{"formattedCitation":"(Pinho and Errington, 2005; Pereira et al., 2007; Atilano et al., 2010)","plainCitation":"(Pinho and Errington, 2005; Pereira et al., 2007; Atilano et al., 2010)"},"citationItems":[{"id":250,"uris":["http://zotero.org/users/944474/items/BEC4RERT"],"uri":["http://zotero.org/users/944474/items/BEC4RERT"],"itemData":{"id":250,"type":"article-journal","title":"Recruitment of penicillin-binding protein PBP2 to the division site of Staphylococcus aureus is dependent on its transpeptidation substrates","container-title":"Molecular microbiology","page":"799-807","volume":"55","issue":"3","abstract":"Staphylococcus aureus penicillin-binding protein PBP2 is an enzyme involved in the last stages of peptidoglycan assembly and is an important player in the mechanism of methicillin resistance of this pathogen. PBP2 localized to the division site but its recruitment to the forming division septum was prevented after acylation by oxacillin. The presence of the antibiotic did not affect FtsZ ring maintenance nor the localization of externalized peptidoglycan precursors. Delocalization of PBP2 was also observed when its pentapeptide substrate was eliminated by addition of d-cycloserine or blocked by addition of vancomycin. Taken together these observations suggest that PBP2 is recruited to the division site by binding to its substrate, which is localized at that place. In methicillin-resistant S. aureus, addition of oxacillin does not result in delocalization of PBP2 indicating that acylated PBP2 can be maintained in place by functional PBP2A, the central element of this resistance mechanism.","DOI":"10.1111/j.1365-2958.2004.04420.x","note":"PMID: 15661005","journalAbbreviation":"Mol. Microbiol.","author":[{"family":"Pinho","given":"Mariana G"},{"family":"Errington","given":"Jeff"}],"issued":{"year":2005,"month":2},"accessed":{"year":2012,"month":5,"day":23},"page-first":"799"}},{"id":403,"uris":["http://zotero.org/users/944474/items/K9FZVBJ4"],"uri":["http://zotero.org/users/944474/items/K9FZVBJ4"],"itemData":{"id":403,"type":"article-journal","title":"Role of PBP1 in cell division of Staphylococcus aureus","container-title":"Journal of bacteriology","page":"3525-3531","volume":"189","issue":"9","abstract":"We constructed a conditional mutant of pbpA in which transcription of the gene was placed under the control of an IPTG (isopropyl-beta-D-thiogalactopyranoside)-inducible promoter in order to explore the role of PBP1 in growth, cell wall structure, and cell division. A methicillin-resistant strain and an isogenic methicillin-susceptible strain, each carrying the pbpA mutation, were unable to grow in the absence of the inducer. Conditional mutants of pbpA transferred into IPTG-free medium underwent a four- to fivefold increase in cell mass, which was not accompanied by a proportional increase in viable titer. Examination of thin sections of such cells by transmission electron microscopy or fluorescence microscopy of intact cells with Nile red-stained membranes showed a morphologically heterogeneous population of bacteria with abnormally increased sizes, distorted axial ratios, and a deficit in the number of cells with completed septa. Immunofluorescence with an antibody specific for PBP1 localized the protein to sites of cell division. No alteration in the composition of peptidoglycan was detectable in pbpA conditional mutants grown in the presence of a suboptimal concentration of IPTG, which severely restricted the rate of growth, and the essential function of PBP1 could not be replaced by PBP2A present in methicillin-resistant cells. These observations suggest that PBP1 is not a major contributor to the cross-linking of peptidoglycan and that its essential function must be intimately integrated into the mechanism of cell division.","DOI":"10.1128/JB.00044-07","note":"PMID: 17307860","journalAbbreviation":"J. Bacteriol.","author":[{"family":"Pereira","given":"S F F"},{"family":"Henriques","given":"A O"},{"family":"Pinho","given":"M G"},{"family":"de Lencastre","given":"H"},{"family":"Tomasz","given":"A"}],"issued":{"year":2007,"month":5},"accessed":{"year":2012,"month":6,"day":5},"page-first":"3525"}},{"id":251,"uris":["http://zotero.org/users/944474/items/9W84Q3RM"],"uri":["http://zotero.org/users/944474/items/9W84Q3RM"],"itemData":{"id":251,"type":"article-journal","title":"Teichoic acids are temporal and spatial regulators of peptidoglycan cross-linking in Staphylococcus aureus","container-title":"Proceedings of the National Academy of Sciences of the United States of America","page":"18991-18996","volume":"107","issue":"44","abstract":"The cell wall of Staphylococcus aureus is characterized by an extremely high degree of cross-linking within its peptidoglycan (PGN). Penicillin-binding protein 4 (PBP4) is required for the synthesis of this highly cross-linked peptidoglycan. We found that wall teichoic acids, glycopolymers attached to the peptidoglycan and important for virulence in Gram-positive bacteria, act as temporal and spatial regulators of PGN metabolism, controlling the level of cross-linking by regulating PBP4 localization. PBP4 normally localizes at the division septum, but in the absence of wall teichoic acids synthesis, it becomes dispersed throughout the entire cell membrane and is unable to function normally. As a consequence, the peptidoglycan of TagO null mutants, impaired in wall teichoic acid biosynthesis, has a decreased degree of cross-linking, which renders it more susceptible to the action of lysozyme, an enzyme produced by different host organisms as an initial defense against bacterial infection.","DOI":"10.1073/pnas.1004304107","note":"PMID: 20944066","journalAbbreviation":"Proc. Natl. Acad. Sci. U.S.A.","author":[{"family":"Atilano","given":"Magda L"},{"family":"Pereira","given":"Pedro M"},{"family":"Yates","given":"James"},{"family":"Reed","given":"Patricia"},{"family":"Veiga","given":"Helena"},{"family":"Pinho","given":"Mariana G"},{"family":"Filipe","given":"Sérgio R"}],"issued":{"year":2010,"month":11,"day":2},"accessed":{"year":2012,"month":5,"day":23},"page-first":"18991"}}],"schema":"https://github.com/citation-style-language/schema/raw/master/csl-citation.json"}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(Pinho and Errington, 2005; Pereira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xml:space="preserve">., 2007; Atilano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2010)</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Cell wall synthesis appears to occur exclusively at the division site (Figure 1.8A;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{"citationID":"1353nf93cp","properties":{"formattedCitation":"(Pinho and Errington, 2003, 2005)","plainCitation":"(Pinho and Errington, 2003, 2005)"},"citationItems":[{"id":42,"uris":["http://zotero.org/users/944474/items/7VW7ZGTG"],"uri":["http://zotero.org/users/944474/items/7VW7ZGTG"],"itemData":{"id":42,"type":"article-journal","title":"Dispersed mode of Staphylococcus aureus cell wall synthesis in the absence of the division machinery","container-title":"Molecular Microbiology","page":"871-881","volume":"50","issue":"3","abstract":"We have developed several new fluorescent staining procedures that enabled us to study the synthesis of cell wall material in the spherical Gram-positive bacterium Staphylococcus aureus. The results obtained support previous proposals that these cells synthesize new wall material specifically at cell division sites, in the form of a flat circular plate that is subsequently cleaved and remodelled to produce the new hemispherical poles of the daughter cells. We have shown that formation of the septal peptidoglycan is dependent on the key cell division protein FtsZ, which recruits penicillin-binding protein (PBP) 2. Unexpectedly, in FtsZ-depleted cells, the cell wall synthetic machinery becomes dispersed and new wall material is made in dispersed patches over the entire surface of the cells, which increase in volume by up to eightfold before lysing. The results have implications for understanding the nature of S. aureus morphogenesis and for inhibitors of cell division proteins as drug targets.","note":"PMID: 14617148","journalAbbreviation":"Mol. Microbiol.","author":[{"family":"Pinho","given":"Mariana G"},{"family":"Errington","given":"Jeff"}],"issued":{"year":2003,"month":11},"accessed":{"year":2012,"month":3,"day":6},"page-first":"871"}},{"id":250,"uris":["http://zotero.org/users/944474/items/BEC4RERT"],"uri":["http://zotero.org/users/944474/items/BEC4RERT"],"itemData":{"id":250,"type":"article-journal","title":"Recruitment of penicillin-binding protein PBP2 to the division site of Staphylococcus aureus is dependent on its transpeptidation substrates","container-title":"Molecular microbiology","page":"799-807","volume":"55","issue":"3","abstract":"Staphylococcus aureus penicillin-binding protein PBP2 is an enzyme involved in the last stages of peptidoglycan assembly and is an important player in the mechanism of methicillin resistance of this pathogen. PBP2 localized to the division site but its recruitment to the forming division septum was prevented after acylation by oxacillin. The presence of the antibiotic did not affect FtsZ ring maintenance nor the localization of externalized peptidoglycan precursors. Delocalization of PBP2 was also observed when its pentapeptide substrate was eliminated by addition of d-cycloserine or blocked by addition of vancomycin. Taken together these observations suggest that PBP2 is recruited to the division site by binding to its substrate, which is localized at that place. In methicillin-resistant S. aureus, addition of oxacillin does not result in delocalization of PBP2 indicating that acylated PBP2 can be maintained in place by functional PBP2A, the central element of this resistance mechanism.","DOI":"10.1111/j.1365-2958.2004.04420.x","note":"PMID: 15661005","journalAbbreviation":"Mol. Microbiol.","author":[{"family":"Pinho","given":"Mariana G"},{"family":"Errington","given":"Jeff"}],"issued":{"year":2005,"month":2},"accessed":{"year":2012,"month":5,"day":23},"page-first":"799"}}],"schema":"https://github.com/citation-style-language/schema/raw/master/csl-citation.json"}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Pinho and Errington, 2003, 2005)</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Coccoid bacteria divide on two (e.g. </w:t>
      </w:r>
      <w:r w:rsidRPr="00900361">
        <w:rPr>
          <w:rFonts w:ascii="Times New Roman" w:hAnsi="Times New Roman" w:cs="Times New Roman"/>
          <w:i/>
          <w:color w:val="000000" w:themeColor="text1"/>
          <w:sz w:val="24"/>
          <w:szCs w:val="24"/>
        </w:rPr>
        <w:t xml:space="preserve">Neisseria </w:t>
      </w:r>
      <w:r w:rsidRPr="00900361">
        <w:rPr>
          <w:rFonts w:ascii="Times New Roman" w:hAnsi="Times New Roman" w:cs="Times New Roman"/>
          <w:color w:val="000000" w:themeColor="text1"/>
          <w:sz w:val="24"/>
          <w:szCs w:val="24"/>
        </w:rPr>
        <w:t xml:space="preserve">species, pediococci) or three (e.g. </w:t>
      </w:r>
      <w:r w:rsidRPr="00900361">
        <w:rPr>
          <w:rFonts w:ascii="Times New Roman" w:hAnsi="Times New Roman" w:cs="Times New Roman"/>
          <w:i/>
          <w:color w:val="000000" w:themeColor="text1"/>
          <w:sz w:val="24"/>
          <w:szCs w:val="24"/>
        </w:rPr>
        <w:t>S. aureus</w:t>
      </w:r>
      <w:r w:rsidRPr="00900361">
        <w:rPr>
          <w:rFonts w:ascii="Times New Roman" w:hAnsi="Times New Roman" w:cs="Times New Roman"/>
          <w:color w:val="000000" w:themeColor="text1"/>
          <w:sz w:val="24"/>
          <w:szCs w:val="24"/>
        </w:rPr>
        <w:t xml:space="preserve">) orthogonal planes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{"citationID":"40sf09bk8","properties":{"formattedCitation":"(Koyama et al., 1977; Tzagoloff and Novick, 1977; Zapun et al., 2008)","plainCitation":"(Koyama et al., 1977; Tzagoloff and Novick, 1977; Zapun et al., 2008)"},"citationItems":[{"id":246,"uris":["http://zotero.org/users/944474/items/6M9HW667"],"uri":["http://zotero.org/users/944474/items/6M9HW667"],"itemData":{"id":246,"type":"article-journal","title":"Formation of Regular Packets of Staphylococcus Aureus Cells.","container-title":"Journal of Bacteriology","page":"1518-1523","volume":"129","issue":"3","journalAbbreviation":"J. Bacteriol.","language":"en","author":[{"family":"Koyama","given":"T."},{"family":"Yamada","given":"M."},{"family":"Matsuhashi","given":"M."}],"issued":{"year":1977,"month":3,"day":1},"accessed":{"year":2012,"month":5,"day":22},"page-first":"1518"}},{"id":249,"uris":["http://zotero.org/users/944474/items/TH587JJE"],"uri":["http://zotero.org/users/944474/items/TH587JJE"],"itemData":{"id":249,"type":"article-journal","title":"Geometry of cell division in Staphylococcus aureus","container-title":"Journal of bacteriology","page":"343-350","volume":"129","issue":"1","abstract":"The process of division in Staphylococcus aureus was examined by phase-contrast microscopy. The organisms appeared to divide in three alternating perpendicular planes, with sister cells remaining attached to each other after division. The resulting point of attachment was usually not exactly at the point corresponding to the center of the previous septal disk. Moreover, sister cells often changed position with respect to one another while still remaining attached. These factors are apparently responsible for the irregularity of staphylococcal clumps. Studies with penicillin and the examination of thin sections in the electron microscope confirm the conclusion, based upon light microscopy, that successive divisions in S. aureus occur in perpendicular planes.","note":"PMID: 830642","journalAbbreviation":"J. Bacteriol.","author":[{"family":"Tzagoloff","given":"H"},{"family":"Novick","given":"R"}],"issued":{"year":1977,"month":1},"accessed":{"year":2012,"month":5,"day":22},"page-first":"343"}},{"id":87,"uris":["http://zotero.org/users/944474/items/N52MZFST"],"uri":["http://zotero.org/users/944474/items/N52MZFST"],"itemData":{"id":87,"type":"article-journal","title":"The different shapes of cocci","container-title":"FEMS Microbiology Reviews","page":"345-360","volume":"32","issue":"2","abstract":"The shape of bacteria is determined by their cell wall and can be very diverse. Even among genera with the suffix 'cocci', which are the focus of this review, different shapes exist. While staphylococci or Neisseria cells, for example, are truly round-shaped, streptococci, lactococci or enterococci have an ovoid shape. Interestingly, there seems to be a correlation between the shape of an organism and its set of penicillin-binding proteins--the enzymes that assemble the peptidoglycan, the main constituent of the cell wall. While only one peptidoglycan biosynthesis machinery seems to exist in staphylococci, two of these machineries are proposed to function in ovoid-shaped bacteria, reinforcing the intrinsic differences regarding the morphogenesis of different classes of cocci. The present review aims to integrate older ultra-structural data with recent localization studies, in order to clarify the relation between the mechanisms of cell wall synthesis and the determination of cell shape in various cocci.","DOI":"10.1111/j.1574-6976.2007.00098.x","note":"PMID: 18266741","journalAbbreviation":"FEMS Microbiol. Rev.","author":[{"family":"Zapun","given":"André"},{"family":"Vernet","given":"Thierry"},{"family":"Pinho","given":"Mariana G"}],"issued":{"year":2008,"month":3},"accessed":{"year":2012,"month":4,"day":2},"page-first":"345"}}],"schema":"https://github.com/citation-style-language/schema/raw/master/csl-citation.json"}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(Koyama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xml:space="preserve">., 1977; Tzagoloff and Novick, 1977; Zapun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2008)</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w:t>
      </w:r>
      <w:r w:rsidRPr="00900361">
        <w:rPr>
          <w:rFonts w:ascii="Times New Roman" w:hAnsi="Times New Roman" w:cs="Times New Roman"/>
          <w:i/>
          <w:color w:val="000000" w:themeColor="text1"/>
          <w:sz w:val="24"/>
          <w:szCs w:val="24"/>
        </w:rPr>
        <w:t xml:space="preserve"> </w:t>
      </w:r>
      <w:r w:rsidRPr="00900361">
        <w:rPr>
          <w:rFonts w:ascii="Times New Roman" w:hAnsi="Times New Roman" w:cs="Times New Roman"/>
          <w:color w:val="000000" w:themeColor="text1"/>
          <w:sz w:val="24"/>
          <w:szCs w:val="24"/>
        </w:rPr>
        <w:t>The ability of coccoid bacteria to divide on strictly orthogonal planes is surprising as spherical cells lack a definable mid-cell and therefore have a potentially infinite number of planes on which to divide. The observation that sister cells divide on the same plane implies the existence of an unknown mechanism by which coccoid cells can “remember” previous division planes (Tzagoloff and Novick, 1977).</w:t>
      </w:r>
    </w:p>
    <w:p w:rsidR="00BC7652" w:rsidRDefault="00BC7652" w:rsidP="00BC7652">
      <w:r>
        <w:rPr>
          <w:noProof/>
          <w:lang w:eastAsia="en-GB"/>
        </w:rPr>
        <w:lastRenderedPageBreak/>
        <w:drawing>
          <wp:inline distT="0" distB="0" distL="0" distR="0">
            <wp:extent cx="5278120" cy="4631690"/>
            <wp:effectExtent l="0" t="0" r="0" b="0"/>
            <wp:docPr id="19" name="Picture 3" descr="Figure 1-6 Peptidoglycan dynamics in rod shaped bacteria.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6 Peptidoglycan dynamics in rod shaped bacteria.emf"/>
                    <pic:cNvPicPr/>
                  </pic:nvPicPr>
                  <pic:blipFill>
                    <a:blip r:embed="rId18" cstate="print"/>
                    <a:stretch>
                      <a:fillRect/>
                    </a:stretch>
                  </pic:blipFill>
                  <pic:spPr>
                    <a:xfrm>
                      <a:off x="0" y="0"/>
                      <a:ext cx="5278120" cy="4631690"/>
                    </a:xfrm>
                    <a:prstGeom prst="rect">
                      <a:avLst/>
                    </a:prstGeom>
                  </pic:spPr>
                </pic:pic>
              </a:graphicData>
            </a:graphic>
          </wp:inline>
        </w:drawing>
      </w:r>
    </w:p>
    <w:p w:rsidR="00BC7652" w:rsidRPr="00E54635" w:rsidRDefault="00BC7652" w:rsidP="00BC7652">
      <w:pPr>
        <w:spacing w:line="360" w:lineRule="auto"/>
        <w:jc w:val="both"/>
        <w:rPr>
          <w:rFonts w:ascii="Times New Roman" w:hAnsi="Times New Roman" w:cs="Times New Roman"/>
          <w:sz w:val="24"/>
          <w:szCs w:val="24"/>
        </w:rPr>
      </w:pPr>
      <w:proofErr w:type="gramStart"/>
      <w:r w:rsidRPr="006E026D">
        <w:rPr>
          <w:rFonts w:ascii="Times New Roman" w:hAnsi="Times New Roman" w:cs="Times New Roman"/>
          <w:b/>
          <w:sz w:val="24"/>
          <w:szCs w:val="24"/>
        </w:rPr>
        <w:t>Figure 1.</w:t>
      </w:r>
      <w:r>
        <w:rPr>
          <w:rFonts w:ascii="Times New Roman" w:hAnsi="Times New Roman" w:cs="Times New Roman"/>
          <w:b/>
          <w:sz w:val="24"/>
          <w:szCs w:val="24"/>
        </w:rPr>
        <w:t>7</w:t>
      </w:r>
      <w:r w:rsidRPr="006E026D">
        <w:rPr>
          <w:rFonts w:ascii="Times New Roman" w:hAnsi="Times New Roman" w:cs="Times New Roman"/>
          <w:b/>
          <w:sz w:val="24"/>
          <w:szCs w:val="24"/>
        </w:rPr>
        <w:t>.</w:t>
      </w:r>
      <w:proofErr w:type="gramEnd"/>
      <w:r w:rsidRPr="006E026D">
        <w:rPr>
          <w:rFonts w:ascii="Times New Roman" w:hAnsi="Times New Roman" w:cs="Times New Roman"/>
          <w:b/>
          <w:sz w:val="24"/>
          <w:szCs w:val="24"/>
        </w:rPr>
        <w:t xml:space="preserve"> </w:t>
      </w:r>
      <w:r>
        <w:rPr>
          <w:rFonts w:ascii="Times New Roman" w:hAnsi="Times New Roman" w:cs="Times New Roman"/>
          <w:b/>
          <w:sz w:val="24"/>
          <w:szCs w:val="24"/>
        </w:rPr>
        <w:t>Generalised p</w:t>
      </w:r>
      <w:r w:rsidRPr="006E026D">
        <w:rPr>
          <w:rFonts w:ascii="Times New Roman" w:hAnsi="Times New Roman" w:cs="Times New Roman"/>
          <w:b/>
          <w:sz w:val="24"/>
          <w:szCs w:val="24"/>
        </w:rPr>
        <w:t>eptidog</w:t>
      </w:r>
      <w:r>
        <w:rPr>
          <w:rFonts w:ascii="Times New Roman" w:hAnsi="Times New Roman" w:cs="Times New Roman"/>
          <w:b/>
          <w:sz w:val="24"/>
          <w:szCs w:val="24"/>
        </w:rPr>
        <w:t>ly</w:t>
      </w:r>
      <w:r w:rsidRPr="006E026D">
        <w:rPr>
          <w:rFonts w:ascii="Times New Roman" w:hAnsi="Times New Roman" w:cs="Times New Roman"/>
          <w:b/>
          <w:sz w:val="24"/>
          <w:szCs w:val="24"/>
        </w:rPr>
        <w:t xml:space="preserve">can dynamics in rod shaped organisms. </w:t>
      </w:r>
      <w:r w:rsidRPr="006E026D">
        <w:rPr>
          <w:rFonts w:ascii="Times New Roman" w:hAnsi="Times New Roman" w:cs="Times New Roman"/>
          <w:sz w:val="24"/>
          <w:szCs w:val="24"/>
        </w:rPr>
        <w:t>A</w:t>
      </w:r>
      <w:r>
        <w:rPr>
          <w:rFonts w:ascii="Times New Roman" w:hAnsi="Times New Roman" w:cs="Times New Roman"/>
          <w:sz w:val="24"/>
          <w:szCs w:val="24"/>
        </w:rPr>
        <w:t xml:space="preserve">, Most rod-shaped organisms elongate by dispersed helical insertion of peptidoglycan, which is MreB-directed in </w:t>
      </w:r>
      <w:r>
        <w:rPr>
          <w:rFonts w:ascii="Times New Roman" w:hAnsi="Times New Roman" w:cs="Times New Roman"/>
          <w:i/>
          <w:sz w:val="24"/>
          <w:szCs w:val="24"/>
        </w:rPr>
        <w:t>E. coli</w:t>
      </w:r>
      <w:r>
        <w:rPr>
          <w:rFonts w:ascii="Times New Roman" w:hAnsi="Times New Roman" w:cs="Times New Roman"/>
          <w:sz w:val="24"/>
          <w:szCs w:val="24"/>
        </w:rPr>
        <w:t xml:space="preserve">, and mainly Mbl-directed in </w:t>
      </w:r>
      <w:r>
        <w:rPr>
          <w:rFonts w:ascii="Times New Roman" w:hAnsi="Times New Roman" w:cs="Times New Roman"/>
          <w:i/>
          <w:sz w:val="24"/>
          <w:szCs w:val="24"/>
        </w:rPr>
        <w:t>B. subtilis</w:t>
      </w:r>
      <w:r>
        <w:rPr>
          <w:rFonts w:ascii="Times New Roman" w:hAnsi="Times New Roman" w:cs="Times New Roman"/>
          <w:sz w:val="24"/>
          <w:szCs w:val="24"/>
        </w:rPr>
        <w:t xml:space="preserve"> (1). Division is thought to be preceded by a short phase of FtsZ driven elongation (2). Division occurs rapidly either by constriction or septum formation (3). The daughter cells separate and initiate elongation (4). B, </w:t>
      </w:r>
      <w:r>
        <w:rPr>
          <w:rFonts w:ascii="Times New Roman" w:hAnsi="Times New Roman" w:cs="Times New Roman"/>
          <w:i/>
          <w:sz w:val="24"/>
          <w:szCs w:val="24"/>
        </w:rPr>
        <w:t>Rhizobium</w:t>
      </w:r>
      <w:r>
        <w:rPr>
          <w:rFonts w:ascii="Times New Roman" w:hAnsi="Times New Roman" w:cs="Times New Roman"/>
          <w:sz w:val="24"/>
          <w:szCs w:val="24"/>
        </w:rPr>
        <w:t xml:space="preserve"> species and several high G+C Gram-positive bacteria, such as corynebacteria, are considered to be rod-shaped, but lack a dedicated cytoskeletal apparatus associated with cylinder wall elongation. Instead these organisms appear to grow apically by incorporation of nascent material from the cell poles in an FtsZ-</w:t>
      </w:r>
      <w:r w:rsidRPr="00900361">
        <w:rPr>
          <w:rFonts w:ascii="Times New Roman" w:hAnsi="Times New Roman" w:cs="Times New Roman"/>
          <w:color w:val="000000" w:themeColor="text1"/>
          <w:sz w:val="24"/>
          <w:szCs w:val="24"/>
        </w:rPr>
        <w:t xml:space="preserve">dependent manner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{"citationID":"1rktkmhh1m","properties":{"formattedCitation":"(Daniel and Errington, 2003)","plainCitation":"(Daniel and Errington, 2003)"},"citationItems":[{"id":235,"uris":["http://zotero.org/users/944474/items/K6264288"],"uri":["http://zotero.org/users/944474/items/K6264288"],"itemData":{"id":235,"type":"article-journal","title":"Control of cell morphogenesis in bacteria: two distinct ways to make a rod-shaped cell","container-title":"Cell","page":"767-776","volume":"113","issue":"6","abstract":"Cell shape in most eubacteria is maintained by a tough external peptidoglycan cell wall. Recently, cell shape determining proteins of the MreB family were shown to form helical, actin-like cables in the cell. We used a fluorescent derivative of the antibiotic vancomycin as a probe for nascent peptidoglycan synthesis in unfixed cells of various Gram-positive bacteria. In the rod-shaped bacterium B. subtilis, synthesis of the cylindrical part of the cell wall occurs in a helical pattern governed by an MreB homolog, Mbl. However, a few rod-shaped bacteria have no MreB system. Here, a rod-like shape can be achieved by a completely different mechanism based on use of polar growth zones derived from the division machinery. These results provide insights into the diverse molecular strategies used by bacteria to control their cellular morphology, as well as suggesting ways in which these strategies may impact on growth rates and cell envelope structure.","note":"PMID: 12809607","shortTitle":"Control of cell morphogenesis in bacteria","journalAbbreviation":"Cell","author":[{"family":"Daniel","given":"Richard A"},{"family":"Errington","given":"Jeff"}],"issued":{"year":2003,"month":6,"day":13},"accessed":{"year":2012,"month":5,"day":21},"page-first":"767"}}],"schema":"https://github.com/citation-style-language/schema/raw/master/csl-citation.json"}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(Daniel and Errington, 2003)</w:t>
      </w:r>
      <w:r w:rsidRPr="00900361">
        <w:rPr>
          <w:rFonts w:ascii="Times New Roman" w:hAnsi="Times New Roman" w:cs="Times New Roman"/>
          <w:color w:val="000000" w:themeColor="text1"/>
          <w:sz w:val="24"/>
          <w:szCs w:val="24"/>
        </w:rPr>
        <w:fldChar w:fldCharType="end"/>
      </w:r>
      <w:r>
        <w:rPr>
          <w:rFonts w:ascii="Times New Roman" w:hAnsi="Times New Roman" w:cs="Times New Roman"/>
          <w:sz w:val="24"/>
          <w:szCs w:val="24"/>
        </w:rPr>
        <w:t>.</w:t>
      </w:r>
      <w:r w:rsidRPr="00E54635">
        <w:rPr>
          <w:rFonts w:ascii="Times New Roman" w:hAnsi="Times New Roman" w:cs="Times New Roman"/>
          <w:sz w:val="24"/>
          <w:szCs w:val="24"/>
        </w:rP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0" w:type="dxa"/>
        </w:tblCellMar>
        <w:tblLook w:val="04A0"/>
      </w:tblPr>
      <w:tblGrid>
        <w:gridCol w:w="735"/>
        <w:gridCol w:w="3183"/>
        <w:gridCol w:w="1431"/>
        <w:gridCol w:w="3183"/>
      </w:tblGrid>
      <w:tr w:rsidR="00BC7652" w:rsidTr="006C5A4E">
        <w:trPr>
          <w:jc w:val="center"/>
        </w:trPr>
        <w:tc>
          <w:tcPr>
            <w:tcW w:w="784" w:type="dxa"/>
          </w:tcPr>
          <w:p w:rsidR="00BC7652" w:rsidRPr="00727F69" w:rsidRDefault="00BC7652" w:rsidP="006C5A4E">
            <w:pPr>
              <w:jc w:val="center"/>
              <w:rPr>
                <w:rFonts w:ascii="Times New Roman" w:hAnsi="Times New Roman" w:cs="Times New Roman"/>
                <w:noProof/>
                <w:sz w:val="48"/>
                <w:szCs w:val="48"/>
                <w:lang w:eastAsia="en-GB"/>
              </w:rPr>
            </w:pPr>
            <w:r w:rsidRPr="00727F69">
              <w:rPr>
                <w:rFonts w:ascii="Times New Roman" w:hAnsi="Times New Roman" w:cs="Times New Roman"/>
                <w:noProof/>
                <w:sz w:val="48"/>
                <w:szCs w:val="48"/>
                <w:lang w:eastAsia="en-GB"/>
              </w:rPr>
              <w:lastRenderedPageBreak/>
              <w:t>A</w:t>
            </w:r>
          </w:p>
        </w:tc>
        <w:tc>
          <w:tcPr>
            <w:tcW w:w="3228" w:type="dxa"/>
            <w:vAlign w:val="center"/>
          </w:tcPr>
          <w:p w:rsidR="00BC7652" w:rsidRPr="00DE2B03" w:rsidRDefault="00BC7652" w:rsidP="006C5A4E">
            <w:pPr>
              <w:jc w:val="center"/>
              <w:rPr>
                <w:rFonts w:ascii="Times New Roman" w:hAnsi="Times New Roman" w:cs="Times New Roman"/>
                <w:noProof/>
                <w:sz w:val="40"/>
                <w:szCs w:val="40"/>
                <w:lang w:eastAsia="en-GB"/>
              </w:rPr>
            </w:pPr>
            <w:r w:rsidRPr="00DE2B03">
              <w:rPr>
                <w:rFonts w:ascii="Times New Roman" w:hAnsi="Times New Roman" w:cs="Times New Roman"/>
                <w:noProof/>
                <w:sz w:val="40"/>
                <w:szCs w:val="40"/>
                <w:lang w:eastAsia="en-GB"/>
              </w:rPr>
              <w:t>True cocci</w:t>
            </w:r>
          </w:p>
        </w:tc>
        <w:tc>
          <w:tcPr>
            <w:tcW w:w="1480" w:type="dxa"/>
          </w:tcPr>
          <w:p w:rsidR="00BC7652" w:rsidRPr="00727F69" w:rsidRDefault="00BC7652" w:rsidP="006C5A4E">
            <w:pPr>
              <w:tabs>
                <w:tab w:val="left" w:pos="717"/>
              </w:tabs>
              <w:jc w:val="center"/>
              <w:rPr>
                <w:rFonts w:ascii="Times New Roman" w:hAnsi="Times New Roman" w:cs="Times New Roman"/>
                <w:noProof/>
                <w:sz w:val="50"/>
                <w:szCs w:val="50"/>
                <w:lang w:eastAsia="en-GB"/>
              </w:rPr>
            </w:pPr>
            <w:r>
              <w:rPr>
                <w:rFonts w:ascii="Times New Roman" w:hAnsi="Times New Roman" w:cs="Times New Roman"/>
                <w:noProof/>
                <w:sz w:val="50"/>
                <w:szCs w:val="50"/>
                <w:lang w:eastAsia="en-GB"/>
              </w:rPr>
              <w:tab/>
            </w:r>
            <w:r w:rsidRPr="00727F69">
              <w:rPr>
                <w:rFonts w:ascii="Times New Roman" w:hAnsi="Times New Roman" w:cs="Times New Roman"/>
                <w:noProof/>
                <w:sz w:val="50"/>
                <w:szCs w:val="50"/>
                <w:lang w:eastAsia="en-GB"/>
              </w:rPr>
              <w:t>B</w:t>
            </w:r>
          </w:p>
        </w:tc>
        <w:tc>
          <w:tcPr>
            <w:tcW w:w="3228" w:type="dxa"/>
            <w:vAlign w:val="center"/>
          </w:tcPr>
          <w:p w:rsidR="00BC7652" w:rsidRPr="00DE2B03" w:rsidRDefault="00BC7652" w:rsidP="006C5A4E">
            <w:pPr>
              <w:jc w:val="center"/>
              <w:rPr>
                <w:rFonts w:ascii="Times New Roman" w:hAnsi="Times New Roman" w:cs="Times New Roman"/>
                <w:noProof/>
                <w:sz w:val="40"/>
                <w:szCs w:val="40"/>
                <w:lang w:eastAsia="en-GB"/>
              </w:rPr>
            </w:pPr>
            <w:r w:rsidRPr="00DE2B03">
              <w:rPr>
                <w:rFonts w:ascii="Times New Roman" w:hAnsi="Times New Roman" w:cs="Times New Roman"/>
                <w:noProof/>
                <w:sz w:val="40"/>
                <w:szCs w:val="40"/>
                <w:lang w:eastAsia="en-GB"/>
              </w:rPr>
              <w:t>Ovococci</w:t>
            </w:r>
          </w:p>
        </w:tc>
      </w:tr>
      <w:tr w:rsidR="00BC7652" w:rsidTr="006C5A4E">
        <w:trPr>
          <w:jc w:val="center"/>
        </w:trPr>
        <w:tc>
          <w:tcPr>
            <w:tcW w:w="784" w:type="dxa"/>
          </w:tcPr>
          <w:p w:rsidR="00BC7652" w:rsidRDefault="00BC7652" w:rsidP="006C5A4E">
            <w:pPr>
              <w:jc w:val="right"/>
              <w:rPr>
                <w:rFonts w:ascii="Times New Roman" w:hAnsi="Times New Roman" w:cs="Times New Roman"/>
                <w:noProof/>
                <w:sz w:val="36"/>
                <w:szCs w:val="36"/>
                <w:lang w:eastAsia="en-GB"/>
              </w:rPr>
            </w:pPr>
          </w:p>
          <w:p w:rsidR="00BC7652" w:rsidRDefault="00BC7652" w:rsidP="006C5A4E">
            <w:pPr>
              <w:jc w:val="right"/>
              <w:rPr>
                <w:rFonts w:ascii="Times New Roman" w:hAnsi="Times New Roman" w:cs="Times New Roman"/>
                <w:noProof/>
                <w:sz w:val="36"/>
                <w:szCs w:val="36"/>
                <w:lang w:eastAsia="en-GB"/>
              </w:rPr>
            </w:pPr>
            <w:r w:rsidRPr="00727F69">
              <w:rPr>
                <w:rFonts w:ascii="Times New Roman" w:hAnsi="Times New Roman" w:cs="Times New Roman"/>
                <w:noProof/>
                <w:sz w:val="36"/>
                <w:szCs w:val="36"/>
                <w:lang w:eastAsia="en-GB"/>
              </w:rPr>
              <w:t>1.</w:t>
            </w:r>
          </w:p>
          <w:p w:rsidR="00BC7652" w:rsidRDefault="00BC7652" w:rsidP="006C5A4E">
            <w:pPr>
              <w:jc w:val="right"/>
              <w:rPr>
                <w:rFonts w:ascii="Times New Roman" w:hAnsi="Times New Roman" w:cs="Times New Roman"/>
                <w:noProof/>
                <w:sz w:val="36"/>
                <w:szCs w:val="36"/>
                <w:lang w:eastAsia="en-GB"/>
              </w:rPr>
            </w:pPr>
          </w:p>
          <w:p w:rsidR="00BC7652" w:rsidRDefault="00BC7652" w:rsidP="006C5A4E">
            <w:pPr>
              <w:jc w:val="right"/>
              <w:rPr>
                <w:rFonts w:ascii="Times New Roman" w:hAnsi="Times New Roman" w:cs="Times New Roman"/>
                <w:noProof/>
                <w:sz w:val="36"/>
                <w:szCs w:val="36"/>
                <w:lang w:eastAsia="en-GB"/>
              </w:rPr>
            </w:pPr>
          </w:p>
          <w:p w:rsidR="00BC7652" w:rsidRDefault="00BC7652" w:rsidP="006C5A4E">
            <w:pPr>
              <w:jc w:val="right"/>
              <w:rPr>
                <w:rFonts w:ascii="Times New Roman" w:hAnsi="Times New Roman" w:cs="Times New Roman"/>
                <w:noProof/>
                <w:sz w:val="36"/>
                <w:szCs w:val="36"/>
                <w:lang w:eastAsia="en-GB"/>
              </w:rPr>
            </w:pPr>
          </w:p>
          <w:p w:rsidR="00BC7652" w:rsidRDefault="00BC7652" w:rsidP="006C5A4E">
            <w:pPr>
              <w:jc w:val="right"/>
              <w:rPr>
                <w:rFonts w:ascii="Times New Roman" w:hAnsi="Times New Roman" w:cs="Times New Roman"/>
                <w:noProof/>
                <w:sz w:val="36"/>
                <w:szCs w:val="36"/>
                <w:lang w:eastAsia="en-GB"/>
              </w:rPr>
            </w:pPr>
            <w:r>
              <w:rPr>
                <w:rFonts w:ascii="Times New Roman" w:hAnsi="Times New Roman" w:cs="Times New Roman"/>
                <w:noProof/>
                <w:sz w:val="36"/>
                <w:szCs w:val="36"/>
                <w:lang w:eastAsia="en-GB"/>
              </w:rPr>
              <w:t>2.</w:t>
            </w:r>
          </w:p>
          <w:p w:rsidR="00BC7652" w:rsidRDefault="00BC7652" w:rsidP="006C5A4E">
            <w:pPr>
              <w:jc w:val="right"/>
              <w:rPr>
                <w:rFonts w:ascii="Times New Roman" w:hAnsi="Times New Roman" w:cs="Times New Roman"/>
                <w:noProof/>
                <w:sz w:val="36"/>
                <w:szCs w:val="36"/>
                <w:lang w:eastAsia="en-GB"/>
              </w:rPr>
            </w:pPr>
          </w:p>
          <w:p w:rsidR="00BC7652" w:rsidRDefault="00BC7652" w:rsidP="006C5A4E">
            <w:pPr>
              <w:jc w:val="right"/>
              <w:rPr>
                <w:rFonts w:ascii="Times New Roman" w:hAnsi="Times New Roman" w:cs="Times New Roman"/>
                <w:noProof/>
                <w:sz w:val="36"/>
                <w:szCs w:val="36"/>
                <w:lang w:eastAsia="en-GB"/>
              </w:rPr>
            </w:pPr>
          </w:p>
          <w:p w:rsidR="00BC7652" w:rsidRPr="00727F69" w:rsidRDefault="00BC7652" w:rsidP="006C5A4E">
            <w:pPr>
              <w:jc w:val="right"/>
              <w:rPr>
                <w:rFonts w:ascii="Times New Roman" w:hAnsi="Times New Roman" w:cs="Times New Roman"/>
                <w:noProof/>
                <w:sz w:val="16"/>
                <w:szCs w:val="16"/>
                <w:lang w:eastAsia="en-GB"/>
              </w:rPr>
            </w:pPr>
          </w:p>
          <w:p w:rsidR="00BC7652" w:rsidRPr="00727F69" w:rsidRDefault="00BC7652" w:rsidP="006C5A4E">
            <w:pPr>
              <w:jc w:val="right"/>
              <w:rPr>
                <w:rFonts w:ascii="Times New Roman" w:hAnsi="Times New Roman" w:cs="Times New Roman"/>
                <w:noProof/>
                <w:sz w:val="16"/>
                <w:szCs w:val="16"/>
                <w:lang w:eastAsia="en-GB"/>
              </w:rPr>
            </w:pPr>
          </w:p>
          <w:p w:rsidR="00BC7652" w:rsidRPr="00727F69" w:rsidRDefault="00BC7652" w:rsidP="006C5A4E">
            <w:pPr>
              <w:jc w:val="right"/>
              <w:rPr>
                <w:rFonts w:ascii="Times New Roman" w:hAnsi="Times New Roman" w:cs="Times New Roman"/>
                <w:noProof/>
                <w:sz w:val="24"/>
                <w:szCs w:val="24"/>
                <w:lang w:eastAsia="en-GB"/>
              </w:rPr>
            </w:pPr>
          </w:p>
          <w:p w:rsidR="00BC7652" w:rsidRDefault="00BC7652" w:rsidP="006C5A4E">
            <w:pPr>
              <w:jc w:val="right"/>
              <w:rPr>
                <w:rFonts w:ascii="Times New Roman" w:hAnsi="Times New Roman" w:cs="Times New Roman"/>
                <w:noProof/>
                <w:sz w:val="36"/>
                <w:szCs w:val="36"/>
                <w:lang w:eastAsia="en-GB"/>
              </w:rPr>
            </w:pPr>
            <w:r>
              <w:rPr>
                <w:rFonts w:ascii="Times New Roman" w:hAnsi="Times New Roman" w:cs="Times New Roman"/>
                <w:noProof/>
                <w:sz w:val="36"/>
                <w:szCs w:val="36"/>
                <w:lang w:eastAsia="en-GB"/>
              </w:rPr>
              <w:t>3.</w:t>
            </w:r>
          </w:p>
          <w:p w:rsidR="00BC7652" w:rsidRDefault="00BC7652" w:rsidP="006C5A4E">
            <w:pPr>
              <w:jc w:val="right"/>
              <w:rPr>
                <w:rFonts w:ascii="Times New Roman" w:hAnsi="Times New Roman" w:cs="Times New Roman"/>
                <w:noProof/>
                <w:sz w:val="36"/>
                <w:szCs w:val="36"/>
                <w:lang w:eastAsia="en-GB"/>
              </w:rPr>
            </w:pPr>
          </w:p>
          <w:p w:rsidR="00BC7652" w:rsidRDefault="00BC7652" w:rsidP="006C5A4E">
            <w:pPr>
              <w:jc w:val="right"/>
              <w:rPr>
                <w:rFonts w:ascii="Times New Roman" w:hAnsi="Times New Roman" w:cs="Times New Roman"/>
                <w:noProof/>
                <w:sz w:val="36"/>
                <w:szCs w:val="36"/>
                <w:lang w:eastAsia="en-GB"/>
              </w:rPr>
            </w:pPr>
          </w:p>
          <w:p w:rsidR="00BC7652" w:rsidRDefault="00BC7652" w:rsidP="006C5A4E">
            <w:pPr>
              <w:jc w:val="right"/>
              <w:rPr>
                <w:rFonts w:ascii="Times New Roman" w:hAnsi="Times New Roman" w:cs="Times New Roman"/>
                <w:noProof/>
                <w:sz w:val="36"/>
                <w:szCs w:val="36"/>
                <w:lang w:eastAsia="en-GB"/>
              </w:rPr>
            </w:pPr>
          </w:p>
          <w:p w:rsidR="00BC7652" w:rsidRPr="00727F69" w:rsidRDefault="00BC7652" w:rsidP="006C5A4E">
            <w:pPr>
              <w:jc w:val="right"/>
              <w:rPr>
                <w:rFonts w:ascii="Times New Roman" w:hAnsi="Times New Roman" w:cs="Times New Roman"/>
                <w:noProof/>
                <w:sz w:val="36"/>
                <w:szCs w:val="36"/>
                <w:lang w:eastAsia="en-GB"/>
              </w:rPr>
            </w:pPr>
            <w:r>
              <w:rPr>
                <w:rFonts w:ascii="Times New Roman" w:hAnsi="Times New Roman" w:cs="Times New Roman"/>
                <w:noProof/>
                <w:sz w:val="36"/>
                <w:szCs w:val="36"/>
                <w:lang w:eastAsia="en-GB"/>
              </w:rPr>
              <w:t>4.</w:t>
            </w:r>
          </w:p>
        </w:tc>
        <w:tc>
          <w:tcPr>
            <w:tcW w:w="3228" w:type="dxa"/>
            <w:vAlign w:val="center"/>
          </w:tcPr>
          <w:p w:rsidR="00BC7652" w:rsidRDefault="00BC7652" w:rsidP="006C5A4E">
            <w:pPr>
              <w:jc w:val="center"/>
            </w:pPr>
            <w:r>
              <w:rPr>
                <w:noProof/>
                <w:lang w:eastAsia="en-GB"/>
              </w:rPr>
              <w:drawing>
                <wp:inline distT="0" distB="0" distL="0" distR="0">
                  <wp:extent cx="1800000" cy="4432599"/>
                  <wp:effectExtent l="0" t="0" r="0" b="0"/>
                  <wp:docPr id="4" name="Picture 9" descr="Figure 1.7A Coccus dynamic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7A Coccus dynamics.emf"/>
                          <pic:cNvPicPr/>
                        </pic:nvPicPr>
                        <pic:blipFill>
                          <a:blip r:embed="rId19" cstate="print"/>
                          <a:stretch>
                            <a:fillRect/>
                          </a:stretch>
                        </pic:blipFill>
                        <pic:spPr>
                          <a:xfrm>
                            <a:off x="0" y="0"/>
                            <a:ext cx="1800000" cy="4432599"/>
                          </a:xfrm>
                          <a:prstGeom prst="rect">
                            <a:avLst/>
                          </a:prstGeom>
                        </pic:spPr>
                      </pic:pic>
                    </a:graphicData>
                  </a:graphic>
                </wp:inline>
              </w:drawing>
            </w:r>
          </w:p>
        </w:tc>
        <w:tc>
          <w:tcPr>
            <w:tcW w:w="1480" w:type="dxa"/>
          </w:tcPr>
          <w:p w:rsidR="00BC7652" w:rsidRDefault="00BC7652" w:rsidP="006C5A4E">
            <w:pPr>
              <w:jc w:val="right"/>
              <w:rPr>
                <w:rFonts w:ascii="Times New Roman" w:hAnsi="Times New Roman" w:cs="Times New Roman"/>
                <w:noProof/>
                <w:sz w:val="36"/>
                <w:szCs w:val="36"/>
                <w:lang w:eastAsia="en-GB"/>
              </w:rPr>
            </w:pPr>
          </w:p>
          <w:p w:rsidR="00BC7652" w:rsidRDefault="00BC7652" w:rsidP="006C5A4E">
            <w:pPr>
              <w:jc w:val="right"/>
              <w:rPr>
                <w:rFonts w:ascii="Times New Roman" w:hAnsi="Times New Roman" w:cs="Times New Roman"/>
                <w:noProof/>
                <w:sz w:val="36"/>
                <w:szCs w:val="36"/>
                <w:lang w:eastAsia="en-GB"/>
              </w:rPr>
            </w:pPr>
            <w:r w:rsidRPr="00727F69">
              <w:rPr>
                <w:rFonts w:ascii="Times New Roman" w:hAnsi="Times New Roman" w:cs="Times New Roman"/>
                <w:noProof/>
                <w:sz w:val="36"/>
                <w:szCs w:val="36"/>
                <w:lang w:eastAsia="en-GB"/>
              </w:rPr>
              <w:t>1.</w:t>
            </w:r>
          </w:p>
          <w:p w:rsidR="00BC7652" w:rsidRDefault="00BC7652" w:rsidP="006C5A4E">
            <w:pPr>
              <w:jc w:val="right"/>
              <w:rPr>
                <w:rFonts w:ascii="Times New Roman" w:hAnsi="Times New Roman" w:cs="Times New Roman"/>
                <w:noProof/>
                <w:sz w:val="36"/>
                <w:szCs w:val="36"/>
                <w:lang w:eastAsia="en-GB"/>
              </w:rPr>
            </w:pPr>
          </w:p>
          <w:p w:rsidR="00BC7652" w:rsidRDefault="00BC7652" w:rsidP="006C5A4E">
            <w:pPr>
              <w:jc w:val="right"/>
              <w:rPr>
                <w:rFonts w:ascii="Times New Roman" w:hAnsi="Times New Roman" w:cs="Times New Roman"/>
                <w:noProof/>
                <w:sz w:val="36"/>
                <w:szCs w:val="36"/>
                <w:lang w:eastAsia="en-GB"/>
              </w:rPr>
            </w:pPr>
          </w:p>
          <w:p w:rsidR="00BC7652" w:rsidRDefault="00BC7652" w:rsidP="006C5A4E">
            <w:pPr>
              <w:jc w:val="right"/>
              <w:rPr>
                <w:rFonts w:ascii="Times New Roman" w:hAnsi="Times New Roman" w:cs="Times New Roman"/>
                <w:noProof/>
                <w:sz w:val="36"/>
                <w:szCs w:val="36"/>
                <w:lang w:eastAsia="en-GB"/>
              </w:rPr>
            </w:pPr>
          </w:p>
          <w:p w:rsidR="00BC7652" w:rsidRDefault="00BC7652" w:rsidP="006C5A4E">
            <w:pPr>
              <w:jc w:val="right"/>
              <w:rPr>
                <w:rFonts w:ascii="Times New Roman" w:hAnsi="Times New Roman" w:cs="Times New Roman"/>
                <w:noProof/>
                <w:sz w:val="36"/>
                <w:szCs w:val="36"/>
                <w:lang w:eastAsia="en-GB"/>
              </w:rPr>
            </w:pPr>
            <w:r>
              <w:rPr>
                <w:rFonts w:ascii="Times New Roman" w:hAnsi="Times New Roman" w:cs="Times New Roman"/>
                <w:noProof/>
                <w:sz w:val="36"/>
                <w:szCs w:val="36"/>
                <w:lang w:eastAsia="en-GB"/>
              </w:rPr>
              <w:t>2.</w:t>
            </w:r>
          </w:p>
          <w:p w:rsidR="00BC7652" w:rsidRDefault="00BC7652" w:rsidP="006C5A4E">
            <w:pPr>
              <w:jc w:val="right"/>
              <w:rPr>
                <w:rFonts w:ascii="Times New Roman" w:hAnsi="Times New Roman" w:cs="Times New Roman"/>
                <w:noProof/>
                <w:sz w:val="36"/>
                <w:szCs w:val="36"/>
                <w:lang w:eastAsia="en-GB"/>
              </w:rPr>
            </w:pPr>
          </w:p>
          <w:p w:rsidR="00BC7652" w:rsidRDefault="00BC7652" w:rsidP="006C5A4E">
            <w:pPr>
              <w:jc w:val="right"/>
              <w:rPr>
                <w:rFonts w:ascii="Times New Roman" w:hAnsi="Times New Roman" w:cs="Times New Roman"/>
                <w:noProof/>
                <w:sz w:val="36"/>
                <w:szCs w:val="36"/>
                <w:lang w:eastAsia="en-GB"/>
              </w:rPr>
            </w:pPr>
          </w:p>
          <w:p w:rsidR="00BC7652" w:rsidRPr="00727F69" w:rsidRDefault="00BC7652" w:rsidP="006C5A4E">
            <w:pPr>
              <w:jc w:val="right"/>
              <w:rPr>
                <w:rFonts w:ascii="Times New Roman" w:hAnsi="Times New Roman" w:cs="Times New Roman"/>
                <w:noProof/>
                <w:sz w:val="16"/>
                <w:szCs w:val="16"/>
                <w:lang w:eastAsia="en-GB"/>
              </w:rPr>
            </w:pPr>
          </w:p>
          <w:p w:rsidR="00BC7652" w:rsidRPr="00727F69" w:rsidRDefault="00BC7652" w:rsidP="006C5A4E">
            <w:pPr>
              <w:jc w:val="right"/>
              <w:rPr>
                <w:rFonts w:ascii="Times New Roman" w:hAnsi="Times New Roman" w:cs="Times New Roman"/>
                <w:noProof/>
                <w:sz w:val="16"/>
                <w:szCs w:val="16"/>
                <w:lang w:eastAsia="en-GB"/>
              </w:rPr>
            </w:pPr>
          </w:p>
          <w:p w:rsidR="00BC7652" w:rsidRPr="00727F69" w:rsidRDefault="00BC7652" w:rsidP="006C5A4E">
            <w:pPr>
              <w:jc w:val="right"/>
              <w:rPr>
                <w:rFonts w:ascii="Times New Roman" w:hAnsi="Times New Roman" w:cs="Times New Roman"/>
                <w:noProof/>
                <w:sz w:val="24"/>
                <w:szCs w:val="24"/>
                <w:lang w:eastAsia="en-GB"/>
              </w:rPr>
            </w:pPr>
          </w:p>
          <w:p w:rsidR="00BC7652" w:rsidRDefault="00BC7652" w:rsidP="006C5A4E">
            <w:pPr>
              <w:jc w:val="right"/>
              <w:rPr>
                <w:rFonts w:ascii="Times New Roman" w:hAnsi="Times New Roman" w:cs="Times New Roman"/>
                <w:noProof/>
                <w:sz w:val="36"/>
                <w:szCs w:val="36"/>
                <w:lang w:eastAsia="en-GB"/>
              </w:rPr>
            </w:pPr>
            <w:r>
              <w:rPr>
                <w:rFonts w:ascii="Times New Roman" w:hAnsi="Times New Roman" w:cs="Times New Roman"/>
                <w:noProof/>
                <w:sz w:val="36"/>
                <w:szCs w:val="36"/>
                <w:lang w:eastAsia="en-GB"/>
              </w:rPr>
              <w:t>3.</w:t>
            </w:r>
          </w:p>
          <w:p w:rsidR="00BC7652" w:rsidRDefault="00BC7652" w:rsidP="006C5A4E">
            <w:pPr>
              <w:jc w:val="right"/>
              <w:rPr>
                <w:rFonts w:ascii="Times New Roman" w:hAnsi="Times New Roman" w:cs="Times New Roman"/>
                <w:noProof/>
                <w:sz w:val="36"/>
                <w:szCs w:val="36"/>
                <w:lang w:eastAsia="en-GB"/>
              </w:rPr>
            </w:pPr>
          </w:p>
          <w:p w:rsidR="00BC7652" w:rsidRDefault="00BC7652" w:rsidP="006C5A4E">
            <w:pPr>
              <w:jc w:val="right"/>
              <w:rPr>
                <w:rFonts w:ascii="Times New Roman" w:hAnsi="Times New Roman" w:cs="Times New Roman"/>
                <w:noProof/>
                <w:sz w:val="36"/>
                <w:szCs w:val="36"/>
                <w:lang w:eastAsia="en-GB"/>
              </w:rPr>
            </w:pPr>
          </w:p>
          <w:p w:rsidR="00BC7652" w:rsidRDefault="00BC7652" w:rsidP="006C5A4E">
            <w:pPr>
              <w:jc w:val="right"/>
              <w:rPr>
                <w:rFonts w:ascii="Times New Roman" w:hAnsi="Times New Roman" w:cs="Times New Roman"/>
                <w:noProof/>
                <w:sz w:val="36"/>
                <w:szCs w:val="36"/>
                <w:lang w:eastAsia="en-GB"/>
              </w:rPr>
            </w:pPr>
          </w:p>
          <w:p w:rsidR="00BC7652" w:rsidRDefault="00BC7652" w:rsidP="006C5A4E">
            <w:pPr>
              <w:jc w:val="right"/>
              <w:rPr>
                <w:noProof/>
                <w:lang w:eastAsia="en-GB"/>
              </w:rPr>
            </w:pPr>
            <w:r>
              <w:rPr>
                <w:rFonts w:ascii="Times New Roman" w:hAnsi="Times New Roman" w:cs="Times New Roman"/>
                <w:noProof/>
                <w:sz w:val="36"/>
                <w:szCs w:val="36"/>
                <w:lang w:eastAsia="en-GB"/>
              </w:rPr>
              <w:t>4.</w:t>
            </w:r>
          </w:p>
        </w:tc>
        <w:tc>
          <w:tcPr>
            <w:tcW w:w="3228" w:type="dxa"/>
            <w:vAlign w:val="center"/>
          </w:tcPr>
          <w:p w:rsidR="00BC7652" w:rsidRDefault="00BC7652" w:rsidP="006C5A4E">
            <w:pPr>
              <w:jc w:val="center"/>
            </w:pPr>
            <w:r>
              <w:rPr>
                <w:noProof/>
                <w:lang w:eastAsia="en-GB"/>
              </w:rPr>
              <w:drawing>
                <wp:inline distT="0" distB="0" distL="0" distR="0">
                  <wp:extent cx="1800000" cy="4551542"/>
                  <wp:effectExtent l="0" t="0" r="0" b="0"/>
                  <wp:docPr id="5" name="Picture 11" descr="Figure 1-7B Ovococcus dynamic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7B Ovococcus dynamics.emf"/>
                          <pic:cNvPicPr/>
                        </pic:nvPicPr>
                        <pic:blipFill>
                          <a:blip r:embed="rId20" cstate="print"/>
                          <a:stretch>
                            <a:fillRect/>
                          </a:stretch>
                        </pic:blipFill>
                        <pic:spPr>
                          <a:xfrm>
                            <a:off x="0" y="0"/>
                            <a:ext cx="1800000" cy="4551542"/>
                          </a:xfrm>
                          <a:prstGeom prst="rect">
                            <a:avLst/>
                          </a:prstGeom>
                        </pic:spPr>
                      </pic:pic>
                    </a:graphicData>
                  </a:graphic>
                </wp:inline>
              </w:drawing>
            </w:r>
          </w:p>
        </w:tc>
      </w:tr>
    </w:tbl>
    <w:p w:rsidR="00BC7652" w:rsidRPr="00DE2B03" w:rsidRDefault="00BC7652" w:rsidP="00BC7652">
      <w:pPr>
        <w:spacing w:after="0" w:line="240" w:lineRule="auto"/>
        <w:jc w:val="both"/>
        <w:rPr>
          <w:rFonts w:ascii="Times New Roman" w:hAnsi="Times New Roman" w:cs="Times New Roman"/>
          <w:sz w:val="12"/>
          <w:szCs w:val="12"/>
        </w:rPr>
      </w:pPr>
    </w:p>
    <w:p w:rsidR="00BC7652" w:rsidRPr="00900361" w:rsidRDefault="00BC7652" w:rsidP="00BC7652">
      <w:pPr>
        <w:spacing w:line="360" w:lineRule="auto"/>
        <w:jc w:val="both"/>
        <w:rPr>
          <w:rFonts w:ascii="Times New Roman" w:hAnsi="Times New Roman" w:cs="Times New Roman"/>
          <w:noProof/>
          <w:color w:val="000000" w:themeColor="text1"/>
          <w:sz w:val="24"/>
          <w:szCs w:val="24"/>
          <w:lang w:eastAsia="en-GB"/>
        </w:rPr>
      </w:pPr>
      <w:proofErr w:type="gramStart"/>
      <w:r w:rsidRPr="005C3E2C">
        <w:rPr>
          <w:rFonts w:ascii="Times New Roman" w:hAnsi="Times New Roman" w:cs="Times New Roman"/>
          <w:b/>
          <w:sz w:val="24"/>
          <w:szCs w:val="24"/>
        </w:rPr>
        <w:t>Figure 1.</w:t>
      </w:r>
      <w:r>
        <w:rPr>
          <w:rFonts w:ascii="Times New Roman" w:hAnsi="Times New Roman" w:cs="Times New Roman"/>
          <w:b/>
          <w:sz w:val="24"/>
          <w:szCs w:val="24"/>
        </w:rPr>
        <w:t>8</w:t>
      </w:r>
      <w:r w:rsidRPr="005C3E2C">
        <w:rPr>
          <w:rFonts w:ascii="Times New Roman" w:hAnsi="Times New Roman" w:cs="Times New Roman"/>
          <w:b/>
          <w:sz w:val="24"/>
          <w:szCs w:val="24"/>
        </w:rPr>
        <w:t>.</w:t>
      </w:r>
      <w:proofErr w:type="gramEnd"/>
      <w:r w:rsidRPr="005C3E2C">
        <w:rPr>
          <w:rFonts w:ascii="Times New Roman" w:hAnsi="Times New Roman" w:cs="Times New Roman"/>
          <w:b/>
          <w:sz w:val="24"/>
          <w:szCs w:val="24"/>
        </w:rPr>
        <w:t xml:space="preserve"> </w:t>
      </w:r>
      <w:proofErr w:type="gramStart"/>
      <w:r w:rsidRPr="005C3E2C">
        <w:rPr>
          <w:rFonts w:ascii="Times New Roman" w:hAnsi="Times New Roman" w:cs="Times New Roman"/>
          <w:b/>
          <w:sz w:val="24"/>
          <w:szCs w:val="24"/>
        </w:rPr>
        <w:t>Peptidoglycan dynamics in true-cocci and ovoccoci.</w:t>
      </w:r>
      <w:proofErr w:type="gramEnd"/>
      <w:r w:rsidRPr="005C3E2C">
        <w:rPr>
          <w:rFonts w:ascii="Times New Roman" w:hAnsi="Times New Roman" w:cs="Times New Roman"/>
          <w:sz w:val="24"/>
          <w:szCs w:val="24"/>
        </w:rPr>
        <w:t xml:space="preserve"> </w:t>
      </w:r>
      <w:r>
        <w:rPr>
          <w:rFonts w:ascii="Times New Roman" w:hAnsi="Times New Roman" w:cs="Times New Roman"/>
          <w:sz w:val="24"/>
          <w:szCs w:val="24"/>
        </w:rPr>
        <w:t>A, True cocci: Peptidoglycan synthesis in true-cocci occurs at septation. The division ring is initiated (1). The septum then closes centripetally like an iris (2). A complete</w:t>
      </w:r>
      <w:r w:rsidRPr="000225C6">
        <w:rPr>
          <w:rFonts w:ascii="Times New Roman" w:hAnsi="Times New Roman" w:cs="Times New Roman"/>
          <w:sz w:val="24"/>
          <w:szCs w:val="24"/>
        </w:rPr>
        <w:t xml:space="preserve"> cross</w:t>
      </w:r>
      <w:r>
        <w:rPr>
          <w:rFonts w:ascii="Times New Roman" w:hAnsi="Times New Roman" w:cs="Times New Roman"/>
          <w:sz w:val="24"/>
          <w:szCs w:val="24"/>
        </w:rPr>
        <w:t>-</w:t>
      </w:r>
      <w:r w:rsidRPr="000225C6">
        <w:rPr>
          <w:rFonts w:ascii="Times New Roman" w:hAnsi="Times New Roman" w:cs="Times New Roman"/>
          <w:sz w:val="24"/>
          <w:szCs w:val="24"/>
        </w:rPr>
        <w:t>wall</w:t>
      </w:r>
      <w:r>
        <w:rPr>
          <w:rFonts w:ascii="Times New Roman" w:hAnsi="Times New Roman" w:cs="Times New Roman"/>
          <w:sz w:val="24"/>
          <w:szCs w:val="24"/>
        </w:rPr>
        <w:t xml:space="preserve"> is formed, dividing the cell into two hemispherical daughter cell compartments (3). Daughter cells separate, the septal cross-wall becomes the new cell wall hemisphere. (4) Division is initiated on the </w:t>
      </w:r>
      <w:r w:rsidRPr="00900361">
        <w:rPr>
          <w:rFonts w:ascii="Times New Roman" w:hAnsi="Times New Roman" w:cs="Times New Roman"/>
          <w:color w:val="000000" w:themeColor="text1"/>
          <w:sz w:val="24"/>
          <w:szCs w:val="24"/>
        </w:rPr>
        <w:t xml:space="preserve">next orthogonal plane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{"citationID":"28pijitu16","properties":{"formattedCitation":"(Giesbrecht et al., 1998)","plainCitation":"(Giesbrecht et al., 1998)"},"citationItems":[{"id":44,"uris":["http://zotero.org/users/944474/items/CUPN6QRV"],"uri":["http://zotero.org/users/944474/items/CUPN6QRV"],"itemData":{"id":44,"type":"article-journal","title":"Staphylococcal cell wall: morphogenesis and fatal variations in the presence of penicillin","container-title":"Microbiology and Molecular Biology Reviews: MMBR","page":"1371-1414","volume":"62","issue":"4","abstract":"The primary goal of this review is to provide a compilation of the complex architectural features of staphylococcal cell walls and of some of their unusual morphogenetic traits including the utilization of murosomes and two different mechanisms of cell separation. Knowledge of these electron microscopic findings may serve as a prerequisite for a better understanding of the sophisticated events which lead to penicillin-induced death. For more than 50 years there have been controversial disputes about the mechanisms by which penicillin kills bacteria. Many hypotheses have tried to explain this fatal event biochemically and mainly via bacteriolysis. However, indications that penicillin-induced death of staphylococci results from overall biochemical defects or from a fatal attack of bacterial cell walls by bacteriolytic murein hydrolases were not been found. Rather, penicillin, claimed to trigger the activity of murein hydrolases, impaired autolytic wall enzymes of staphylococci. Electron microscopic investigations have meanwhile shown that penicillin-mediated induction of seemingly minute cross wall mistakes is the very reason for this killing. Such \"morphogenetic death\" taking place at predictable cross wall sites and at a predictable time is based on the initiation of normal cell separations in those staphylococci in which the completion of cross walls had been prevented by local penicillin-mediated impairment of the distribution of newly synthesized peptidoglycan; this death occurs because the high internal pressure of the protoplast abruptly kills such cells via ejection of some cytoplasm during attempted cell separation. An analogous fatal onset of cell partition is considered to take place without involvement of a detectable quantity of autolytic wall enzymes (\"mechanical cell separation\"). The most prominent feature of penicillin, the disintegration of bacterial cells via bacteriolysis, is shown to represent only a postmortem process resulting from shrinkage of dead cells and perturbation of the cytoplasmic membrane. Several schematic drawings have been included in this review to facilitate an understanding of the complex morphogenetic events.","note":"PMID: 9841676","shortTitle":"Staphylococcal cell wall","journalAbbreviation":"Microbiol. Mol. Biol. Rev.","author":[{"family":"Giesbrecht","given":"P"},{"family":"Kersten","given":"T"},{"family":"Maidhof","given":"H"},{"family":"Wecke","given":"J"}],"issued":{"year":1998,"month":12},"accessed":{"year":2012,"month":3,"day":6},"page-first":"1371"}}],"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(Giesbrecht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1998)</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B, Ovococci: An annular outgrowth of the cell wall, termed an equatorial ring, demarks the initiation site of new wall synthesis (1). Synthesis of an invaginating cross-wall is initiated. Synthesis occurs simultaneous</w:t>
      </w:r>
      <w:r>
        <w:rPr>
          <w:rFonts w:ascii="Times New Roman" w:hAnsi="Times New Roman" w:cs="Times New Roman"/>
          <w:color w:val="000000" w:themeColor="text1"/>
          <w:sz w:val="24"/>
          <w:szCs w:val="24"/>
        </w:rPr>
        <w:t>ly</w:t>
      </w:r>
      <w:r w:rsidRPr="00900361">
        <w:rPr>
          <w:rFonts w:ascii="Times New Roman" w:hAnsi="Times New Roman" w:cs="Times New Roman"/>
          <w:color w:val="000000" w:themeColor="text1"/>
          <w:sz w:val="24"/>
          <w:szCs w:val="24"/>
        </w:rPr>
        <w:t xml:space="preserve"> with splitting at the mid-cell</w:t>
      </w:r>
      <w:r>
        <w:rPr>
          <w:rFonts w:ascii="Times New Roman" w:hAnsi="Times New Roman" w:cs="Times New Roman"/>
          <w:color w:val="000000" w:themeColor="text1"/>
          <w:sz w:val="24"/>
          <w:szCs w:val="24"/>
        </w:rPr>
        <w:t>.</w:t>
      </w:r>
      <w:r w:rsidRPr="00900361">
        <w:rPr>
          <w:rFonts w:ascii="Times New Roman" w:hAnsi="Times New Roman" w:cs="Times New Roman"/>
          <w:color w:val="000000" w:themeColor="text1"/>
          <w:sz w:val="24"/>
          <w:szCs w:val="24"/>
        </w:rPr>
        <w:t xml:space="preserve"> The equatorial ring is split in two, and the rings are driven apart by peripheral wall extension. The new cross-wall is pulled into the stress-bearing plane under turgor pressure (2). The equatorial rings approach the mid-cell of the forming daughter cells. Peripheral extension switches to constriction (3). The annular cross-wall closes forming a new cell pole. Peripheral growth initiates in the daughter cells (4)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{"citationID":"RZtVBR6y","properties":{"formattedCitation":"(Higgins and Shockman, 1970)","plainCitation":"(Higgins and Shockman, 1970)"},"citationItems":[{"id":119,"uris":["http://zotero.org/users/944474/items/5VZGQQUH"],"uri":["http://zotero.org/users/944474/items/5VZGQQUH"],"itemData":{"id":119,"type":"article-journal","title":"Model for cell wall growth of Streptococcus faecalis","container-title":"Journal of Bacteriology","page":"643-648","volume":"101","issue":"2","abstract":"In exponentially growing and dividing cells of Streptococcus faecalis, it is proposed that the leading edge of the annularly closing cross wall is the point of extension for both cross wall and peripheral wall. Peripheral wall extension is thought to be produced by the separation or splitting of the cross wall at its junction with peripheral wall. This results in the pushing of the equatorial wall bands, found on S. faecalis walls, to subsequatorial positions. These bands therefore mark the separation of old wall from new wall. Mesosomal formation was observed usually to precede cross wall initiation.","note":"PMID: 4984078","journalAbbreviation":"J. Bacteriol.","author":[{"family":"Higgins","given":"M L"},{"family":"Shockman","given":"G D"}],"issued":{"year":1970,"month":2},"accessed":{"year":2012,"month":4,"day":2},"page-first":"643"}}],"schema":"https://github.com/citation-style-language/schema/raw/master/csl-citation.json"}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(Higgins and Shockman, 1970)</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w:t>
      </w:r>
    </w:p>
    <w:p w:rsidR="00BC7652" w:rsidRPr="00885350" w:rsidRDefault="00BC7652" w:rsidP="00BC7652">
      <w:pPr>
        <w:tabs>
          <w:tab w:val="left" w:pos="1276"/>
        </w:tabs>
        <w:spacing w:line="480" w:lineRule="auto"/>
        <w:jc w:val="both"/>
        <w:rPr>
          <w:rFonts w:ascii="Times New Roman" w:hAnsi="Times New Roman" w:cs="Times New Roman"/>
          <w:sz w:val="28"/>
          <w:szCs w:val="28"/>
        </w:rPr>
      </w:pPr>
      <w:r w:rsidRPr="00900361">
        <w:rPr>
          <w:rFonts w:ascii="Times New Roman" w:hAnsi="Times New Roman" w:cs="Times New Roman"/>
          <w:color w:val="000000" w:themeColor="text1"/>
          <w:sz w:val="28"/>
          <w:szCs w:val="28"/>
        </w:rPr>
        <w:lastRenderedPageBreak/>
        <w:t xml:space="preserve">1.5.2.3 </w:t>
      </w:r>
      <w:r w:rsidRPr="00900361">
        <w:rPr>
          <w:rFonts w:ascii="Times New Roman" w:hAnsi="Times New Roman" w:cs="Times New Roman"/>
          <w:color w:val="000000" w:themeColor="text1"/>
          <w:sz w:val="28"/>
          <w:szCs w:val="28"/>
        </w:rPr>
        <w:tab/>
        <w:t>Peptidoglycan dynamics</w:t>
      </w:r>
      <w:r>
        <w:rPr>
          <w:rFonts w:ascii="Times New Roman" w:hAnsi="Times New Roman" w:cs="Times New Roman"/>
          <w:color w:val="000000"/>
          <w:sz w:val="28"/>
          <w:szCs w:val="28"/>
        </w:rPr>
        <w:t xml:space="preserve"> in ovococcal</w:t>
      </w:r>
      <w:r w:rsidRPr="00885350">
        <w:rPr>
          <w:rFonts w:ascii="Times New Roman" w:hAnsi="Times New Roman" w:cs="Times New Roman"/>
          <w:color w:val="000000"/>
          <w:sz w:val="28"/>
          <w:szCs w:val="28"/>
        </w:rPr>
        <w:t xml:space="preserve"> bacteria</w:t>
      </w:r>
    </w:p>
    <w:p w:rsidR="00BC7652" w:rsidRDefault="00BC7652" w:rsidP="00BC765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In </w:t>
      </w:r>
      <w:r w:rsidRPr="00900361">
        <w:rPr>
          <w:rFonts w:ascii="Times New Roman" w:hAnsi="Times New Roman" w:cs="Times New Roman"/>
          <w:color w:val="000000" w:themeColor="text1"/>
          <w:sz w:val="24"/>
          <w:szCs w:val="24"/>
        </w:rPr>
        <w:t xml:space="preserve">ovococci, cell wall synthesis also appears to occur exclusively from the midcell, but on a single plane (Figure 1.8B; Cole, 1965; Briles </w:t>
      </w:r>
      <w:r w:rsidRPr="00C521B3">
        <w:rPr>
          <w:rFonts w:ascii="Times New Roman" w:hAnsi="Times New Roman" w:cs="Times New Roman"/>
          <w:i/>
          <w:color w:val="000000" w:themeColor="text1"/>
          <w:sz w:val="24"/>
          <w:szCs w:val="24"/>
        </w:rPr>
        <w:t>et al</w:t>
      </w:r>
      <w:r w:rsidRPr="00900361">
        <w:rPr>
          <w:rFonts w:ascii="Times New Roman" w:hAnsi="Times New Roman" w:cs="Times New Roman"/>
          <w:color w:val="000000" w:themeColor="text1"/>
          <w:sz w:val="24"/>
          <w:szCs w:val="24"/>
        </w:rPr>
        <w:t xml:space="preserve">., 1970). Failure of daughter cells to fully separate can lead to the formation of diplococci or chains of cells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{"citationID":"yiXxZowM","properties":{"formattedCitation":"(Briles and Tomasz, 1970)","plainCitation":"(Briles and Tomasz, 1970)"},"citationItems":[{"id":362,"uris":["http://zotero.org/users/944474/items/VFX7TZJC"],"uri":["http://zotero.org/users/944474/items/VFX7TZJC"],"itemData":{"id":362,"type":"article-journal","title":"Radioautographic evidence for equatorial wall growth in a gram-positive bacterium. Segregation of choline-3H-labeled teichoic acid","container-title":"The Journal of cell biology","page":"786-790","volume":"47","issue":"3","note":"PMID: 4395735","journalAbbreviation":"J. Cell Biol.","author":[{"family":"Briles","given":"E B"},{"family":"Tomasz","given":"A"}],"issued":{"year":1970,"month":12},"accessed":{"year":2012,"month":6,"day":5},"page-first":"786"}}],"schema":"https://github.com/citation-style-language/schema/raw/master/csl-citation.json"}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(Briles and Tomasz, 1970)</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Ovococci undergo a brief phase of peripheral wall elongation prior to septation. Multiple lines of evidence suggest that peripheral growth and septation are carried out by distinct biosynthetic machineries, coordinated by FtsZ. Ovococci generally contain a slightly larger number of PBPs (around seven) than coccoid species (around four)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{"citationID":"1ed9fr3tb7","properties":{"formattedCitation":"(Zapun et al., 2008)","plainCitation":"(Zapun et al., 2008)"},"citationItems":[{"id":87,"uris":["http://zotero.org/users/944474/items/N52MZFST"],"uri":["http://zotero.org/users/944474/items/N52MZFST"],"itemData":{"id":87,"type":"article-journal","title":"The different shapes of cocci","container-title":"FEMS Microbiology Reviews","page":"345-360","volume":"32","issue":"2","abstract":"The shape of bacteria is determined by their cell wall and can be very diverse. Even among genera with the suffix 'cocci', which are the focus of this review, different shapes exist. While staphylococci or Neisseria cells, for example, are truly round-shaped, streptococci, lactococci or enterococci have an ovoid shape. Interestingly, there seems to be a correlation between the shape of an organism and its set of penicillin-binding proteins--the enzymes that assemble the peptidoglycan, the main constituent of the cell wall. While only one peptidoglycan biosynthesis machinery seems to exist in staphylococci, two of these machineries are proposed to function in ovoid-shaped bacteria, reinforcing the intrinsic differences regarding the morphogenesis of different classes of cocci. The present review aims to integrate older ultra-structural data with recent localization studies, in order to clarify the relation between the mechanisms of cell wall synthesis and the determination of cell shape in various cocci.","DOI":"10.1111/j.1574-6976.2007.00098.x","note":"PMID: 18266741","journalAbbreviation":"FEMS Microbiol. Rev.","author":[{"family":"Zapun","given":"André"},{"family":"Vernet","given":"Thierry"},{"family":"Pinho","given":"Mariana G"}],"issued":{"year":2008,"month":3},"accessed":{"year":2012,"month":4,"day":2},"page-first":"345"}}],"schema":"https://github.com/citation-style-language/schema/raw/master/csl-citation.json"}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(Zapun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2008)</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Ovococcal bacteria also possess many homologues of proteins that form the elongasome of rod-shaped organisms, including MreC, MreD, RodA and G</w:t>
      </w:r>
      <w:r>
        <w:rPr>
          <w:rFonts w:ascii="Times New Roman" w:hAnsi="Times New Roman" w:cs="Times New Roman"/>
          <w:color w:val="000000" w:themeColor="text1"/>
          <w:sz w:val="24"/>
          <w:szCs w:val="24"/>
        </w:rPr>
        <w:t>ps</w:t>
      </w:r>
      <w:r w:rsidRPr="00900361">
        <w:rPr>
          <w:rFonts w:ascii="Times New Roman" w:hAnsi="Times New Roman" w:cs="Times New Roman"/>
          <w:color w:val="000000" w:themeColor="text1"/>
          <w:sz w:val="24"/>
          <w:szCs w:val="24"/>
        </w:rPr>
        <w:t xml:space="preserve">B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{"citationID":"1jh80coel7","properties":{"formattedCitation":"(Zapun et al., 2008; Land and Winkler, 2011)","plainCitation":"(Zapun et al., 2008; Land and Winkler, 2011)"},"citationItems":[{"id":87,"uris":["http://zotero.org/users/944474/items/N52MZFST"],"uri":["http://zotero.org/users/944474/items/N52MZFST"],"itemData":{"id":87,"type":"article-journal","title":"The different shapes of cocci","container-title":"FEMS Microbiology Reviews","page":"345-360","volume":"32","issue":"2","abstract":"The shape of bacteria is determined by their cell wall and can be very diverse. Even among genera with the suffix 'cocci', which are the focus of this review, different shapes exist. While staphylococci or Neisseria cells, for example, are truly round-shaped, streptococci, lactococci or enterococci have an ovoid shape. Interestingly, there seems to be a correlation between the shape of an organism and its set of penicillin-binding proteins--the enzymes that assemble the peptidoglycan, the main constituent of the cell wall. While only one peptidoglycan biosynthesis machinery seems to exist in staphylococci, two of these machineries are proposed to function in ovoid-shaped bacteria, reinforcing the intrinsic differences regarding the morphogenesis of different classes of cocci. The present review aims to integrate older ultra-structural data with recent localization studies, in order to clarify the relation between the mechanisms of cell wall synthesis and the determination of cell shape in various cocci.","DOI":"10.1111/j.1574-6976.2007.00098.x","note":"PMID: 18266741","journalAbbreviation":"FEMS Microbiol. Rev.","author":[{"family":"Zapun","given":"André"},{"family":"Vernet","given":"Thierry"},{"family":"Pinho","given":"Mariana G"}],"issued":{"year":2008,"month":3},"accessed":{"year":2012,"month":4,"day":2},"page-first":"345"}},{"id":120,"uris":["http://zotero.org/users/944474/items/IV964CD6"],"uri":["http://zotero.org/users/944474/items/IV964CD6"],"itemData":{"id":120,"type":"article-journal","title":"The requirement for pneumococcal MreC and MreD is relieved by inactivation of the gene encoding PBP1a","container-title":"Journal of Bacteriology","page":"4166-4179","volume":"193","issue":"16","abstract":"MreC and MreD, along with the actin homologue MreB, are required to maintain the shape of rod-shaped bacteria. The depletion of MreCD in rod-shaped bacteria leads to the formation of spherical cells and the accumulation of suppressor mutations. Ovococcus bacteria, such as Streptococcus pneumoniae, lack MreB homologues, and the functions of the S. pneumoniae MreCD (MreCD(Spn)) proteins are unknown. mreCD are located upstream from the pcsB cell division gene in most Streptococcus species, but we found that mreCD and pcsB are transcribed independently. Similarly to rod-shaped bacteria, we show that mreCD are essential in the virulent serotype 2 D39 strain of S. pneumoniae, and the depletion of MreCD results in cell rounding and lysis. In contrast, laboratory strain R6 contains suppressors that allow the growth of ΔmreCD mutants, and bypass suppressors accumulate in D39 ΔmreCD mutants. One class of suppressors eliminates the function of class A penicillin binding protein 1a (PBP1a). Unencapsulated Δpbp1a D39 mutants have smaller diameters than their pbp1a(+) parent or Δpbp2a and Δpbp1b mutants, which lack other class A PBPs and do not show the suppression of ΔmreCD mutations. Suppressed ΔmreCD Δpbp1a double mutants form aberrantly shaped cells, some with misplaced peptidoglycan (PG) biosynthesis compared to that of single Δpbp1a mutants. Quantitative Western blotting showed that MreC(Spn) is abundant (≈8,500 dimers per cell), and immunofluorescent microscopy (IFM) located MreCD(Spn) to the equators and septa of dividing cells, similarly to the PBPs and PG pentapeptides indicative of PG synthesis. These combined results are consistent with a model in which MreCD(Spn) direct peripheral PG synthesis and control PBP1a localization or activity.","DOI":"10.1128/JB.05245-11","note":"PMID: 21685290","journalAbbreviation":"J. Bacteriol.","author":[{"family":"Land","given":"Adrian D"},{"family":"Winkler","given":"Malcolm E"}],"issued":{"year":2011,"month":8},"accessed":{"year":2012,"month":4,"day":2},"page-first":"4166"}}],"schema":"https://github.com/citation-style-language/schema/raw/master/csl-citation.json"}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(Zapun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2008; Land and Winkler, 2011)</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w:t>
      </w:r>
      <w:r w:rsidRPr="00900361">
        <w:rPr>
          <w:rFonts w:ascii="Times New Roman" w:hAnsi="Times New Roman" w:cs="Times New Roman"/>
          <w:i/>
          <w:color w:val="000000" w:themeColor="text1"/>
          <w:sz w:val="24"/>
          <w:szCs w:val="24"/>
        </w:rPr>
        <w:t xml:space="preserve">S. pneumoniae </w:t>
      </w:r>
      <w:r w:rsidRPr="00900361">
        <w:rPr>
          <w:rFonts w:ascii="Times New Roman" w:hAnsi="Times New Roman" w:cs="Times New Roman"/>
          <w:color w:val="000000" w:themeColor="text1"/>
          <w:sz w:val="24"/>
          <w:szCs w:val="24"/>
        </w:rPr>
        <w:t xml:space="preserve">PBP2b has greater homology to </w:t>
      </w:r>
      <w:r w:rsidRPr="00900361">
        <w:rPr>
          <w:rFonts w:ascii="Times New Roman" w:hAnsi="Times New Roman" w:cs="Times New Roman"/>
          <w:i/>
          <w:color w:val="000000" w:themeColor="text1"/>
          <w:sz w:val="24"/>
          <w:szCs w:val="24"/>
        </w:rPr>
        <w:t xml:space="preserve">E. coli </w:t>
      </w:r>
      <w:r w:rsidRPr="00900361">
        <w:rPr>
          <w:rFonts w:ascii="Times New Roman" w:hAnsi="Times New Roman" w:cs="Times New Roman"/>
          <w:color w:val="000000" w:themeColor="text1"/>
          <w:sz w:val="24"/>
          <w:szCs w:val="24"/>
        </w:rPr>
        <w:t xml:space="preserve">PBP2 (elongation) than PBP3 (FtsI, septation) suggesting a role for PBP2b in peripheral synthesis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{"citationID":"6vn9KUZ9","properties":{"formattedCitation":"(Zapun et al., 2008)","plainCitation":"(Zapun et al., 2008)"},"citationItems":[{"id":87,"uris":["http://zotero.org/users/944474/items/N52MZFST"],"uri":["http://zotero.org/users/944474/items/N52MZFST"],"itemData":{"id":87,"type":"article-journal","title":"The different shapes of cocci","container-title":"FEMS Microbiology Reviews","page":"345-360","volume":"32","issue":"2","abstract":"The shape of bacteria is determined by their cell wall and can be very diverse. Even among genera with the suffix 'cocci', which are the focus of this review, different shapes exist. While staphylococci or Neisseria cells, for example, are truly round-shaped, streptococci, lactococci or enterococci have an ovoid shape. Interestingly, there seems to be a correlation between the shape of an organism and its set of penicillin-binding proteins--the enzymes that assemble the peptidoglycan, the main constituent of the cell wall. While only one peptidoglycan biosynthesis machinery seems to exist in staphylococci, two of these machineries are proposed to function in ovoid-shaped bacteria, reinforcing the intrinsic differences regarding the morphogenesis of different classes of cocci. The present review aims to integrate older ultra-structural data with recent localization studies, in order to clarify the relation between the mechanisms of cell wall synthesis and the determination of cell shape in various cocci.","DOI":"10.1111/j.1574-6976.2007.00098.x","note":"PMID: 18266741","journalAbbreviation":"FEMS Microbiol. Rev.","author":[{"family":"Zapun","given":"André"},{"family":"Vernet","given":"Thierry"},{"family":"Pinho","given":"Mariana G"}],"issued":{"year":2008,"month":3},"accessed":{"year":2012,"month":4,"day":2},"page-first":"345"}}],"schema":"https://github.com/citation-style-language/schema/raw/master/csl-citation.json"}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(Zapun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2008)</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Ovococci</w:t>
      </w:r>
      <w:r>
        <w:rPr>
          <w:rFonts w:ascii="Times New Roman" w:hAnsi="Times New Roman" w:cs="Times New Roman"/>
          <w:sz w:val="24"/>
          <w:szCs w:val="24"/>
        </w:rPr>
        <w:t xml:space="preserve">, but not true cocci, can be induced to elongate, demonstrating that elongation and septation </w:t>
      </w:r>
      <w:r w:rsidRPr="00900361">
        <w:rPr>
          <w:rFonts w:ascii="Times New Roman" w:hAnsi="Times New Roman" w:cs="Times New Roman"/>
          <w:color w:val="000000" w:themeColor="text1"/>
          <w:sz w:val="24"/>
          <w:szCs w:val="24"/>
        </w:rPr>
        <w:t xml:space="preserve">are separable processes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{"citationID":"17c2lute68","properties":{"formattedCitation":"{\\rtf (Lleo et al., 1990; P\\uc0\\u233{}rez-N\\uc0\\u250{}\\uc0\\u241{}ez et al., 2011)}","plainCitation":"(Lleo et al., 1990; Pérez-Núñez et al., 2011)"},"citationItems":[{"id":368,"uris":["http://zotero.org/users/944474/items/T8QZWDEQ"],"uri":["http://zotero.org/users/944474/items/T8QZWDEQ"],"itemData":{"id":368,"type":"article-journal","title":"Bacterial cell shape regulation: testing of additional predictions unique to the two-competing-sites model for peptidoglycan assembly and isolation of conditional rod-shaped mutants from some wild-type cocci","container-title":"Journal of bacteriology","page":"3758-3771","volume":"172","issue":"7","abstract":"The two-competing-sites model for peptidoglycan assembly for bacterial cell shape regulation suggests that in rods, bacterial cell shape depends on the balance between two reactions (sites), one responsible for lateral wall elongation and the other responsible for septum formation. The two reactions compete with each other so that no lateral wall can be formed during septum formation and vice versa. When the site for lateral wall elongation overcomes that for septum formation, long rods or filaments are formed and cell division may be blocked. When the reaction leading to septum formation is hyperactive compared with the other, coccobacilli or cocci are formed. Other bacteria carry only one site for peptidoglycan assembly and can grow only as cocci. The two-competing-sites model predicts that two different types of cocci exist (among both morphology mutants and wild-type strains); one carries only the site for septum formation, whereas the other also carries the site for lateral wall elongation, the former site predominating over the latter. As a consequence of the inhibition (by antibiotics or by mutations) of septum formation in wild-type cocci of various species and in coccoid morphology mutants, some cocci are expected to undergo transition to rod shape and others are not. We have evaluated these predictions and show that they are in agreement. In fact, we found that among wild-type cocci belonging to 13 species, those of 6 species formed rods, whereas the remaining organisms maintained their coccal shape when septa were inhibited by antibiotics. Some coccoid morphology mutants of rod-shaped bacteria underwent coccus-to-rod transition after septum inhibition by antibiotics, whereas others maintained their coccal shape. When a mutation that causes septum inhibition was expressed in a morphology mutant of Klebsiella pneumoniae grown as a coccus, transition to rod shape was observed. A total of 914 mutants unable to form colonies at 42 degrees C were isolated from the coccoid species mentioned above. Between 75 and 95% of the mutants isolated from the species that formed rods when septum formation was inhibited by antibiotics but none of those isolated from the others underwent coccus-to-rod transition upon incubation at the nonpermissive temperature.","note":"PMID: 2361946","shortTitle":"Bacterial cell shape regulation","journalAbbreviation":"J. Bacteriol.","author":[{"family":"Lleo","given":"M M"},{"family":"Canepari","given":"P"},{"family":"Satta","given":"G"}],"issued":{"year":1990,"month":7},"accessed":{"year":2012,"month":6,"day":5},"page-first":"3758"}},{"id":93,"uris":["http://zotero.org/users/944474/items/IU5HEDB6"],"uri":["http://zotero.org/users/944474/items/IU5HEDB6"],"itemData":{"id":93,"type":"article-journal","title":"A new morphogenesis pathway in bacteria: unbalanced activity of cell wall synthesis machineries leads to coccus-to-rod transition and filamentation in ovococci","container-title":"Molecular Microbiology","page":"759-771","volume":"79","issue":"3","abstract":"Bacteria display a variety of shapes, which have biological relevance. In most eubacteria, cell shape is maintained by the tough peptidoglycan (PG) layer of the cell wall, the sacculus. The organization of PG synthesis machineries, orchestrated by different cytoskeletal elements, determines the specific shapes of sacculi. In rod-shaped bacteria, the actin-like (MreB) and the tubuline-like (FtsZ) cytoskeletons control synthesis of the sidewall (elongation) and the crosswall (septation) respectively. Much less is known concerning cell morphogenesis in cocci, which lack MreB proteins. While spherical cocci exclusively display septal growth, ovococci additionally display peripheral growth, which is responsible of the slight longitudinal expansion that generates their ovoid shape. Here, we report that the ovococcus Lactococcus lactis has the ability to become rod-shaped. L. lactis IL1403 wild-type cells form long aseptate filaments during both biofilm and planktonic growth in a synthetic medium. Nascent PG insertion and the division protein FtsK localize in multiple peripheral rings regularly spaced along the filaments. We show that filamentation results from septation inhibition, and that penicillin-binding proteins PBP2x and PBP2b play a direct role in this process. We propose a model for filament formation in L. lactis, and discuss the possible biological role of such morphological differentiation.","DOI":"10.1111/j.1365-2958.2010.07483.x","note":"PMID: 21255117","shortTitle":"A new morphogenesis pathway in bacteria","journalAbbreviation":"Mol. Microbiol.","author":[{"family":"Pérez-Núñez","given":"Daniel"},{"family":"Briandet","given":"Romain"},{"family":"David","given":"Blandine"},{"family":"Gautier","given":"Céline"},{"family":"Renault","given":"Pierre"},{"family":"Hallet","given":"Bernard"},{"family":"Hols","given":"Pascal"},{"family":"Carballido-López","given":"Rut"},{"family":"Guédon","given":"Eric"}],"issued":{"year":2011,"month":2},"accessed":{"year":2012,"month":4,"day":2},"page-first":"759"}}],"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szCs w:val="24"/>
        </w:rPr>
        <w:t xml:space="preserve">(Lleo </w:t>
      </w:r>
      <w:r w:rsidRPr="00C521B3">
        <w:rPr>
          <w:rFonts w:ascii="Times New Roman" w:hAnsi="Times New Roman" w:cs="Times New Roman"/>
          <w:i/>
          <w:color w:val="000000" w:themeColor="text1"/>
          <w:sz w:val="24"/>
          <w:szCs w:val="24"/>
        </w:rPr>
        <w:t>et al</w:t>
      </w:r>
      <w:r w:rsidRPr="00900361">
        <w:rPr>
          <w:rFonts w:ascii="Times New Roman" w:hAnsi="Times New Roman" w:cs="Times New Roman"/>
          <w:color w:val="000000" w:themeColor="text1"/>
          <w:sz w:val="24"/>
          <w:szCs w:val="24"/>
        </w:rPr>
        <w:t xml:space="preserve">., 1990; Pérez-Núñez </w:t>
      </w:r>
      <w:r w:rsidRPr="00C521B3">
        <w:rPr>
          <w:rFonts w:ascii="Times New Roman" w:hAnsi="Times New Roman" w:cs="Times New Roman"/>
          <w:i/>
          <w:color w:val="000000" w:themeColor="text1"/>
          <w:sz w:val="24"/>
          <w:szCs w:val="24"/>
        </w:rPr>
        <w:t>et al</w:t>
      </w:r>
      <w:r w:rsidRPr="00900361">
        <w:rPr>
          <w:rFonts w:ascii="Times New Roman" w:hAnsi="Times New Roman" w:cs="Times New Roman"/>
          <w:color w:val="000000" w:themeColor="text1"/>
          <w:sz w:val="24"/>
          <w:szCs w:val="24"/>
        </w:rPr>
        <w:t>., 2011)</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and inactivation of elongasome homologues</w:t>
      </w:r>
      <w:r w:rsidRPr="00900361">
        <w:rPr>
          <w:rFonts w:ascii="Times New Roman" w:hAnsi="Times New Roman" w:cs="Times New Roman"/>
          <w:i/>
          <w:color w:val="000000" w:themeColor="text1"/>
          <w:sz w:val="24"/>
          <w:szCs w:val="24"/>
        </w:rPr>
        <w:t xml:space="preserve"> </w:t>
      </w:r>
      <w:r w:rsidRPr="00900361">
        <w:rPr>
          <w:rFonts w:ascii="Times New Roman" w:hAnsi="Times New Roman" w:cs="Times New Roman"/>
          <w:color w:val="000000" w:themeColor="text1"/>
          <w:sz w:val="24"/>
          <w:szCs w:val="24"/>
        </w:rPr>
        <w:t xml:space="preserve">results in spherical cells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{"citationID":"4tud1pjj","properties":{"formattedCitation":"{\\rtf (Thibessard et al., 2002; P\\uc0\\u233{}rez-N\\uc0\\u250{}\\uc0\\u241{}ez et al., 2011)}","plainCitation":"(Thibessard et al., 2002; Pérez-Núñez et al., 2011)"},"citationItems":[{"id":370,"uris":["http://zotero.org/users/944474/items/K8MQ8CAA"],"uri":["http://zotero.org/users/944474/items/K8MQ8CAA"],"itemData":{"id":370,"type":"article-journal","title":"Effects of rodA and pbp2b disruption on cell morphology and oxidative stress response of Streptococcus thermophilus CNRZ368","container-title":"Journal of bacteriology","page":"2821-2826","volume":"184","issue":"10","abstract":"Insertional mutagenesis was used to isolate clones from Streptococcus thermophilus CNRZ368 that were modified in their abilities to tolerate oxidative stress. During this process, two menadione-sensitive clones (6G4 and 18C3) were found to display abnormal cell morphologies and distorted chain topologies and were further studied. Molecular characterization of both 6G4 and 18C3 mutants indicated that they were disrupted in open reading frames homologous to rodA and pbp2b, respectively. Both genes encoded proteins in Escherichia coli that were described as being implicated in peptidoglycan synthesis during the process of cell elongation and to function in determining the rod shape of the cell. This work reports a possible connection between peptidoglycan biosynthesis and oxidative stress defense in S. thermophilus CNRZ368.","note":"PMID: 11976312","journalAbbreviation":"J. Bacteriol.","author":[{"family":"Thibessard","given":"Annabelle"},{"family":"Fernandez","given":"Annabelle"},{"family":"Gintz","given":"Brigitte"},{"family":"Leblond-Bourget","given":"Nathalie"},{"family":"Decaris","given":"Bernard"}],"issued":{"year":2002,"month":5},"accessed":{"year":2012,"month":6,"day":5},"page-first":"2821"}},{"id":93,"uris":["http://zotero.org/users/944474/items/IU5HEDB6"],"uri":["http://zotero.org/users/944474/items/IU5HEDB6"],"itemData":{"id":93,"type":"article-journal","title":"A new morphogenesis pathway in bacteria: unbalanced activity of cell wall synthesis machineries leads to coccus-to-rod transition and filamentation in ovococci","container-title":"Molecular Microbiology","page":"759-771","volume":"79","issue":"3","abstract":"Bacteria display a variety of shapes, which have biological relevance. In most eubacteria, cell shape is maintained by the tough peptidoglycan (PG) layer of the cell wall, the sacculus. The organization of PG synthesis machineries, orchestrated by different cytoskeletal elements, determines the specific shapes of sacculi. In rod-shaped bacteria, the actin-like (MreB) and the tubuline-like (FtsZ) cytoskeletons control synthesis of the sidewall (elongation) and the crosswall (septation) respectively. Much less is known concerning cell morphogenesis in cocci, which lack MreB proteins. While spherical cocci exclusively display septal growth, ovococci additionally display peripheral growth, which is responsible of the slight longitudinal expansion that generates their ovoid shape. Here, we report that the ovococcus Lactococcus lactis has the ability to become rod-shaped. L. lactis IL1403 wild-type cells form long aseptate filaments during both biofilm and planktonic growth in a synthetic medium. Nascent PG insertion and the division protein FtsK localize in multiple peripheral rings regularly spaced along the filaments. We show that filamentation results from septation inhibition, and that penicillin-binding proteins PBP2x and PBP2b play a direct role in this process. We propose a model for filament formation in L. lactis, and discuss the possible biological role of such morphological differentiation.","DOI":"10.1111/j.1365-2958.2010.07483.x","note":"PMID: 21255117","shortTitle":"A new morphogenesis pathway in bacteria","journalAbbreviation":"Mol. Microbiol.","author":[{"family":"Pérez-Núñez","given":"Daniel"},{"family":"Briandet","given":"Romain"},{"family":"David","given":"Blandine"},{"family":"Gautier","given":"Céline"},{"family":"Renault","given":"Pierre"},{"family":"Hallet","given":"Bernard"},{"family":"Hols","given":"Pascal"},{"family":"Carballido-López","given":"Rut"},{"family":"Guédon","given":"Eric"}],"issued":{"year":2011,"month":2},"accessed":{"year":2012,"month":4,"day":2},"page-first":"759"}}],"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szCs w:val="24"/>
        </w:rPr>
        <w:t xml:space="preserve">(Thibessard </w:t>
      </w:r>
      <w:r w:rsidRPr="00C521B3">
        <w:rPr>
          <w:rFonts w:ascii="Times New Roman" w:hAnsi="Times New Roman" w:cs="Times New Roman"/>
          <w:i/>
          <w:color w:val="000000" w:themeColor="text1"/>
          <w:sz w:val="24"/>
          <w:szCs w:val="24"/>
        </w:rPr>
        <w:t>et al</w:t>
      </w:r>
      <w:r w:rsidRPr="00900361">
        <w:rPr>
          <w:rFonts w:ascii="Times New Roman" w:hAnsi="Times New Roman" w:cs="Times New Roman"/>
          <w:color w:val="000000" w:themeColor="text1"/>
          <w:sz w:val="24"/>
          <w:szCs w:val="24"/>
        </w:rPr>
        <w:t xml:space="preserve">., 2002; Pérez-Núñez </w:t>
      </w:r>
      <w:r w:rsidRPr="00C521B3">
        <w:rPr>
          <w:rFonts w:ascii="Times New Roman" w:hAnsi="Times New Roman" w:cs="Times New Roman"/>
          <w:i/>
          <w:color w:val="000000" w:themeColor="text1"/>
          <w:sz w:val="24"/>
          <w:szCs w:val="24"/>
        </w:rPr>
        <w:t>et al</w:t>
      </w:r>
      <w:r w:rsidRPr="00900361">
        <w:rPr>
          <w:rFonts w:ascii="Times New Roman" w:hAnsi="Times New Roman" w:cs="Times New Roman"/>
          <w:color w:val="000000" w:themeColor="text1"/>
          <w:sz w:val="24"/>
          <w:szCs w:val="24"/>
        </w:rPr>
        <w:t>., 2011)</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The spatial and temporal localisation of the peripheral and septal machineries is poorly understood. Putative peripheral and septal PBPs co-localise at the resolution of light microscopy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{"citationID":"sgi4mch6","properties":{"formattedCitation":"(Zapun et al., 2008)","plainCitation":"(Zapun et al., 2008)"},"citationItems":[{"id":87,"uris":["http://zotero.org/users/944474/items/N52MZFST"],"uri":["http://zotero.org/users/944474/items/N52MZFST"],"itemData":{"id":87,"type":"article-journal","title":"The different shapes of cocci","container-title":"FEMS Microbiology Reviews","page":"345-360","volume":"32","issue":"2","abstract":"The shape of bacteria is determined by their cell wall and can be very diverse. Even among genera with the suffix 'cocci', which are the focus of this review, different shapes exist. While staphylococci or Neisseria cells, for example, are truly round-shaped, streptococci, lactococci or enterococci have an ovoid shape. Interestingly, there seems to be a correlation between the shape of an organism and its set of penicillin-binding proteins--the enzymes that assemble the peptidoglycan, the main constituent of the cell wall. While only one peptidoglycan biosynthesis machinery seems to exist in staphylococci, two of these machineries are proposed to function in ovoid-shaped bacteria, reinforcing the intrinsic differences regarding the morphogenesis of different classes of cocci. The present review aims to integrate older ultra-structural data with recent localization studies, in order to clarify the relation between the mechanisms of cell wall synthesis and the determination of cell shape in various cocci.","DOI":"10.1111/j.1574-6976.2007.00098.x","note":"PMID: 18266741","journalAbbreviation":"FEMS Microbiol. Rev.","author":[{"family":"Zapun","given":"André"},{"family":"Vernet","given":"Thierry"},{"family":"Pinho","given":"Mariana G"}],"issued":{"year":2008,"month":3},"accessed":{"year":2012,"month":4,"day":2},"page-first":"345"}}],"schema":"https://github.com/citation-style-language/schema/raw/master/csl-citation.json"}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(Zapun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2008)</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The machineries may co-localise at the leading edge of the septum, and act sequentially. Alternatively, the peripheral wall machinery could localise behind the septal machinery at the lagging edge of the septum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{"citationID":"iktlmjl3j","properties":{"formattedCitation":"(Higgins and Shockman, 1976; Zapun et al., 2008)","plainCitation":"(Higgins and Shockman, 1976; Zapun et al., 2008)"},"citationItems":[{"id":257,"uris":["http://zotero.org/users/944474/items/T4H2ZE7J"],"uri":["http://zotero.org/users/944474/items/T4H2ZE7J"],"itemData":{"id":257,"type":"article-journal","title":"Study of cycle of cell wall assembly in Streptococcus faecalis by three-dimensional reconstructions of thin sections of cells","container-title":"Journal of bacteriology","page":"1346-1358","volume":"127","issue":"3","abstract":"A new ultrastructural method was used to study rounds of envelope synthesis that occur in Streptococcus faecalis in \"growth zones\" found between pairs of naturally occurring surface markers. The technique consists of producing three-dimensional reconstructions of these growth zones from the mathematical rotation, about a central axis, of measurements taken from central, longitudinal thin sections of cells. A cycle of exponential-phase envelope growth was then simulated by arranging a series of these reconstructions in increasing order of the amount of peripheral wall surface area or the amount of cell volume that each was calculated to contain. Using this simulated cycle of growth, the geometry of a single growth zone during a round of synthesis was studied. Based on this analysis, a model was developed for the assembly of the cell wall of S. faecalis. The model states that new cell wall surface is synthesized by the regulated flow of essentially two channels of cell wall precursors into a single growth zone. One channel of precursors would be involved in the assembly of a bilayered cross wall that would proceed at a fairly constant rate until the cross wall closes. The second channel of precursors would be involved in the separation of the bilayered cross wall into two segments of peripheral wall. These precursors would intercalate into and thicken the separating layers of the cross wall. The flow of precursors through this channel would be progressively reduced through a cycle. These decreases, when coupled with internal hydrostatic pressure, apparently would result in the enlarging peripheral wall becoming increasingly more curved and would also promote cell division by reducing the total amount of cell wall that must be assembled in order for septation to occur.","note":"PMID: 821928","journalAbbreviation":"J. Bacteriol.","author":[{"family":"Higgins","given":"M L"},{"family":"Shockman","given":"G D"}],"issued":{"year":1976,"month":9},"accessed":{"year":2012,"month":5,"day":24},"page-first":"1346"}},{"id":87,"uris":["http://zotero.org/users/944474/items/N52MZFST"],"uri":["http://zotero.org/users/944474/items/N52MZFST"],"itemData":{"id":87,"type":"article-journal","title":"The different shapes of cocci","container-title":"FEMS Microbiology Reviews","page":"345-360","volume":"32","issue":"2","abstract":"The shape of bacteria is determined by their cell wall and can be very diverse. Even among genera with the suffix 'cocci', which are the focus of this review, different shapes exist. While staphylococci or Neisseria cells, for example, are truly round-shaped, streptococci, lactococci or enterococci have an ovoid shape. Interestingly, there seems to be a correlation between the shape of an organism and its set of penicillin-binding proteins--the enzymes that assemble the peptidoglycan, the main constituent of the cell wall. While only one peptidoglycan biosynthesis machinery seems to exist in staphylococci, two of these machineries are proposed to function in ovoid-shaped bacteria, reinforcing the intrinsic differences regarding the morphogenesis of different classes of cocci. The present review aims to integrate older ultra-structural data with recent localization studies, in order to clarify the relation between the mechanisms of cell wall synthesis and the determination of cell shape in various cocci.","DOI":"10.1111/j.1574-6976.2007.00098.x","note":"PMID: 18266741","journalAbbreviation":"FEMS Microbiol. Rev.","author":[{"family":"Zapun","given":"André"},{"family":"Vernet","given":"Thierry"},{"family":"Pinho","given":"Mariana G"}],"issued":{"year":2008,"month":3},"accessed":{"year":2012,"month":4,"day":2},"page-first":"345"}}],"schema":"https://github.com/citation-style-language/schema/raw/master/csl-citation.json"}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(Higgins and Shockman, 1976; Zapun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2008)</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w:t>
      </w:r>
    </w:p>
    <w:p w:rsidR="00BC7652" w:rsidRDefault="00BC7652" w:rsidP="00BC7652">
      <w:pPr>
        <w:rPr>
          <w:rFonts w:ascii="Times New Roman" w:hAnsi="Times New Roman" w:cs="Times New Roman"/>
          <w:sz w:val="24"/>
          <w:szCs w:val="24"/>
        </w:rPr>
      </w:pPr>
      <w:r>
        <w:rPr>
          <w:rFonts w:ascii="Times New Roman" w:hAnsi="Times New Roman" w:cs="Times New Roman"/>
          <w:sz w:val="24"/>
          <w:szCs w:val="24"/>
        </w:rPr>
        <w:br w:type="page"/>
      </w:r>
    </w:p>
    <w:p w:rsidR="00BC7652" w:rsidRDefault="00BC7652" w:rsidP="00BC7652">
      <w:pPr>
        <w:tabs>
          <w:tab w:val="left" w:pos="1276"/>
        </w:tabs>
        <w:spacing w:line="480" w:lineRule="auto"/>
        <w:jc w:val="both"/>
        <w:rPr>
          <w:rFonts w:ascii="Times New Roman" w:hAnsi="Times New Roman" w:cs="Times New Roman"/>
          <w:sz w:val="28"/>
          <w:szCs w:val="28"/>
        </w:rPr>
      </w:pPr>
      <w:r>
        <w:rPr>
          <w:rFonts w:ascii="Times New Roman" w:hAnsi="Times New Roman" w:cs="Times New Roman"/>
          <w:sz w:val="28"/>
          <w:szCs w:val="28"/>
        </w:rPr>
        <w:lastRenderedPageBreak/>
        <w:t>1.6</w:t>
      </w:r>
      <w:r>
        <w:rPr>
          <w:rFonts w:ascii="Times New Roman" w:hAnsi="Times New Roman" w:cs="Times New Roman"/>
          <w:sz w:val="28"/>
          <w:szCs w:val="28"/>
        </w:rPr>
        <w:tab/>
        <w:t>Penicillin-binding proteins</w:t>
      </w:r>
    </w:p>
    <w:p w:rsidR="00BC7652" w:rsidRPr="00900361" w:rsidRDefault="00BC7652" w:rsidP="00BC7652">
      <w:pPr>
        <w:spacing w:line="48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The family of penicillin-binding proteins (PBPs) are acyl serine transferases responsible for the glycosyl transferase, transpeptidase and carboxypeptidase activities required for cell wall </w:t>
      </w:r>
      <w:r w:rsidRPr="00900361">
        <w:rPr>
          <w:rFonts w:ascii="Times New Roman" w:hAnsi="Times New Roman" w:cs="Times New Roman"/>
          <w:color w:val="000000" w:themeColor="text1"/>
          <w:sz w:val="24"/>
          <w:szCs w:val="24"/>
        </w:rPr>
        <w:t xml:space="preserve">synthesis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{"citationID":"2kl029favs","properties":{"formattedCitation":"(Ghuysen, 1991)","plainCitation":"(Ghuysen, 1991)"},"citationItems":[{"id":324,"uris":["http://zotero.org/users/944474/items/H8G24I85"],"uri":["http://zotero.org/users/944474/items/H8G24I85"],"itemData":{"id":324,"type":"article-journal","title":"Serine beta-lactamases and penicillin-binding proteins","container-title":"Annual review of microbiology","page":"37-67","volume":"45","DOI":"10.1146/annurev.mi.45.100191.000345","note":"PMID: 1741619","journalAbbreviation":"Annu. Rev. Microbiol.","author":[{"family":"Ghuysen","given":"J M"}],"issued":{"year":1991},"accessed":{"year":2012,"month":5,"day":31},"page-first":"37"}}],"schema":"https://github.com/citation-style-language/schema/raw/master/csl-citation.json"}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(Ghuysen, 1991)</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PBPs a</w:t>
      </w:r>
      <w:r>
        <w:rPr>
          <w:rFonts w:ascii="Times New Roman" w:hAnsi="Times New Roman" w:cs="Times New Roman"/>
          <w:color w:val="000000" w:themeColor="text1"/>
          <w:sz w:val="24"/>
          <w:szCs w:val="24"/>
        </w:rPr>
        <w:t>re</w:t>
      </w:r>
      <w:r w:rsidRPr="00900361">
        <w:rPr>
          <w:rFonts w:ascii="Times New Roman" w:hAnsi="Times New Roman" w:cs="Times New Roman"/>
          <w:color w:val="000000" w:themeColor="text1"/>
          <w:sz w:val="24"/>
          <w:szCs w:val="24"/>
        </w:rPr>
        <w:t xml:space="preserve"> classed as high molecular weight (HMW) PBPs and low molecular weight (LMW) PBPs. Class A HMW PBPs are bifunctional enzymes: the N-terminal domain has transglycosylase activity, whilst the C-terminal domain has transpeptidase activity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{"citationID":"21fa6840oi","properties":{"formattedCitation":"(Sauvage et al., 2008)","plainCitation":"(Sauvage et al., 2008)"},"citationItems":[{"id":263,"uris":["http://zotero.org/users/944474/items/GFA2ZTW4"],"uri":["http://zotero.org/users/944474/items/GFA2ZTW4"],"itemData":{"id":263,"type":"article-journal","title":"The penicillin-binding proteins: structure and role in peptidoglycan biosynthesis","container-title":"FEMS microbiology reviews","page":"234-258","volume":"32","issue":"2","abstract":"Penicillin-binding proteins (PBPs) have been scrutinized for over 40 years. Recent structural information on PBPs together with the ongoing long-term biochemical experimental investigations, and results from more recent techniques such as protein localization by green fluorescent protein-fusion immunofluorescence or double-hybrid assay, have brought our understanding of the last stages of the peptidoglycan biosynthesis to an outstanding level that allows a broad outlook on the properties of these enzymes. Details are emerging regarding the interaction between the peptidoglycan-synthesizing PBPs and the peptidoglycan, their mesh net-like product that surrounds and protects bacteria. This review focuses on the detailed structure of PBPs and their implication in peptidoglycan synthesis, maturation and recycling. An overview of the content in PBPs of some bacteria is provided with an emphasis on comparing the biochemical properties of homologous PBPs (orthologues) belonging to different bacteria.","DOI":"10.1111/j.1574-6976.2008.00105.x","note":"PMID: 18266856","shortTitle":"The penicillin-binding proteins","journalAbbreviation":"FEMS Microbiol. Rev.","author":[{"family":"Sauvage","given":"Eric"},{"family":"Kerff","given":"Frédéric"},{"family":"Terrak","given":"Mohammed"},{"family":"Ayala","given":"Juan A"},{"family":"Charlier","given":"Paulette"}],"issued":{"year":2008,"month":3},"accessed":{"year":2012,"month":5,"day":25},"page-first":"234"}}],"schema":"https://github.com/citation-style-language/schema/raw/master/csl-citation.json"}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(Sauvage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2008)</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Transglycosylation may also be carried out by monofunctional transglycosylases, which lack a penicillin binding domain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{"citationID":"1uat04aj4b","properties":{"formattedCitation":"(Spratt et al., 1996)","plainCitation":"(Spratt et al., 1996)"},"citationItems":[{"id":397,"uris":["http://zotero.org/users/944474/items/DE9TNG9B"],"uri":["http://zotero.org/users/944474/items/DE9TNG9B"],"itemData":{"id":397,"type":"article-journal","title":"Monofunctional biosynthetic peptidoglycan transglycosylases","container-title":"Molecular microbiology","page":"639-640","volume":"19","issue":"3","note":"PMID: 8830253","journalAbbreviation":"Mol. Microbiol.","author":[{"family":"Spratt","given":"B G"},{"family":"Zhou","given":"J"},{"family":"Taylor","given":"M"},{"family":"Merrick","given":"M J"}],"issued":{"year":1996,"month":2},"accessed":{"year":2012,"month":6,"day":5},"page-first":"639"}}],"schema":"https://github.com/citation-style-language/schema/raw/master/csl-citation.json"}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(Spratt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1996)</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Class B HMW-PBPs are monofunctional enzymes with C-terminal transpeptidase activity. The N-terminal domain has no apparent catalytic activity, but may interact with other cell cycle proteins. It may also function as an intramolecular chaperone for folding of the catalytic C-terminal domain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{"citationID":"20m75mq7bo","properties":{"formattedCitation":"(Goffin et al., 1996; Sauvage et al., 2008)","plainCitation":"(Goffin et al., 1996; Sauvage et al., 2008)"},"citationItems":[{"id":398,"uris":["http://zotero.org/users/944474/items/B7ZG9SNF"],"uri":["http://zotero.org/users/944474/items/B7ZG9SNF"],"itemData":{"id":398,"type":"article-journal","title":"The non-penicillin-binding module of the tripartite penicillin-binding protein 3 of Escherichia coli is required for folding and/or stability of the penicillin-binding module and the membrane-anchoring module confers cell septation activity on the folded structure","container-title":"Journal of bacteriology","page":"5402-5409","volume":"178","issue":"18","abstract":"The ftsI-encoded multimodular class B penicillin-binding protein 3 (PBP3) is a key element of the cell septation machinery of Escherichia coli. Altered ftsI genes were overexpressed, and the gene products were analyzed with respect to the level of production, stability, penicillin affinity, and cell septation activity. In contrast to the serine beta-lactamases and low-molecular-mass PBPs which are autonomous folding entities, the S-259-to-V-577 penicillin-binding module of M-1-to-V-577 PBP3 lacks the amino acid sequence information for correct folding. The missing piece of information is provided by the associated G-57-to-E-258 non-penicillin-binding module which functions as a noncleaved, pseudointramolecular chaperone. Key elements of the folding information reside within the motif 1-containing R-60-to-W-110 polypeptide segment and within G-188-to-D-197 motif 3 of the n-PB module. The intermodule interaction is discussed in the light of the known three-dimensional structure (at 3.5-A [0.35-nm] resolution) of the analogous class B PBP2x of Streptococcus pneumoniae (S. Pares, N. Mouz, Y. Pétillot, R. Hakenbeck, and O. Dideberg, Nature Struct. Biol. 3:284-289, 1996). Correct folding and adoption of a stable penicillin-binding conformation are necessary but not sufficient to confer cell septation activity to PBP3 in exponentially growing cells. The in vivo activity of PBP3 also depends on the M-1-to-E-56 amino-terminal module which encompasses the cytosol, the membrane, and the periplasm and which functions as a noncleaved pseudo-signal peptide.","note":"PMID: 8808928","journalAbbreviation":"J. Bacteriol.","author":[{"family":"Goffin","given":"C"},{"family":"Fraipont","given":"C"},{"family":"Ayala","given":"J"},{"family":"Terrak","given":"M"},{"family":"Nguyen-Distèche","given":"M"},{"family":"Ghuysen","given":"J M"}],"issued":{"year":1996,"month":9},"accessed":{"year":2012,"month":6,"day":5},"page-first":"5402"}},{"id":263,"uris":["http://zotero.org/users/944474/items/GFA2ZTW4"],"uri":["http://zotero.org/users/944474/items/GFA2ZTW4"],"itemData":{"id":263,"type":"article-journal","title":"The penicillin-binding proteins: structure and role in peptidoglycan biosynthesis","container-title":"FEMS microbiology reviews","page":"234-258","volume":"32","issue":"2","abstract":"Penicillin-binding proteins (PBPs) have been scrutinized for over 40 years. Recent structural information on PBPs together with the ongoing long-term biochemical experimental investigations, and results from more recent techniques such as protein localization by green fluorescent protein-fusion immunofluorescence or double-hybrid assay, have brought our understanding of the last stages of the peptidoglycan biosynthesis to an outstanding level that allows a broad outlook on the properties of these enzymes. Details are emerging regarding the interaction between the peptidoglycan-synthesizing PBPs and the peptidoglycan, their mesh net-like product that surrounds and protects bacteria. This review focuses on the detailed structure of PBPs and their implication in peptidoglycan synthesis, maturation and recycling. An overview of the content in PBPs of some bacteria is provided with an emphasis on comparing the biochemical properties of homologous PBPs (orthologues) belonging to different bacteria.","DOI":"10.1111/j.1574-6976.2008.00105.x","note":"PMID: 18266856","shortTitle":"The penicillin-binding proteins","journalAbbreviation":"FEMS Microbiol. Rev.","author":[{"family":"Sauvage","given":"Eric"},{"family":"Kerff","given":"Frédéric"},{"family":"Terrak","given":"Mohammed"},{"family":"Ayala","given":"Juan A"},{"family":"Charlier","given":"Paulette"}],"issued":{"year":2008,"month":3},"accessed":{"year":2012,"month":5,"day":25},"page-first":"234"}}],"schema":"https://github.com/citation-style-language/schema/raw/master/csl-citation.json"}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(Goffin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xml:space="preserve">., 1996; Sauvage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2008)</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HMW-PBPs have an N-term</w:t>
      </w:r>
      <w:r>
        <w:rPr>
          <w:rFonts w:ascii="Times New Roman" w:hAnsi="Times New Roman" w:cs="Times New Roman"/>
          <w:color w:val="000000" w:themeColor="text1"/>
          <w:sz w:val="24"/>
          <w:szCs w:val="24"/>
        </w:rPr>
        <w:t>in</w:t>
      </w:r>
      <w:r w:rsidRPr="00900361">
        <w:rPr>
          <w:rFonts w:ascii="Times New Roman" w:hAnsi="Times New Roman" w:cs="Times New Roman"/>
          <w:color w:val="000000" w:themeColor="text1"/>
          <w:sz w:val="24"/>
          <w:szCs w:val="24"/>
        </w:rPr>
        <w:t xml:space="preserve">al hydrophobic transmembrane region which anchors the protein to the cytoplasmic membrane and localises the catalytic domain in the periplasm for interaction with the peptidoglycan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{"citationID":"1ic8v77inr","properties":{"formattedCitation":"(Bowler and Spratt, 1989)","plainCitation":"(Bowler and Spratt, 1989)"},"citationItems":[{"id":616,"uris":["http://zotero.org/users/944474/items/DNZ952S4"],"uri":["http://zotero.org/users/944474/items/DNZ952S4"],"itemData":{"id":616,"type":"article-journal","title":"Membrane topology of penicillin-binding protein 3 of Escherichia coli","container-title":"Molecular microbiology","page":"1277-1286","volume":"3","issue":"9","abstract":"The beta-lactamase fusion vector, pJBS633, has been used to analyse the organization of penicillin-binding protein 3 (PBP3) in the cytoplasmic membrane of Escherichia coli. The fusion junctions in 84 in-frame fusions of the coding region of mature TEM beta-lactamase to random positions within the PBP3 gene were determined. Fusions of beta-lactamase to 61 different positions in PBP3 were obtained. Fusions to positions within the first 31 residues of PBP3 resulted in enzymatically active fusion proteins which could not protect single cells of E. coli from killing by ampicillin, indicating that the beta-lactamase moieties of these fusion proteins were not translocated to the periplasm. However, all fusions that contained greater than or equal to 36 residues of PBP3 provided single cells of E. coli with substantial levels of resistance to ampicillin, indicating that the beta-lactamase moieties of these fusion proteins were translocated to the periplasm. PBP3 therefore appeared to have a simple membrane topology with residues 36 to the carboxy-terminus exposed on the periplasmic side of the cytoplasmic membrane. This topology was confirmed by showing that PBP3 was protected from proteolytic digestion at the cytoplasmic side of the inner membrane but was completely digested by proteolytic attack from the periplasmic side. PBP3 was only inserted in the cytoplasmic membrane at its amino terminus since replacement of its putative lipoprotein signal peptide with a normal signal peptide resulted in a water-soluble, periplasmic form of the enzyme. The periplasmic form of PBP3 retained its penicillin-binding activity and appeared to be truly water-soluble since it fractionated, in the absence of detergents, with the expected molecular weight on Sephadex G-100 and was not retarded by hydrophobic interaction chromatography on Phenyl-Superose.","note":"PMID: 2677607","journalAbbreviation":"Mol. Microbiol.","author":[{"family":"Bowler","given":"L D"},{"family":"Spratt","given":"B G"}],"issued":{"year":1989,"month":9},"accessed":{"year":2012,"month":6,"day":26},"page-first":"1277"}}],"schema":"https://github.com/citation-style-language/schema/raw/master/csl-citation.json"}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(Bowler and Spratt, 1989)</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w:t>
      </w:r>
    </w:p>
    <w:p w:rsidR="00BC7652" w:rsidRPr="00900361" w:rsidRDefault="00BC7652" w:rsidP="00BC7652">
      <w:pPr>
        <w:spacing w:line="480" w:lineRule="auto"/>
        <w:jc w:val="both"/>
        <w:rPr>
          <w:rFonts w:ascii="Times New Roman" w:hAnsi="Times New Roman" w:cs="Times New Roman"/>
          <w:color w:val="000000" w:themeColor="text1"/>
          <w:sz w:val="24"/>
          <w:szCs w:val="24"/>
        </w:rPr>
      </w:pPr>
      <w:r w:rsidRPr="00900361">
        <w:rPr>
          <w:rFonts w:ascii="Times New Roman" w:hAnsi="Times New Roman" w:cs="Times New Roman"/>
          <w:color w:val="000000" w:themeColor="text1"/>
          <w:sz w:val="24"/>
          <w:szCs w:val="24"/>
        </w:rPr>
        <w:t xml:space="preserve">LMW-PBPs are monofunctional </w:t>
      </w:r>
      <w:r w:rsidRPr="00900361">
        <w:rPr>
          <w:rFonts w:ascii="Times New Roman" w:hAnsi="Times New Roman" w:cs="Times New Roman"/>
          <w:color w:val="000000" w:themeColor="text1"/>
          <w:sz w:val="16"/>
          <w:szCs w:val="16"/>
        </w:rPr>
        <w:t>DD</w:t>
      </w:r>
      <w:r w:rsidRPr="00900361">
        <w:rPr>
          <w:rFonts w:ascii="Times New Roman" w:hAnsi="Times New Roman" w:cs="Times New Roman"/>
          <w:color w:val="000000" w:themeColor="text1"/>
          <w:sz w:val="24"/>
          <w:szCs w:val="24"/>
        </w:rPr>
        <w:t xml:space="preserve">-peptidases and can be separated into three classes (A-C) by amino acid sequence and function. The archetypal LMW-PBPs of each class are </w:t>
      </w:r>
      <w:r w:rsidRPr="00900361">
        <w:rPr>
          <w:rFonts w:ascii="Times New Roman" w:hAnsi="Times New Roman" w:cs="Times New Roman"/>
          <w:i/>
          <w:color w:val="000000" w:themeColor="text1"/>
          <w:sz w:val="24"/>
          <w:szCs w:val="24"/>
        </w:rPr>
        <w:t>E. coli</w:t>
      </w:r>
      <w:r w:rsidRPr="00900361">
        <w:rPr>
          <w:rFonts w:ascii="Times New Roman" w:hAnsi="Times New Roman" w:cs="Times New Roman"/>
          <w:color w:val="000000" w:themeColor="text1"/>
          <w:sz w:val="24"/>
          <w:szCs w:val="24"/>
        </w:rPr>
        <w:t xml:space="preserve"> or </w:t>
      </w:r>
      <w:r w:rsidRPr="00900361">
        <w:rPr>
          <w:rFonts w:ascii="Times New Roman" w:hAnsi="Times New Roman" w:cs="Times New Roman"/>
          <w:i/>
          <w:color w:val="000000" w:themeColor="text1"/>
          <w:sz w:val="24"/>
          <w:szCs w:val="24"/>
        </w:rPr>
        <w:t xml:space="preserve">B. subtilis </w:t>
      </w:r>
      <w:r w:rsidRPr="00900361">
        <w:rPr>
          <w:rFonts w:ascii="Times New Roman" w:hAnsi="Times New Roman" w:cs="Times New Roman"/>
          <w:color w:val="000000" w:themeColor="text1"/>
          <w:sz w:val="24"/>
          <w:szCs w:val="24"/>
        </w:rPr>
        <w:t xml:space="preserve">Class A PBP5, the </w:t>
      </w:r>
      <w:r w:rsidRPr="00900361">
        <w:rPr>
          <w:rFonts w:ascii="Times New Roman" w:hAnsi="Times New Roman" w:cs="Times New Roman"/>
          <w:i/>
          <w:color w:val="000000" w:themeColor="text1"/>
          <w:sz w:val="24"/>
          <w:szCs w:val="24"/>
        </w:rPr>
        <w:t>Streptomyces</w:t>
      </w:r>
      <w:r w:rsidRPr="00900361">
        <w:rPr>
          <w:rFonts w:ascii="Times New Roman" w:hAnsi="Times New Roman" w:cs="Times New Roman"/>
          <w:color w:val="000000" w:themeColor="text1"/>
          <w:sz w:val="24"/>
          <w:szCs w:val="24"/>
        </w:rPr>
        <w:t xml:space="preserve"> R61 LMW Class B </w:t>
      </w:r>
      <w:r w:rsidRPr="00900361">
        <w:rPr>
          <w:rFonts w:ascii="Times New Roman" w:hAnsi="Times New Roman" w:cs="Times New Roman"/>
          <w:color w:val="000000" w:themeColor="text1"/>
          <w:sz w:val="16"/>
          <w:szCs w:val="16"/>
        </w:rPr>
        <w:t>DD</w:t>
      </w:r>
      <w:r w:rsidRPr="00900361">
        <w:rPr>
          <w:rFonts w:ascii="Times New Roman" w:hAnsi="Times New Roman" w:cs="Times New Roman"/>
          <w:color w:val="000000" w:themeColor="text1"/>
          <w:sz w:val="24"/>
          <w:szCs w:val="24"/>
        </w:rPr>
        <w:t xml:space="preserve">-carboxypeptidase and </w:t>
      </w:r>
      <w:r w:rsidRPr="00900361">
        <w:rPr>
          <w:rFonts w:ascii="Times New Roman" w:hAnsi="Times New Roman" w:cs="Times New Roman"/>
          <w:i/>
          <w:color w:val="000000" w:themeColor="text1"/>
          <w:sz w:val="24"/>
          <w:szCs w:val="24"/>
        </w:rPr>
        <w:t>E. coli</w:t>
      </w:r>
      <w:r w:rsidRPr="00900361">
        <w:rPr>
          <w:rFonts w:ascii="Times New Roman" w:hAnsi="Times New Roman" w:cs="Times New Roman"/>
          <w:color w:val="000000" w:themeColor="text1"/>
          <w:sz w:val="24"/>
          <w:szCs w:val="24"/>
        </w:rPr>
        <w:t xml:space="preserve"> Class C PBP4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{"citationID":"21lbshe4q9","properties":{"formattedCitation":"(Ghuysen, 1991; Pratt, 2008)","plainCitation":"(Ghuysen, 1991; Pratt, 2008)"},"citationItems":[{"id":324,"uris":["http://zotero.org/users/944474/items/H8G24I85"],"uri":["http://zotero.org/users/944474/items/H8G24I85"],"itemData":{"id":324,"type":"article-journal","title":"Serine beta-lactamases and penicillin-binding proteins","container-title":"Annual review of microbiology","page":"37-67","volume":"45","DOI":"10.1146/annurev.mi.45.100191.000345","note":"PMID: 1741619","journalAbbreviation":"Annu. Rev. Microbiol.","author":[{"family":"Ghuysen","given":"J M"}],"issued":{"year":1991},"accessed":{"year":2012,"month":5,"day":31},"page-first":"37"}},{"id":618,"uris":["http://zotero.org/users/944474/items/FQ57IMUD"],"uri":["http://zotero.org/users/944474/items/FQ57IMUD"],"itemData":{"id":618,"type":"article-journal","title":"Substrate specificity of bacterial DD-peptidases (penicillin-binding proteins)","container-title":"Cellular and molecular life sciences: CMLS","page":"2138-2155","volume":"65","issue":"14","abstract":"The DD-peptidase enzymes (penicillin-binding proteins) catalyze the final transpeptidation reaction of bacterial cell wall (peptidoglycan) biosynthesis. Although there is now much structural information available about these enzymes, studies of their activity as enzymes lag. It is now established that representatives of two low-molecular-mass classes of DD-peptidases recognize elements of peptidoglycan structure and rapidly react with substrates and inhibitors incorporating these elements. No members of other DD-peptidase classes, including the high-molecular-mass enzymes, essential for bacterial growth, appear to interact strongly with any particular elements of peptidoglycan structure. Rational design of inhibitors for these enzymes is therefore challenging.","DOI":"10.1007/s00018-008-7591-7","note":"PMID: 18408890","journalAbbreviation":"Cell. Mol. Life Sci.","author":[{"family":"Pratt","given":"R F"}],"issued":{"year":2008,"month":7},"accessed":{"year":2012,"month":6,"day":26},"page-first":"2138"}}],"schema":"https://github.com/citation-style-language/schema/raw/master/csl-citation.json"}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(Ghuysen, 1991; Pratt, 2008)</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Class A and B LMW-PBPs are </w:t>
      </w:r>
      <w:r w:rsidRPr="00900361">
        <w:rPr>
          <w:rFonts w:ascii="Times New Roman" w:hAnsi="Times New Roman" w:cs="Times New Roman"/>
          <w:color w:val="000000" w:themeColor="text1"/>
          <w:sz w:val="16"/>
          <w:szCs w:val="16"/>
        </w:rPr>
        <w:t>DD</w:t>
      </w:r>
      <w:r w:rsidRPr="00900361">
        <w:rPr>
          <w:rFonts w:ascii="Times New Roman" w:hAnsi="Times New Roman" w:cs="Times New Roman"/>
          <w:color w:val="000000" w:themeColor="text1"/>
          <w:sz w:val="24"/>
          <w:szCs w:val="24"/>
        </w:rPr>
        <w:t xml:space="preserve">-carboxypeptidases whilst class C LMW-PBPs are typically </w:t>
      </w:r>
      <w:r w:rsidRPr="00900361">
        <w:rPr>
          <w:rFonts w:ascii="Times New Roman" w:hAnsi="Times New Roman" w:cs="Times New Roman"/>
          <w:color w:val="000000" w:themeColor="text1"/>
          <w:sz w:val="16"/>
          <w:szCs w:val="16"/>
        </w:rPr>
        <w:t>DD</w:t>
      </w:r>
      <w:r w:rsidRPr="00900361">
        <w:rPr>
          <w:rFonts w:ascii="Times New Roman" w:hAnsi="Times New Roman" w:cs="Times New Roman"/>
          <w:color w:val="000000" w:themeColor="text1"/>
          <w:sz w:val="24"/>
          <w:szCs w:val="24"/>
        </w:rPr>
        <w:t xml:space="preserve">-carboxypeptidases or more rarely </w:t>
      </w:r>
      <w:r w:rsidRPr="00900361">
        <w:rPr>
          <w:rFonts w:ascii="Times New Roman" w:hAnsi="Times New Roman" w:cs="Times New Roman"/>
          <w:color w:val="000000" w:themeColor="text1"/>
          <w:sz w:val="16"/>
          <w:szCs w:val="16"/>
        </w:rPr>
        <w:t>DD</w:t>
      </w:r>
      <w:r w:rsidRPr="00900361">
        <w:rPr>
          <w:rFonts w:ascii="Times New Roman" w:hAnsi="Times New Roman" w:cs="Times New Roman"/>
          <w:color w:val="000000" w:themeColor="text1"/>
          <w:sz w:val="24"/>
          <w:szCs w:val="24"/>
        </w:rPr>
        <w:t>-endopeptidases (</w:t>
      </w:r>
      <w:r w:rsidRPr="00900361">
        <w:rPr>
          <w:rFonts w:ascii="Times New Roman" w:hAnsi="Times New Roman" w:cs="Times New Roman"/>
          <w:i/>
          <w:color w:val="000000" w:themeColor="text1"/>
          <w:sz w:val="24"/>
          <w:szCs w:val="24"/>
        </w:rPr>
        <w:t xml:space="preserve">E. coli </w:t>
      </w:r>
      <w:r w:rsidRPr="00900361">
        <w:rPr>
          <w:rFonts w:ascii="Times New Roman" w:hAnsi="Times New Roman" w:cs="Times New Roman"/>
          <w:color w:val="000000" w:themeColor="text1"/>
          <w:sz w:val="24"/>
          <w:szCs w:val="24"/>
        </w:rPr>
        <w:t xml:space="preserve">PBP4)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{"citationID":"th4suqbr1","properties":{"formattedCitation":"(Ghuysen, 1991; Korat et al., 1991)","plainCitation":"(Ghuysen, 1991; Korat et al., 1991)"},"citationItems":[{"id":324,"uris":["http://zotero.org/users/944474/items/H8G24I85"],"uri":["http://zotero.org/users/944474/items/H8G24I85"],"itemData":{"id":324,"type":"article-journal","title":"Serine beta-lactamases and penicillin-binding proteins","container-title":"Annual review of microbiology","page":"37-67","volume":"45","DOI":"10.1146/annurev.mi.45.100191.000345","note":"PMID: 1741619","journalAbbreviation":"Annu. Rev. Microbiol.","author":[{"family":"Ghuysen","given":"J M"}],"issued":{"year":1991},"accessed":{"year":2012,"month":5,"day":31},"page-first":"37"}},{"id":626,"uris":["http://zotero.org/users/944474/items/QI9TRRWJ"],"uri":["http://zotero.org/users/944474/items/QI9TRRWJ"],"itemData":{"id":626,"type":"article-journal","title":"Penicillin-binding protein 4 of Escherichia coli: molecular cloning of the dacB gene, controlled overexpression, and alterations in murein composition","container-title":"Molecular microbiology","page":"675-684","volume":"5","issue":"3","abstract":"The penicillin-binding protein 4 (PBP4), from Escherichia coli, a DD-carboxypeptidase/DD-endopeptidase, was purified in an enzymatically active form to homogeneity by affinity chromatography on 6-aminopenicillanic acid/Sepharose and heparin/Sepharose. Polyclonal antibodies raised against the pure protein were used to identify and isolate PBP4 overproducing clones from an E. coli expression library, which was established on the basis of a temperature-inducible runaway replication plasmid. Three positive clones were isolated, one of which carried the intact structural gene dacB that codes for PBP4, on a 1.9kb SmaI-EcoRI fragment, whereas the other two carried truncated forms of this gene. The direction of transcription was determined. The PBP4 overproducing strain, when grown in rich medium, tolerated 160-fold overexpression. After disrupting cells by sonication, the majority (80%) of the overproduced PBP4 was detected in the 100,000 X g supernatant. Southern blotting analysis using the cloned dacB gene as a probe revealed that, in contrast to that described by Takeda et al. (1981), the plasmid pLC18-38 of the Clarke-Carbon collection does not code for PBP4. The overall composition of murein, synthesized in vitro or in vivo by the PBP4 overproducing strain, as determined by high-performance liquid chromatography analysis, suggests that PBP4 is not involved in transpeptidation but exclusively catalyses a DD-carboxypeptidase and DD-endopeptidase reaction.","note":"PMID: 2046551","shortTitle":"Penicillin-binding protein 4 of Escherichia coli","journalAbbreviation":"Mol. Microbiol.","author":[{"family":"Korat","given":"B"},{"family":"Mottl","given":"H"},{"family":"Keck","given":"W"}],"issued":{"year":1991,"month":3},"accessed":{"year":2012,"month":6,"day":26},"page-first":"675"}}],"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(Ghuysen, 1991; Korat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1991)</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LMW-PBPs have a cleavable amino-terminal signal</w:t>
      </w:r>
      <w:r>
        <w:rPr>
          <w:rFonts w:ascii="Times New Roman" w:hAnsi="Times New Roman" w:cs="Times New Roman"/>
          <w:sz w:val="24"/>
          <w:szCs w:val="24"/>
        </w:rPr>
        <w:t xml:space="preserve"> peptide and typically have a C-terminal membrane anchor, although they may be soluble </w:t>
      </w:r>
      <w:r>
        <w:rPr>
          <w:rFonts w:ascii="Times New Roman" w:hAnsi="Times New Roman" w:cs="Times New Roman"/>
          <w:sz w:val="24"/>
          <w:szCs w:val="24"/>
        </w:rPr>
        <w:lastRenderedPageBreak/>
        <w:t>(</w:t>
      </w:r>
      <w:r>
        <w:rPr>
          <w:rFonts w:ascii="Times New Roman" w:hAnsi="Times New Roman" w:cs="Times New Roman"/>
          <w:i/>
          <w:sz w:val="24"/>
          <w:szCs w:val="24"/>
        </w:rPr>
        <w:t xml:space="preserve">Streptomyces </w:t>
      </w:r>
      <w:r>
        <w:rPr>
          <w:rFonts w:ascii="Times New Roman" w:hAnsi="Times New Roman" w:cs="Times New Roman"/>
          <w:sz w:val="24"/>
          <w:szCs w:val="24"/>
        </w:rPr>
        <w:t xml:space="preserve">R61 LMW Class B PBP), or loosely associated with the membrane via </w:t>
      </w:r>
      <w:r w:rsidRPr="00900361">
        <w:rPr>
          <w:rFonts w:ascii="Times New Roman" w:hAnsi="Times New Roman" w:cs="Times New Roman"/>
          <w:color w:val="000000" w:themeColor="text1"/>
          <w:sz w:val="24"/>
          <w:szCs w:val="24"/>
        </w:rPr>
        <w:t>hydrophobic or electrostatic interactions (</w:t>
      </w:r>
      <w:r w:rsidRPr="00900361">
        <w:rPr>
          <w:rFonts w:ascii="Times New Roman" w:hAnsi="Times New Roman" w:cs="Times New Roman"/>
          <w:i/>
          <w:color w:val="000000" w:themeColor="text1"/>
          <w:sz w:val="24"/>
          <w:szCs w:val="24"/>
        </w:rPr>
        <w:t xml:space="preserve">Streptomyces </w:t>
      </w:r>
      <w:r w:rsidRPr="00900361">
        <w:rPr>
          <w:rFonts w:ascii="Times New Roman" w:hAnsi="Times New Roman" w:cs="Times New Roman"/>
          <w:color w:val="000000" w:themeColor="text1"/>
          <w:sz w:val="24"/>
          <w:szCs w:val="24"/>
        </w:rPr>
        <w:t xml:space="preserve">K15 LMW Class A PBP, </w:t>
      </w:r>
      <w:r w:rsidRPr="00900361">
        <w:rPr>
          <w:rFonts w:ascii="Times New Roman" w:hAnsi="Times New Roman" w:cs="Times New Roman"/>
          <w:i/>
          <w:color w:val="000000" w:themeColor="text1"/>
          <w:sz w:val="24"/>
          <w:szCs w:val="24"/>
        </w:rPr>
        <w:t>E. coli</w:t>
      </w:r>
      <w:r w:rsidRPr="00900361">
        <w:rPr>
          <w:rFonts w:ascii="Times New Roman" w:hAnsi="Times New Roman" w:cs="Times New Roman"/>
          <w:color w:val="000000" w:themeColor="text1"/>
          <w:sz w:val="24"/>
          <w:szCs w:val="24"/>
        </w:rPr>
        <w:t xml:space="preserve"> PBP4)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{"citationID":"19ore1npif","properties":{"formattedCitation":"{\\rtf (Harris et al., 1998; Fonz\\uc0\\u233{} et al., 1999; Pratt, 2008)}","plainCitation":"(Harris et al., 1998; Fonzé et al., 1999; Pratt, 2008)"},"citationItems":[{"id":619,"uris":["http://zotero.org/users/944474/items/TH32PVXQ"],"uri":["http://zotero.org/users/944474/items/TH32PVXQ"],"itemData":{"id":619,"type":"article-journal","title":"An investigation into the lipid interactions of peptides corresponding to the C-terminal anchoring domains of Escherichia coli penicillin-binding proteins 4, 5 and 6","container-title":"Biochimica et Biophysica Acta (BBA) - Biomembranes","page":"10-22","volume":"1415","issue":"1","abstract":"The Escherichia coli low molecular mass penicillin-binding proteins PBP4, PBP5 and PBP6 are DD-peptidases involved in murein biosynthesis. It has been suggested that these proteins may be anchored to the periplasmic face of the inner membrane via their C termini. Here, peptide homologues (P4, P5 and P6) of the PBP4, PBP5 and PBP5 C-terminal regions have been used to investigate potential protein-lipid interactions involved in this anchoring mechanism. Surface pressure changes observed for the interactions of P5 and P6 with a range of monolayers indicated that the peptides are membrane interactive and that the interactions proceeded via predominantly hydrophobic forces with only minor requirements for anionic lipid. In contrast, P4 interactions with monolayers appeared to proceed via predominantly electrostatic forces with a major requirement for anionic lipid. The lipid interactions of all three peptides were generally enhanced by low pH and for P5 and P6 were in the range of 10–15 mN m−1 whereas for P4 interactions they were in the range of 3–7 mN m−1. CD analysis implied the presence of α-helical structure in P5 and P6 and molecular area determinations implied that P4 may also possess helical architecture in the presence of dioleoylphosphatidylglycerol monolayers. Overall, our results support the view that C-terminal amphiphilic α-helices are involved in the membrane anchoring of PBP5 and PBP6 and suggest that a similar mechanism could contribute to PBP4-membrane anchoring. Furthermore, we have speculated that the presence of cationic residues in the hydrophilic face of these α-helices may help facilitate membrane interaction.","DOI":"10.1016/S0005-2736(98)00173-4","author":[{"family":"Harris","given":"Frederick"},{"family":"Demel","given":"Rudi"},{"family":"de Kruijff","given":"Ben"},{"family":"Phoenix","given":"David A."}],"issued":{"year":1998,"month":12,"day":9},"accessed":{"year":2012,"month":6,"day":26},"page-first":"10"}},{"id":622,"uris":["http://zotero.org/users/944474/items/H7U7THFW"],"uri":["http://zotero.org/users/944474/items/H7U7THFW"],"itemData":{"id":622,"type":"article-journal","title":"The crystal structure of a penicilloyl-serine transferase of intermediate penicillin sensitivity. The DD-transpeptidase of streptomyces K15","container-title":"The Journal of biological chemistry","page":"21853-21860","volume":"274","issue":"31","abstract":"The serine DD-transpeptidase/penicillin-binding protein of Streptomyces K15 catalyzes peptide bond formation in a way that mimics the penicillin-sensitive peptide cross-linking reaction involved in bacterial cell wall peptidoglycan assembly. The Streptomyces K15 enzyme is peculiar in that it can be considered as an intermediate between classical penicillin-binding proteins, for which benzylpenicillin is a very efficient inactivator, and the resistant penicillin-binding proteins that have a low penicillin affinity. With its moderate penicillin sensitivity, the Streptomyces K15 DD-transpeptidase would be helpful in the understanding of the structure-activity relationship of this penicillin-recognizing protein superfamily. The structure of the Streptomyces K15 enzyme has been determined by x-ray crystallography at 2.0-A resolution and refined to an R-factor of 18.6%. The fold adopted by this 262-amino acid polypeptide generates a two-domain structure that is close to those of class A beta-lactamases. However, the Streptomyces K15 enzyme has two particular structural features. It lacks the amino-terminal alpha-helix found in the other penicilloyl-serine transferases, and it exhibits, at its surface, an additional four-stranded beta-sheet. These two characteristics might serve to anchor the enzyme in the plasma membrane. The overall topology of the catalytic pocket of the Streptomyces K15 enzyme is also comparable to that of the class A beta-lactamases, except that the Omega-loop, which bears the essential catalytic Glu(166) residue in the class A beta-lactamases, is entirely modified. This loop adopts a conformation similar to those found in the Streptomyces R61 DD-carboxypeptidase and class C beta-lactamases, with no equivalent acidic residue.","note":"PMID: 10419503","journalAbbreviation":"J. Biol. Chem.","author":[{"family":"Fonzé","given":"E"},{"family":"Vermeire","given":"M"},{"family":"Nguyen-Distèche","given":"M"},{"family":"Brasseur","given":"R"},{"family":"Charlier","given":"P"}],"issued":{"year":1999,"month":7,"day":30},"accessed":{"year":2012,"month":6,"day":26},"page-first":"21853"}},{"id":618,"uris":["http://zotero.org/users/944474/items/FQ57IMUD"],"uri":["http://zotero.org/users/944474/items/FQ57IMUD"],"itemData":{"id":618,"type":"article-journal","title":"Substrate specificity of bacterial DD-peptidases (penicillin-binding proteins)","container-title":"Cellular and molecular life sciences: CMLS","page":"2138-2155","volume":"65","issue":"14","abstract":"The DD-peptidase enzymes (penicillin-binding proteins) catalyze the final transpeptidation reaction of bacterial cell wall (peptidoglycan) biosynthesis. Although there is now much structural information available about these enzymes, studies of their activity as enzymes lag. It is now established that representatives of two low-molecular-mass classes of DD-peptidases recognize elements of peptidoglycan structure and rapidly react with substrates and inhibitors incorporating these elements. No members of other DD-peptidase classes, including the high-molecular-mass enzymes, essential for bacterial growth, appear to interact strongly with any particular elements of peptidoglycan structure. Rational design of inhibitors for these enzymes is therefore challenging.","DOI":"10.1007/s00018-008-7591-7","note":"PMID: 18408890","journalAbbreviation":"Cell. Mol. Life Sci.","author":[{"family":"Pratt","given":"R F"}],"issued":{"year":2008,"month":7},"accessed":{"year":2012,"month":6,"day":26},"page-first":"2138"}}],"schema":"https://github.com/citation-style-language/schema/raw/master/csl-citation.json"}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szCs w:val="24"/>
        </w:rPr>
        <w:t xml:space="preserve">(Harris </w:t>
      </w:r>
      <w:r w:rsidRPr="00C521B3">
        <w:rPr>
          <w:rFonts w:ascii="Times New Roman" w:hAnsi="Times New Roman" w:cs="Times New Roman"/>
          <w:i/>
          <w:color w:val="000000" w:themeColor="text1"/>
          <w:sz w:val="24"/>
          <w:szCs w:val="24"/>
        </w:rPr>
        <w:t>et al</w:t>
      </w:r>
      <w:r w:rsidRPr="00900361">
        <w:rPr>
          <w:rFonts w:ascii="Times New Roman" w:hAnsi="Times New Roman" w:cs="Times New Roman"/>
          <w:color w:val="000000" w:themeColor="text1"/>
          <w:sz w:val="24"/>
          <w:szCs w:val="24"/>
        </w:rPr>
        <w:t xml:space="preserve">., 1998; Fonzé </w:t>
      </w:r>
      <w:r w:rsidRPr="00C521B3">
        <w:rPr>
          <w:rFonts w:ascii="Times New Roman" w:hAnsi="Times New Roman" w:cs="Times New Roman"/>
          <w:i/>
          <w:color w:val="000000" w:themeColor="text1"/>
          <w:sz w:val="24"/>
          <w:szCs w:val="24"/>
        </w:rPr>
        <w:t>et al</w:t>
      </w:r>
      <w:r w:rsidRPr="00900361">
        <w:rPr>
          <w:rFonts w:ascii="Times New Roman" w:hAnsi="Times New Roman" w:cs="Times New Roman"/>
          <w:color w:val="000000" w:themeColor="text1"/>
          <w:sz w:val="24"/>
          <w:szCs w:val="24"/>
        </w:rPr>
        <w:t>., 1999; Pratt, 2008)</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w:t>
      </w:r>
    </w:p>
    <w:p w:rsidR="00BC7652" w:rsidRPr="00900361" w:rsidRDefault="00BC7652" w:rsidP="00BC7652">
      <w:pPr>
        <w:spacing w:line="480" w:lineRule="auto"/>
        <w:jc w:val="both"/>
        <w:rPr>
          <w:rFonts w:ascii="Times New Roman" w:hAnsi="Times New Roman" w:cs="Times New Roman"/>
          <w:color w:val="000000" w:themeColor="text1"/>
          <w:sz w:val="24"/>
          <w:szCs w:val="24"/>
        </w:rPr>
      </w:pPr>
      <w:r w:rsidRPr="00900361">
        <w:rPr>
          <w:rFonts w:ascii="Times New Roman" w:hAnsi="Times New Roman" w:cs="Times New Roman"/>
          <w:color w:val="000000" w:themeColor="text1"/>
          <w:sz w:val="24"/>
          <w:szCs w:val="24"/>
        </w:rPr>
        <w:t xml:space="preserve">PBPs can often be associated with a specific mode of cell wall synthesis, particularly in rod-shaped organisms, where mutants may not be able to elongate or septate. However, the precise physiological role of PBPs is often hard to deduce, due to functional redundancy and complex relationship between PBP activities </w:t>
      </w:r>
      <w:r w:rsidRPr="00900361">
        <w:rPr>
          <w:rFonts w:ascii="Times New Roman" w:hAnsi="Times New Roman" w:cs="Times New Roman"/>
          <w:i/>
          <w:color w:val="000000" w:themeColor="text1"/>
          <w:sz w:val="24"/>
          <w:szCs w:val="24"/>
        </w:rPr>
        <w:t>in vivo</w:t>
      </w:r>
      <w:r w:rsidRPr="00900361">
        <w:rPr>
          <w:rFonts w:ascii="Times New Roman" w:hAnsi="Times New Roman" w:cs="Times New Roman"/>
          <w:color w:val="000000" w:themeColor="text1"/>
          <w:sz w:val="24"/>
          <w:szCs w:val="24"/>
        </w:rPr>
        <w:t xml:space="preserve">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{"citationID":"udddjnl32","properties":{"formattedCitation":"(Sauvage et al., 2008)","plainCitation":"(Sauvage et al., 2008)"},"citationItems":[{"id":263,"uris":["http://zotero.org/users/944474/items/GFA2ZTW4"],"uri":["http://zotero.org/users/944474/items/GFA2ZTW4"],"itemData":{"id":263,"type":"article-journal","title":"The penicillin-binding proteins: structure and role in peptidoglycan biosynthesis","container-title":"FEMS microbiology reviews","page":"234-258","volume":"32","issue":"2","abstract":"Penicillin-binding proteins (PBPs) have been scrutinized for over 40 years. Recent structural information on PBPs together with the ongoing long-term biochemical experimental investigations, and results from more recent techniques such as protein localization by green fluorescent protein-fusion immunofluorescence or double-hybrid assay, have brought our understanding of the last stages of the peptidoglycan biosynthesis to an outstanding level that allows a broad outlook on the properties of these enzymes. Details are emerging regarding the interaction between the peptidoglycan-synthesizing PBPs and the peptidoglycan, their mesh net-like product that surrounds and protects bacteria. This review focuses on the detailed structure of PBPs and their implication in peptidoglycan synthesis, maturation and recycling. An overview of the content in PBPs of some bacteria is provided with an emphasis on comparing the biochemical properties of homologous PBPs (orthologues) belonging to different bacteria.","DOI":"10.1111/j.1574-6976.2008.00105.x","note":"PMID: 18266856","shortTitle":"The penicillin-binding proteins","journalAbbreviation":"FEMS Microbiol. Rev.","author":[{"family":"Sauvage","given":"Eric"},{"family":"Kerff","given":"Frédéric"},{"family":"Terrak","given":"Mohammed"},{"family":"Ayala","given":"Juan A"},{"family":"Charlier","given":"Paulette"}],"issued":{"year":2008,"month":3},"accessed":{"year":2012,"month":5,"day":25},"page-first":"234"}}],"schema":"https://github.com/citation-style-language/schema/raw/master/csl-citation.json"}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(Sauvage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2008)</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For example, in </w:t>
      </w:r>
      <w:r w:rsidRPr="00900361">
        <w:rPr>
          <w:rFonts w:ascii="Times New Roman" w:hAnsi="Times New Roman" w:cs="Times New Roman"/>
          <w:i/>
          <w:color w:val="000000" w:themeColor="text1"/>
          <w:sz w:val="24"/>
          <w:szCs w:val="24"/>
        </w:rPr>
        <w:t>E. coli,</w:t>
      </w:r>
      <w:r w:rsidRPr="006978F1">
        <w:rPr>
          <w:rFonts w:ascii="Times New Roman" w:hAnsi="Times New Roman" w:cs="Times New Roman"/>
          <w:color w:val="000000" w:themeColor="text1"/>
          <w:sz w:val="24"/>
          <w:szCs w:val="24"/>
        </w:rPr>
        <w:t xml:space="preserve"> mecillinam induced </w:t>
      </w:r>
      <w:r w:rsidRPr="00900361">
        <w:rPr>
          <w:rFonts w:ascii="Times New Roman" w:hAnsi="Times New Roman" w:cs="Times New Roman"/>
          <w:color w:val="000000" w:themeColor="text1"/>
          <w:sz w:val="24"/>
          <w:szCs w:val="24"/>
        </w:rPr>
        <w:t xml:space="preserve">lysis of a strain inactivated for PBPs 1b and 2 was enhanced by inactivation of the </w:t>
      </w:r>
      <w:r w:rsidRPr="00900361">
        <w:rPr>
          <w:rFonts w:ascii="Times New Roman" w:hAnsi="Times New Roman" w:cs="Times New Roman"/>
          <w:color w:val="000000" w:themeColor="text1"/>
          <w:sz w:val="16"/>
          <w:szCs w:val="16"/>
        </w:rPr>
        <w:t>DD</w:t>
      </w:r>
      <w:r w:rsidRPr="00900361">
        <w:rPr>
          <w:rFonts w:ascii="Times New Roman" w:hAnsi="Times New Roman" w:cs="Times New Roman"/>
          <w:color w:val="000000" w:themeColor="text1"/>
          <w:sz w:val="24"/>
          <w:szCs w:val="24"/>
        </w:rPr>
        <w:t>-carbox</w:t>
      </w:r>
      <w:r>
        <w:rPr>
          <w:rFonts w:ascii="Times New Roman" w:hAnsi="Times New Roman" w:cs="Times New Roman"/>
          <w:color w:val="000000" w:themeColor="text1"/>
          <w:sz w:val="24"/>
          <w:szCs w:val="24"/>
        </w:rPr>
        <w:t>ypeptidase PBP5, but a strain</w:t>
      </w:r>
      <w:r w:rsidRPr="00900361">
        <w:rPr>
          <w:rFonts w:ascii="Times New Roman" w:hAnsi="Times New Roman" w:cs="Times New Roman"/>
          <w:color w:val="000000" w:themeColor="text1"/>
          <w:sz w:val="24"/>
          <w:szCs w:val="24"/>
        </w:rPr>
        <w:t xml:space="preserve"> lacking </w:t>
      </w:r>
      <w:r>
        <w:rPr>
          <w:rFonts w:ascii="Times New Roman" w:hAnsi="Times New Roman" w:cs="Times New Roman"/>
          <w:color w:val="000000" w:themeColor="text1"/>
          <w:sz w:val="24"/>
          <w:szCs w:val="24"/>
        </w:rPr>
        <w:t>four</w:t>
      </w:r>
      <w:r w:rsidRPr="00900361">
        <w:rPr>
          <w:rFonts w:ascii="Times New Roman" w:hAnsi="Times New Roman" w:cs="Times New Roman"/>
          <w:color w:val="000000" w:themeColor="text1"/>
          <w:sz w:val="24"/>
          <w:szCs w:val="24"/>
        </w:rPr>
        <w:t xml:space="preserve"> </w:t>
      </w:r>
      <w:r w:rsidRPr="00900361">
        <w:rPr>
          <w:rFonts w:ascii="Times New Roman" w:hAnsi="Times New Roman" w:cs="Times New Roman"/>
          <w:color w:val="000000" w:themeColor="text1"/>
          <w:sz w:val="16"/>
          <w:szCs w:val="16"/>
        </w:rPr>
        <w:t>DD</w:t>
      </w:r>
      <w:r w:rsidRPr="00900361">
        <w:rPr>
          <w:rFonts w:ascii="Times New Roman" w:hAnsi="Times New Roman" w:cs="Times New Roman"/>
          <w:color w:val="000000" w:themeColor="text1"/>
          <w:sz w:val="24"/>
          <w:szCs w:val="24"/>
        </w:rPr>
        <w:t xml:space="preserve">-carboxypeptidase </w:t>
      </w:r>
      <w:r>
        <w:rPr>
          <w:rFonts w:ascii="Times New Roman" w:hAnsi="Times New Roman" w:cs="Times New Roman"/>
          <w:color w:val="000000" w:themeColor="text1"/>
          <w:sz w:val="24"/>
          <w:szCs w:val="24"/>
        </w:rPr>
        <w:t xml:space="preserve">including PBP5 </w:t>
      </w:r>
      <w:r w:rsidRPr="00900361">
        <w:rPr>
          <w:rFonts w:ascii="Times New Roman" w:hAnsi="Times New Roman" w:cs="Times New Roman"/>
          <w:color w:val="000000" w:themeColor="text1"/>
          <w:sz w:val="24"/>
          <w:szCs w:val="24"/>
        </w:rPr>
        <w:t>continued to divide without lysis. Deletion of just two PBPs (1a and 1b)</w:t>
      </w:r>
      <w:r w:rsidRPr="00900361">
        <w:rPr>
          <w:rFonts w:ascii="Times New Roman" w:hAnsi="Times New Roman" w:cs="Times New Roman"/>
          <w:i/>
          <w:color w:val="000000" w:themeColor="text1"/>
          <w:sz w:val="24"/>
          <w:szCs w:val="24"/>
        </w:rPr>
        <w:t xml:space="preserve"> </w:t>
      </w:r>
      <w:r w:rsidRPr="00900361">
        <w:rPr>
          <w:rFonts w:ascii="Times New Roman" w:hAnsi="Times New Roman" w:cs="Times New Roman"/>
          <w:color w:val="000000" w:themeColor="text1"/>
          <w:sz w:val="24"/>
          <w:szCs w:val="24"/>
        </w:rPr>
        <w:t xml:space="preserve">in </w:t>
      </w:r>
      <w:r w:rsidRPr="00900361">
        <w:rPr>
          <w:rFonts w:ascii="Times New Roman" w:hAnsi="Times New Roman" w:cs="Times New Roman"/>
          <w:i/>
          <w:color w:val="000000" w:themeColor="text1"/>
          <w:sz w:val="24"/>
          <w:szCs w:val="24"/>
        </w:rPr>
        <w:t>E. coli</w:t>
      </w:r>
      <w:r w:rsidRPr="00900361">
        <w:rPr>
          <w:rFonts w:ascii="Times New Roman" w:hAnsi="Times New Roman" w:cs="Times New Roman"/>
          <w:color w:val="000000" w:themeColor="text1"/>
          <w:sz w:val="24"/>
          <w:szCs w:val="24"/>
        </w:rPr>
        <w:t xml:space="preserve"> was lethal, whilst cells expressing only t</w:t>
      </w:r>
      <w:r>
        <w:rPr>
          <w:rFonts w:ascii="Times New Roman" w:hAnsi="Times New Roman" w:cs="Times New Roman"/>
          <w:color w:val="000000" w:themeColor="text1"/>
          <w:sz w:val="24"/>
          <w:szCs w:val="24"/>
        </w:rPr>
        <w:t>hree</w:t>
      </w:r>
      <w:r w:rsidRPr="00900361">
        <w:rPr>
          <w:rFonts w:ascii="Times New Roman" w:hAnsi="Times New Roman" w:cs="Times New Roman"/>
          <w:color w:val="000000" w:themeColor="text1"/>
          <w:sz w:val="24"/>
          <w:szCs w:val="24"/>
        </w:rPr>
        <w:t xml:space="preserve"> PBPs (1b</w:t>
      </w:r>
      <w:r>
        <w:rPr>
          <w:rFonts w:ascii="Times New Roman" w:hAnsi="Times New Roman" w:cs="Times New Roman"/>
          <w:color w:val="000000" w:themeColor="text1"/>
          <w:sz w:val="24"/>
          <w:szCs w:val="24"/>
        </w:rPr>
        <w:t>,</w:t>
      </w:r>
      <w:r w:rsidRPr="00900361">
        <w:rPr>
          <w:rFonts w:ascii="Times New Roman" w:hAnsi="Times New Roman" w:cs="Times New Roman"/>
          <w:color w:val="000000" w:themeColor="text1"/>
          <w:sz w:val="24"/>
          <w:szCs w:val="24"/>
        </w:rPr>
        <w:t xml:space="preserve"> 1c</w:t>
      </w:r>
      <w:r>
        <w:rPr>
          <w:rFonts w:ascii="Times New Roman" w:hAnsi="Times New Roman" w:cs="Times New Roman"/>
          <w:color w:val="000000" w:themeColor="text1"/>
          <w:sz w:val="24"/>
          <w:szCs w:val="24"/>
        </w:rPr>
        <w:t xml:space="preserve"> and 3</w:t>
      </w:r>
      <w:r w:rsidRPr="00900361">
        <w:rPr>
          <w:rFonts w:ascii="Times New Roman" w:hAnsi="Times New Roman" w:cs="Times New Roman"/>
          <w:color w:val="000000" w:themeColor="text1"/>
          <w:sz w:val="24"/>
          <w:szCs w:val="24"/>
        </w:rPr>
        <w:t xml:space="preserve">) continued to synthesise peptidoglycan without lysis despite being unable to divide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{"citationID":"10nmk1r70q","properties":{"formattedCitation":"(Denome et al., 1999)","plainCitation":"(Denome et al., 1999)"},"citationItems":[{"id":555,"uris":["http://zotero.org/users/944474/items/WT6V44GX"],"uri":["http://zotero.org/users/944474/items/WT6V44GX"],"itemData":{"id":555,"type":"article-journal","title":"Escherichia coli mutants lacking all possible combinations of eight penicillin binding proteins: viability, characteristics, and implications for peptidoglycan synthesis","container-title":"Journal of bacteriology","page":"3981-3993","volume":"181","issue":"13","abstract":"The penicillin binding proteins (PBPs) synthesize and remodel peptidoglycan, the structural component of the bacterial cell wall. Much is known about the biochemistry of these proteins, but little is known about their biological roles. To better understand the contributions these proteins make to the physiology of Escherichia coli, we constructed 192 mutants from which eight PBP genes were deleted in every possible combination. The genes encoding PBPs 1a, 1b, 4, 5, 6, and 7, AmpC, and AmpH were cloned, and from each gene an internal coding sequence was removed and replaced with a kanamycin resistance cassette flanked by two res sites from plasmid RP4. Deletion of individual genes was accomplished by transferring each interrupted gene onto the chromosome of E. coli via lambda phage transduction and selecting for kanamycin-resistant recombinants. Afterwards, the kanamycin resistance cassette was removed from each mutant strain by supplying ParA resolvase in trans, yielding a strain in which a long segment of the original PBP gene was deleted and replaced by an 8-bp res site. These kanamycin-sensitive mutants were used as recipients in further rounds of replacement mutagenesis, resulting in a set of strains lacking from one to seven PBPs. In addition, the dacD gene was deleted from two septuple mutants, creating strains lacking eight genes. The only deletion combinations not produced were those lacking both PBPs 1a and 1b because such a combination is lethal. Surprisingly, all other deletion mutants were viable even though, at the extreme, 8 of the 12 known PBPs had been eliminated. Furthermore, when both PBPs 2 and 3 were inactivated by the beta-lactams mecillinam and aztreonam, respectively, several mutants did not lyse but continued to grow as enlarged spheres, so that one mutant synthesized osmotically resistant peptidoglycan when only 2 of 12 PBPs (PBPs 1b and 1c) remained active. These results have important implications for current models of peptidoglycan biosynthesis, for understanding the evolution of the bacterial sacculus, and for interpreting results derived by mutating unknown open reading frames in genome projects. In addition, members of the set of PBP mutants will provide excellent starting points for answering fundamental questions about other aspects of cell wall metabolism.","note":"PMID: 10383966","shortTitle":"Escherichia coli mutants lacking all possible combinations of eight penicillin binding proteins","journalAbbreviation":"J. Bacteriol.","author":[{"family":"Denome","given":"S A"},{"family":"Elf","given":"P K"},{"family":"Henderson","given":"T A"},{"family":"Nelson","given":"D E"},{"family":"Young","given":"K D"}],"issued":{"year":1999,"month":7},"accessed":{"year":2012,"month":6,"day":19},"page-first":"3981"}}],"schema":"https://github.com/citation-style-language/schema/raw/master/csl-citation.json"}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(Denome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1999)</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The complex phenotypes displayed by multiple PBP mutants likely reflect their participation in multienzyme complexes, and their </w:t>
      </w:r>
      <w:r w:rsidRPr="00900361">
        <w:rPr>
          <w:rFonts w:ascii="Times New Roman" w:hAnsi="Times New Roman" w:cs="Times New Roman"/>
          <w:i/>
          <w:color w:val="000000" w:themeColor="text1"/>
          <w:sz w:val="24"/>
          <w:szCs w:val="24"/>
        </w:rPr>
        <w:t>in vivo</w:t>
      </w:r>
      <w:r w:rsidRPr="00900361">
        <w:rPr>
          <w:rFonts w:ascii="Times New Roman" w:hAnsi="Times New Roman" w:cs="Times New Roman"/>
          <w:color w:val="000000" w:themeColor="text1"/>
          <w:sz w:val="24"/>
          <w:szCs w:val="24"/>
        </w:rPr>
        <w:t xml:space="preserve"> reactivity may be somewhat more sophisticated than their </w:t>
      </w:r>
      <w:r w:rsidRPr="00900361">
        <w:rPr>
          <w:rFonts w:ascii="Times New Roman" w:hAnsi="Times New Roman" w:cs="Times New Roman"/>
          <w:i/>
          <w:color w:val="000000" w:themeColor="text1"/>
          <w:sz w:val="24"/>
          <w:szCs w:val="24"/>
        </w:rPr>
        <w:t>in vitro</w:t>
      </w:r>
      <w:r w:rsidRPr="00900361">
        <w:rPr>
          <w:rFonts w:ascii="Times New Roman" w:hAnsi="Times New Roman" w:cs="Times New Roman"/>
          <w:color w:val="000000" w:themeColor="text1"/>
          <w:sz w:val="24"/>
          <w:szCs w:val="24"/>
        </w:rPr>
        <w:t xml:space="preserve"> functionality using soluble enzymes would suggest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{"citationID":"1cc3af2ae6","properties":{"formattedCitation":"(Pratt, 2008)","plainCitation":"(Pratt, 2008)"},"citationItems":[{"id":618,"uris":["http://zotero.org/users/944474/items/FQ57IMUD"],"uri":["http://zotero.org/users/944474/items/FQ57IMUD"],"itemData":{"id":618,"type":"article-journal","title":"Substrate specificity of bacterial DD-peptidases (penicillin-binding proteins)","container-title":"Cellular and molecular life sciences: CMLS","page":"2138-2155","volume":"65","issue":"14","abstract":"The DD-peptidase enzymes (penicillin-binding proteins) catalyze the final transpeptidation reaction of bacterial cell wall (peptidoglycan) biosynthesis. Although there is now much structural information available about these enzymes, studies of their activity as enzymes lag. It is now established that representatives of two low-molecular-mass classes of DD-peptidases recognize elements of peptidoglycan structure and rapidly react with substrates and inhibitors incorporating these elements. No members of other DD-peptidase classes, including the high-molecular-mass enzymes, essential for bacterial growth, appear to interact strongly with any particular elements of peptidoglycan structure. Rational design of inhibitors for these enzymes is therefore challenging.","DOI":"10.1007/s00018-008-7591-7","note":"PMID: 18408890","journalAbbreviation":"Cell. Mol. Life Sci.","author":[{"family":"Pratt","given":"R F"}],"issued":{"year":2008,"month":7},"accessed":{"year":2012,"month":6,"day":26},"page-first":"2138"}}],"schema":"https://github.com/citation-style-language/schema/raw/master/csl-citation.json"}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(Pratt, 2008)</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w:t>
      </w:r>
    </w:p>
    <w:p w:rsidR="00BC7652" w:rsidRPr="00900361" w:rsidRDefault="00BC7652" w:rsidP="00BC7652">
      <w:pPr>
        <w:spacing w:line="480" w:lineRule="auto"/>
        <w:jc w:val="both"/>
        <w:rPr>
          <w:rFonts w:ascii="Times New Roman" w:hAnsi="Times New Roman" w:cs="Times New Roman"/>
          <w:color w:val="000000" w:themeColor="text1"/>
          <w:sz w:val="24"/>
          <w:szCs w:val="24"/>
        </w:rPr>
      </w:pPr>
    </w:p>
    <w:p w:rsidR="00BC7652" w:rsidRPr="00900361" w:rsidRDefault="00BC7652" w:rsidP="00BC7652">
      <w:pPr>
        <w:tabs>
          <w:tab w:val="left" w:pos="1276"/>
        </w:tabs>
        <w:autoSpaceDE w:val="0"/>
        <w:autoSpaceDN w:val="0"/>
        <w:adjustRightInd w:val="0"/>
        <w:spacing w:after="120" w:line="480" w:lineRule="auto"/>
        <w:jc w:val="both"/>
        <w:rPr>
          <w:rFonts w:ascii="Times New Roman" w:hAnsi="Times New Roman" w:cs="Times New Roman"/>
          <w:color w:val="000000" w:themeColor="text1"/>
          <w:sz w:val="28"/>
          <w:szCs w:val="28"/>
        </w:rPr>
      </w:pPr>
      <w:r w:rsidRPr="00900361">
        <w:rPr>
          <w:rFonts w:ascii="Times New Roman" w:hAnsi="Times New Roman" w:cs="Times New Roman"/>
          <w:color w:val="000000" w:themeColor="text1"/>
          <w:sz w:val="28"/>
          <w:szCs w:val="28"/>
        </w:rPr>
        <w:t>1.7</w:t>
      </w:r>
      <w:r w:rsidRPr="00900361">
        <w:rPr>
          <w:rFonts w:ascii="Times New Roman" w:hAnsi="Times New Roman" w:cs="Times New Roman"/>
          <w:color w:val="000000" w:themeColor="text1"/>
          <w:sz w:val="28"/>
          <w:szCs w:val="28"/>
        </w:rPr>
        <w:tab/>
        <w:t>Peptidoglycan hydrolases</w:t>
      </w:r>
    </w:p>
    <w:p w:rsidR="00BC7652" w:rsidRPr="00900361" w:rsidRDefault="00BC7652" w:rsidP="00BC7652">
      <w:pPr>
        <w:autoSpaceDE w:val="0"/>
        <w:autoSpaceDN w:val="0"/>
        <w:adjustRightInd w:val="0"/>
        <w:spacing w:after="120" w:line="480" w:lineRule="auto"/>
        <w:jc w:val="both"/>
        <w:rPr>
          <w:rFonts w:ascii="Times New Roman" w:hAnsi="Times New Roman" w:cs="Times New Roman"/>
          <w:color w:val="000000" w:themeColor="text1"/>
          <w:sz w:val="24"/>
          <w:szCs w:val="24"/>
        </w:rPr>
      </w:pPr>
      <w:r w:rsidRPr="00900361">
        <w:rPr>
          <w:rFonts w:ascii="Times New Roman" w:hAnsi="Times New Roman" w:cs="Times New Roman"/>
          <w:color w:val="000000" w:themeColor="text1"/>
          <w:sz w:val="24"/>
          <w:szCs w:val="24"/>
        </w:rPr>
        <w:t xml:space="preserve">Peptidoglycan hydrolases form a diverse group of bacterial enzymes that cleave specific bonds within peptidoglycan network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{"citationID":"vovchsrb3","properties":{"formattedCitation":"(Ghuysen, 1968)","plainCitation":"(Ghuysen, 1968)"},"citationItems":[{"id":401,"uris":["http://zotero.org/users/944474/items/ANFBDZFT"],"uri":["http://zotero.org/users/944474/items/ANFBDZFT"],"itemData":{"id":401,"type":"article-journal","title":"Use of bacteriolytic enzymes in determination of wall structure and their role in cell metabolism","container-title":"Bacteriological reviews","page":"425-464","volume":"32","issue":"4 Pt 2","note":"PMID: 4884715","journalAbbreviation":"Bacteriol Rev","author":[{"family":"Ghuysen","given":"J M"}],"issued":{"year":1968,"month":12},"accessed":{"year":2012,"month":6,"day":5},"page-first":"425"},"locator":"196"}],"schema":"https://github.com/citation-style-language/schema/raw/master/csl-citation.json"}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(Ghuysen, 1968)</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They are also found in higher organisms as a defence against bacterial pathogens, and in phage for infiltration and escape from the bacterial host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{"citationID":"2fdeci1ptc","properties":{"formattedCitation":"(Vollmer et al., 2008)","plainCitation":"(Vollmer et al., 2008)"},"citationItems":[{"id":36,"uris":["http://zotero.org/users/944474/items/GNMZZW6M"],"uri":["http://zotero.org/users/944474/items/GNMZZW6M"],"itemData":{"id":36,"type":"article-journal","title":"Bacterial peptidoglycan (murein) hydrolases","container-title":"FEMS Microbiology Reviews","page":"259-286","volume":"32","issue":"2","DOI":"10.1111/j.1574-6976.2007.00099.x","author":[{"family":"Vollmer","given":"Waldemar"},{"family":"Joris","given":"Bernard"},{"family":"Charlier","given":"Paulette"},{"family":"Foster","given":"Simon"}],"issued":{"year":2008,"month":3},"accessed":{"year":2012,"month":3,"day":6},"page-first":"259"}}],"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(Vollmer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2008)</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For every</w:t>
      </w:r>
      <w:r>
        <w:rPr>
          <w:rFonts w:ascii="Times New Roman" w:hAnsi="Times New Roman" w:cs="Times New Roman"/>
          <w:color w:val="000000"/>
          <w:sz w:val="24"/>
          <w:szCs w:val="24"/>
        </w:rPr>
        <w:t xml:space="preserve"> type of amide or glycosidic bond found in the peptidoglycan, there is a peptidoglycan hydrolase capable </w:t>
      </w:r>
      <w:r>
        <w:rPr>
          <w:rFonts w:ascii="Times New Roman" w:hAnsi="Times New Roman" w:cs="Times New Roman"/>
          <w:color w:val="000000"/>
          <w:sz w:val="24"/>
          <w:szCs w:val="24"/>
        </w:rPr>
        <w:lastRenderedPageBreak/>
        <w:t xml:space="preserve">of </w:t>
      </w:r>
      <w:r w:rsidRPr="00900361">
        <w:rPr>
          <w:rFonts w:ascii="Times New Roman" w:hAnsi="Times New Roman" w:cs="Times New Roman"/>
          <w:color w:val="000000" w:themeColor="text1"/>
          <w:sz w:val="24"/>
          <w:szCs w:val="24"/>
        </w:rPr>
        <w:t xml:space="preserve">cleaving it, although enzymes for all bond specificities are not found in every species (Figure 1.9;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{"citationID":"20a3md21aj","properties":{"formattedCitation":"(Vollmer et al., 2008)","plainCitation":"(Vollmer et al., 2008)"},"citationItems":[{"id":36,"uris":["http://zotero.org/users/944474/items/GNMZZW6M"],"uri":["http://zotero.org/users/944474/items/GNMZZW6M"],"itemData":{"id":36,"type":"article-journal","title":"Bacterial peptidoglycan (murein) hydrolases","container-title":"FEMS Microbiology Reviews","page":"259-286","volume":"32","issue":"2","DOI":"10.1111/j.1574-6976.2007.00099.x","author":[{"family":"Vollmer","given":"Waldemar"},{"family":"Joris","given":"Bernard"},{"family":"Charlier","given":"Paulette"},{"family":"Foster","given":"Simon"}],"issued":{"year":2008,"month":3},"accessed":{"year":2012,"month":3,"day":6},"page-first":"259"}}],"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Vollmer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2008)</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w:t>
      </w:r>
    </w:p>
    <w:p w:rsidR="00BC7652" w:rsidRPr="00900361" w:rsidRDefault="00BC7652" w:rsidP="00BC7652">
      <w:pPr>
        <w:autoSpaceDE w:val="0"/>
        <w:autoSpaceDN w:val="0"/>
        <w:adjustRightInd w:val="0"/>
        <w:spacing w:after="120" w:line="480" w:lineRule="auto"/>
        <w:jc w:val="both"/>
        <w:rPr>
          <w:rFonts w:ascii="Times New Roman" w:hAnsi="Times New Roman" w:cs="Times New Roman"/>
          <w:color w:val="000000" w:themeColor="text1"/>
          <w:sz w:val="24"/>
          <w:szCs w:val="24"/>
        </w:rPr>
      </w:pPr>
    </w:p>
    <w:p w:rsidR="00BC7652" w:rsidRPr="005508D4" w:rsidRDefault="00BC7652" w:rsidP="00BC7652">
      <w:pPr>
        <w:tabs>
          <w:tab w:val="left" w:pos="1276"/>
        </w:tabs>
        <w:autoSpaceDE w:val="0"/>
        <w:autoSpaceDN w:val="0"/>
        <w:adjustRightInd w:val="0"/>
        <w:spacing w:after="120" w:line="480" w:lineRule="auto"/>
        <w:jc w:val="both"/>
        <w:rPr>
          <w:rFonts w:ascii="Times New Roman" w:hAnsi="Times New Roman" w:cs="Times New Roman"/>
          <w:color w:val="000000"/>
          <w:sz w:val="28"/>
          <w:szCs w:val="28"/>
        </w:rPr>
      </w:pPr>
      <w:r w:rsidRPr="00900361">
        <w:rPr>
          <w:rFonts w:ascii="Times New Roman" w:hAnsi="Times New Roman" w:cs="Times New Roman"/>
          <w:color w:val="000000" w:themeColor="text1"/>
          <w:sz w:val="28"/>
          <w:szCs w:val="28"/>
        </w:rPr>
        <w:t>1.7.1</w:t>
      </w:r>
      <w:r w:rsidRPr="00900361">
        <w:rPr>
          <w:rFonts w:ascii="Times New Roman" w:hAnsi="Times New Roman" w:cs="Times New Roman"/>
          <w:color w:val="000000" w:themeColor="text1"/>
          <w:sz w:val="28"/>
          <w:szCs w:val="28"/>
        </w:rPr>
        <w:tab/>
        <w:t>Bond</w:t>
      </w:r>
      <w:r>
        <w:rPr>
          <w:rFonts w:ascii="Times New Roman" w:hAnsi="Times New Roman" w:cs="Times New Roman"/>
          <w:color w:val="000000"/>
          <w:sz w:val="28"/>
          <w:szCs w:val="28"/>
        </w:rPr>
        <w:t xml:space="preserve"> specificities</w:t>
      </w:r>
    </w:p>
    <w:p w:rsidR="00BC7652" w:rsidRDefault="00BC7652" w:rsidP="00BC7652">
      <w:pPr>
        <w:autoSpaceDE w:val="0"/>
        <w:autoSpaceDN w:val="0"/>
        <w:adjustRightInd w:val="0"/>
        <w:spacing w:after="120" w:line="480" w:lineRule="auto"/>
        <w:jc w:val="both"/>
        <w:rPr>
          <w:rFonts w:ascii="Times New Roman" w:hAnsi="Times New Roman" w:cs="Times New Roman"/>
          <w:color w:val="000000"/>
          <w:sz w:val="24"/>
          <w:szCs w:val="24"/>
        </w:rPr>
        <w:sectPr w:rsidR="00BC7652" w:rsidSect="006C5A4E">
          <w:type w:val="continuous"/>
          <w:pgSz w:w="11906" w:h="16838"/>
          <w:pgMar w:top="1440" w:right="1134" w:bottom="1440" w:left="2268" w:header="708" w:footer="708" w:gutter="0"/>
          <w:cols w:space="708"/>
          <w:docGrid w:linePitch="360"/>
        </w:sectPr>
      </w:pPr>
      <w:r>
        <w:rPr>
          <w:rFonts w:ascii="Times New Roman" w:hAnsi="Times New Roman" w:cs="Times New Roman"/>
          <w:color w:val="000000"/>
          <w:sz w:val="24"/>
          <w:szCs w:val="24"/>
        </w:rPr>
        <w:t xml:space="preserve">Enzymes that hydrolyse the amide bonds between amino acids in the peptide stems are peptidases. </w:t>
      </w:r>
      <w:r w:rsidRPr="00E70A71">
        <w:rPr>
          <w:rFonts w:ascii="Times New Roman" w:hAnsi="Times New Roman" w:cs="Times New Roman"/>
          <w:color w:val="000000"/>
          <w:sz w:val="16"/>
          <w:szCs w:val="16"/>
        </w:rPr>
        <w:t>LD</w:t>
      </w:r>
      <w:r w:rsidRPr="007B61D4">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or </w:t>
      </w:r>
      <w:r w:rsidRPr="00E70A71">
        <w:rPr>
          <w:rFonts w:ascii="Times New Roman" w:hAnsi="Times New Roman" w:cs="Times New Roman"/>
          <w:color w:val="000000"/>
          <w:sz w:val="16"/>
          <w:szCs w:val="16"/>
        </w:rPr>
        <w:t>DL</w:t>
      </w:r>
      <w:r>
        <w:rPr>
          <w:rFonts w:ascii="Times New Roman" w:hAnsi="Times New Roman" w:cs="Times New Roman"/>
          <w:color w:val="000000"/>
          <w:sz w:val="24"/>
          <w:szCs w:val="24"/>
        </w:rPr>
        <w:t xml:space="preserve">-endopeptidases cleave between the alternating </w:t>
      </w:r>
      <w:r w:rsidRPr="00E70A71">
        <w:rPr>
          <w:rFonts w:ascii="Times New Roman" w:hAnsi="Times New Roman" w:cs="Times New Roman"/>
          <w:color w:val="000000"/>
          <w:sz w:val="16"/>
          <w:szCs w:val="16"/>
        </w:rPr>
        <w:t>L</w:t>
      </w:r>
      <w:r>
        <w:rPr>
          <w:rFonts w:ascii="Times New Roman" w:hAnsi="Times New Roman" w:cs="Times New Roman"/>
          <w:color w:val="000000"/>
          <w:sz w:val="24"/>
          <w:szCs w:val="24"/>
        </w:rPr>
        <w:t xml:space="preserve">- and </w:t>
      </w:r>
      <w:r w:rsidRPr="00E70A71">
        <w:rPr>
          <w:rFonts w:ascii="Times New Roman" w:hAnsi="Times New Roman" w:cs="Times New Roman"/>
          <w:color w:val="000000"/>
          <w:sz w:val="16"/>
          <w:szCs w:val="16"/>
        </w:rPr>
        <w:t>D</w:t>
      </w:r>
      <w:r>
        <w:rPr>
          <w:rFonts w:ascii="Times New Roman" w:hAnsi="Times New Roman" w:cs="Times New Roman"/>
          <w:color w:val="000000"/>
          <w:sz w:val="24"/>
          <w:szCs w:val="24"/>
        </w:rPr>
        <w:t xml:space="preserve">-isoform amino acids in the peptide stem </w:t>
      </w:r>
      <w:r w:rsidRPr="00900361">
        <w:rPr>
          <w:rFonts w:ascii="Times New Roman" w:hAnsi="Times New Roman" w:cs="Times New Roman"/>
          <w:color w:val="000000" w:themeColor="text1"/>
          <w:sz w:val="24"/>
          <w:szCs w:val="24"/>
        </w:rPr>
        <w:t xml:space="preserve">or between </w:t>
      </w:r>
      <w:r w:rsidRPr="00900361">
        <w:rPr>
          <w:rFonts w:ascii="Times New Roman" w:hAnsi="Times New Roman" w:cs="Times New Roman"/>
          <w:i/>
          <w:color w:val="000000" w:themeColor="text1"/>
          <w:sz w:val="24"/>
          <w:szCs w:val="24"/>
        </w:rPr>
        <w:t>meso</w:t>
      </w:r>
      <w:r w:rsidRPr="00900361">
        <w:rPr>
          <w:rFonts w:ascii="Times New Roman" w:hAnsi="Times New Roman" w:cs="Times New Roman"/>
          <w:color w:val="000000" w:themeColor="text1"/>
          <w:sz w:val="24"/>
          <w:szCs w:val="24"/>
        </w:rPr>
        <w:t xml:space="preserve">-DAP – </w:t>
      </w:r>
      <w:r w:rsidRPr="00900361">
        <w:rPr>
          <w:rFonts w:ascii="Times New Roman" w:hAnsi="Times New Roman" w:cs="Times New Roman"/>
          <w:i/>
          <w:color w:val="000000" w:themeColor="text1"/>
          <w:sz w:val="24"/>
          <w:szCs w:val="24"/>
        </w:rPr>
        <w:t>meso</w:t>
      </w:r>
      <w:r w:rsidRPr="00900361">
        <w:rPr>
          <w:rFonts w:ascii="Times New Roman" w:hAnsi="Times New Roman" w:cs="Times New Roman"/>
          <w:color w:val="000000" w:themeColor="text1"/>
          <w:sz w:val="24"/>
          <w:szCs w:val="24"/>
        </w:rPr>
        <w:t>-</w:t>
      </w:r>
      <w:proofErr w:type="gramStart"/>
      <w:r w:rsidRPr="00900361">
        <w:rPr>
          <w:rFonts w:ascii="Times New Roman" w:hAnsi="Times New Roman" w:cs="Times New Roman"/>
          <w:color w:val="000000" w:themeColor="text1"/>
          <w:sz w:val="24"/>
          <w:szCs w:val="24"/>
        </w:rPr>
        <w:t>DAP</w:t>
      </w:r>
      <w:proofErr w:type="gramEnd"/>
      <w:r w:rsidRPr="00900361">
        <w:rPr>
          <w:rFonts w:ascii="Times New Roman" w:hAnsi="Times New Roman" w:cs="Times New Roman"/>
          <w:color w:val="000000" w:themeColor="text1"/>
          <w:sz w:val="24"/>
          <w:szCs w:val="24"/>
        </w:rPr>
        <w:t xml:space="preserve"> crosslinks (Figure 1.9A). </w:t>
      </w:r>
      <w:r w:rsidRPr="00900361">
        <w:rPr>
          <w:rFonts w:ascii="Times New Roman" w:hAnsi="Times New Roman" w:cs="Times New Roman"/>
          <w:color w:val="000000" w:themeColor="text1"/>
          <w:sz w:val="16"/>
          <w:szCs w:val="16"/>
        </w:rPr>
        <w:t>DD</w:t>
      </w:r>
      <w:r w:rsidRPr="00900361">
        <w:rPr>
          <w:rFonts w:ascii="Times New Roman" w:hAnsi="Times New Roman" w:cs="Times New Roman"/>
          <w:color w:val="000000" w:themeColor="text1"/>
          <w:sz w:val="24"/>
          <w:szCs w:val="24"/>
        </w:rPr>
        <w:t xml:space="preserve">-Endopeptidases hydrolyse between </w:t>
      </w:r>
      <w:r w:rsidRPr="00900361">
        <w:rPr>
          <w:rFonts w:ascii="Times New Roman" w:hAnsi="Times New Roman" w:cs="Times New Roman"/>
          <w:color w:val="000000" w:themeColor="text1"/>
          <w:sz w:val="18"/>
          <w:szCs w:val="18"/>
        </w:rPr>
        <w:t>D</w:t>
      </w:r>
      <w:r w:rsidRPr="00900361">
        <w:rPr>
          <w:rFonts w:ascii="Times New Roman" w:hAnsi="Times New Roman" w:cs="Times New Roman"/>
          <w:color w:val="000000" w:themeColor="text1"/>
          <w:sz w:val="24"/>
          <w:szCs w:val="24"/>
        </w:rPr>
        <w:t>-Ala-</w:t>
      </w:r>
      <w:r w:rsidRPr="00900361">
        <w:rPr>
          <w:rFonts w:ascii="Times New Roman" w:hAnsi="Times New Roman" w:cs="Times New Roman"/>
          <w:i/>
          <w:color w:val="000000" w:themeColor="text1"/>
          <w:sz w:val="24"/>
          <w:szCs w:val="24"/>
        </w:rPr>
        <w:t>meso</w:t>
      </w:r>
      <w:r w:rsidRPr="00900361">
        <w:rPr>
          <w:rFonts w:ascii="Times New Roman" w:hAnsi="Times New Roman" w:cs="Times New Roman"/>
          <w:color w:val="000000" w:themeColor="text1"/>
          <w:sz w:val="24"/>
          <w:szCs w:val="24"/>
        </w:rPr>
        <w:t xml:space="preserve">-DAP. Carboxypeptidases remove the C-terminal amino acid from the peptide stem (Figure 1.9A;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{"citationID":"jqno27heu","properties":{"formattedCitation":"{\\rtf (H\\uc0\\u246{}ltje, 1995)}","plainCitation":"(Höltje, 1995)"},"citationItems":[{"id":402,"uris":["http://zotero.org/users/944474/items/HTJKETSB"],"uri":["http://zotero.org/users/944474/items/HTJKETSB"]}],"schema":"https://github.com/citation-style-language/schema/raw/master/csl-citation.json"}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szCs w:val="24"/>
        </w:rPr>
        <w:t>Höltje, 1995)</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w:t>
      </w:r>
      <w:r w:rsidRPr="00900361">
        <w:rPr>
          <w:rFonts w:ascii="Times New Roman" w:hAnsi="Times New Roman" w:cs="Times New Roman"/>
          <w:i/>
          <w:color w:val="000000" w:themeColor="text1"/>
          <w:sz w:val="24"/>
          <w:szCs w:val="24"/>
        </w:rPr>
        <w:t>N-</w:t>
      </w:r>
      <w:r w:rsidRPr="00900361">
        <w:rPr>
          <w:rFonts w:ascii="Times New Roman" w:hAnsi="Times New Roman" w:cs="Times New Roman"/>
          <w:color w:val="000000" w:themeColor="text1"/>
          <w:sz w:val="24"/>
          <w:szCs w:val="24"/>
        </w:rPr>
        <w:t>acetylmu</w:t>
      </w:r>
      <w:r>
        <w:rPr>
          <w:rFonts w:ascii="Times New Roman" w:hAnsi="Times New Roman" w:cs="Times New Roman"/>
          <w:color w:val="000000" w:themeColor="text1"/>
          <w:sz w:val="24"/>
          <w:szCs w:val="24"/>
        </w:rPr>
        <w:t>r</w:t>
      </w:r>
      <w:r w:rsidRPr="00900361">
        <w:rPr>
          <w:rFonts w:ascii="Times New Roman" w:hAnsi="Times New Roman" w:cs="Times New Roman"/>
          <w:color w:val="000000" w:themeColor="text1"/>
          <w:sz w:val="24"/>
          <w:szCs w:val="24"/>
        </w:rPr>
        <w:t>amyl-</w:t>
      </w:r>
      <w:r w:rsidRPr="00900361">
        <w:rPr>
          <w:rFonts w:ascii="Times New Roman" w:hAnsi="Times New Roman" w:cs="Times New Roman"/>
          <w:color w:val="000000" w:themeColor="text1"/>
          <w:sz w:val="16"/>
          <w:szCs w:val="16"/>
        </w:rPr>
        <w:t>L</w:t>
      </w:r>
      <w:r w:rsidRPr="00900361">
        <w:rPr>
          <w:rFonts w:ascii="Times New Roman" w:hAnsi="Times New Roman" w:cs="Times New Roman"/>
          <w:color w:val="000000" w:themeColor="text1"/>
          <w:sz w:val="24"/>
          <w:szCs w:val="24"/>
        </w:rPr>
        <w:t>-alanine amidases (amidases) are enzymes that cleave the amide bond between the lactyl group of Mur</w:t>
      </w:r>
      <w:r w:rsidRPr="00533E37">
        <w:rPr>
          <w:rFonts w:ascii="Times New Roman" w:hAnsi="Times New Roman" w:cs="Times New Roman"/>
          <w:i/>
          <w:color w:val="000000" w:themeColor="text1"/>
          <w:sz w:val="24"/>
          <w:szCs w:val="24"/>
        </w:rPr>
        <w:t>N</w:t>
      </w:r>
      <w:r w:rsidRPr="00900361">
        <w:rPr>
          <w:rFonts w:ascii="Times New Roman" w:hAnsi="Times New Roman" w:cs="Times New Roman"/>
          <w:color w:val="000000" w:themeColor="text1"/>
          <w:sz w:val="24"/>
          <w:szCs w:val="24"/>
        </w:rPr>
        <w:t xml:space="preserve">Ac and the α-amino group of </w:t>
      </w:r>
      <w:r w:rsidRPr="00900361">
        <w:rPr>
          <w:rFonts w:ascii="Times New Roman" w:hAnsi="Times New Roman" w:cs="Times New Roman"/>
          <w:color w:val="000000" w:themeColor="text1"/>
          <w:sz w:val="18"/>
          <w:szCs w:val="18"/>
        </w:rPr>
        <w:t>L</w:t>
      </w:r>
      <w:r w:rsidRPr="00900361">
        <w:rPr>
          <w:rFonts w:ascii="Times New Roman" w:hAnsi="Times New Roman" w:cs="Times New Roman"/>
          <w:color w:val="000000" w:themeColor="text1"/>
          <w:sz w:val="24"/>
          <w:szCs w:val="24"/>
        </w:rPr>
        <w:t xml:space="preserve">-alanine at the </w:t>
      </w:r>
      <w:r w:rsidRPr="00900361">
        <w:rPr>
          <w:rFonts w:ascii="Times New Roman" w:hAnsi="Times New Roman" w:cs="Times New Roman"/>
          <w:i/>
          <w:color w:val="000000" w:themeColor="text1"/>
          <w:sz w:val="24"/>
          <w:szCs w:val="24"/>
        </w:rPr>
        <w:t>N</w:t>
      </w:r>
      <w:r w:rsidRPr="00900361">
        <w:rPr>
          <w:rFonts w:ascii="Times New Roman" w:hAnsi="Times New Roman" w:cs="Times New Roman"/>
          <w:color w:val="000000" w:themeColor="text1"/>
          <w:sz w:val="24"/>
          <w:szCs w:val="24"/>
        </w:rPr>
        <w:t xml:space="preserve">-terminus of the peptide stems, essentially separating the peptide and glycan components (Figure 1.9A;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{"citationID":"m4iaa4unp","properties":{"formattedCitation":"(Harz et al., 1990)","plainCitation":"(Harz et al., 1990)"},"citationItems":[{"id":101,"uris":["http://zotero.org/users/944474/items/26HBHW3P"],"uri":["http://zotero.org/users/944474/items/26HBHW3P"],"itemData":{"id":101,"type":"article-journal","title":"Isolation and separation of the glycan strands from murein of Escherichia coli by reversed-phase high-performance liquid chromatography","container-title":"Analytical Biochemistry","page":"120-128","volume":"190","issue":"1","abstract":"The length distribution of the glycan strands in the murein (peptidoglycan) sacculus of Escherichia coli has been analyzed after solubilization of the murein by complete digestion with human serum amidase. The glycan strands released were separated according to length by reversed-phase HPLC on wide-pore Nucleosil 300 C18 material at 50 degrees C, employing a convex gradient from 5 to 11% acetonitrile. The length of the fractionated glycan strands, which carry a nonreducing 1,6-anhydromuramic acid as a natural end group, was calculated from the ratio of total to nonreducing terminal muramic acid residues. This was possible after complete hydrolysis of the isolated glycan strands by muramidase followed by separation of the released nonreducing and reducing di- and tetrasaccharides by reversed-phase HPLC on Hypersil C18. The method established allows the separation of the glycan strands of murein, a poly-GlcNAc(beta 1-4)MurNAc-polysaccharide, up to a degree of polymerization of approximately 60. The predominant lengths of the glycan strands were 5 to 10 GlcNAc(beta 1-4)MurNAc disaccharide units.","note":"PMID: 2285138","journalAbbreviation":"Anal. Biochem.","author":[{"family":"Harz","given":"H"},{"family":"Burgdorf","given":"K"},{"family":"Höltje","given":"J V"}],"issued":{"year":1990,"month":10},"accessed":{"year":2012,"month":4,"day":2},"page-first":"120"}}],"schema":"https://github.com/citation-style-language/schema/raw/master/csl-citation.json"}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Harz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1990)</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Glycosidases cleave the β1</w:t>
      </w:r>
      <w:proofErr w:type="gramStart"/>
      <w:r w:rsidRPr="00900361">
        <w:rPr>
          <w:rFonts w:ascii="Times New Roman" w:hAnsi="Times New Roman" w:cs="Times New Roman"/>
          <w:color w:val="000000" w:themeColor="text1"/>
          <w:sz w:val="24"/>
          <w:szCs w:val="24"/>
        </w:rPr>
        <w:t>,4</w:t>
      </w:r>
      <w:proofErr w:type="gramEnd"/>
      <w:r w:rsidRPr="00900361">
        <w:rPr>
          <w:rFonts w:ascii="Times New Roman" w:hAnsi="Times New Roman" w:cs="Times New Roman"/>
          <w:color w:val="000000" w:themeColor="text1"/>
          <w:sz w:val="24"/>
          <w:szCs w:val="24"/>
        </w:rPr>
        <w:t xml:space="preserve">-glycosidic bonds between residues in the glycan chains, and fall into two major groups, </w:t>
      </w:r>
      <w:r w:rsidRPr="00900361">
        <w:rPr>
          <w:rFonts w:ascii="Times New Roman" w:hAnsi="Times New Roman" w:cs="Times New Roman"/>
          <w:i/>
          <w:color w:val="000000" w:themeColor="text1"/>
          <w:sz w:val="24"/>
          <w:szCs w:val="24"/>
        </w:rPr>
        <w:t>N</w:t>
      </w:r>
      <w:r w:rsidRPr="00900361">
        <w:rPr>
          <w:rFonts w:ascii="Times New Roman" w:hAnsi="Times New Roman" w:cs="Times New Roman"/>
          <w:color w:val="000000" w:themeColor="text1"/>
          <w:sz w:val="24"/>
          <w:szCs w:val="24"/>
        </w:rPr>
        <w:t>-acetyl-β-</w:t>
      </w:r>
      <w:r w:rsidRPr="00900361">
        <w:rPr>
          <w:rFonts w:ascii="Times New Roman" w:hAnsi="Times New Roman" w:cs="Times New Roman"/>
          <w:color w:val="000000" w:themeColor="text1"/>
          <w:sz w:val="16"/>
          <w:szCs w:val="16"/>
        </w:rPr>
        <w:t>D</w:t>
      </w:r>
      <w:r w:rsidRPr="00900361">
        <w:rPr>
          <w:rFonts w:ascii="Times New Roman" w:hAnsi="Times New Roman" w:cs="Times New Roman"/>
          <w:color w:val="000000" w:themeColor="text1"/>
          <w:sz w:val="24"/>
          <w:szCs w:val="24"/>
        </w:rPr>
        <w:t>-muramidases which cleave the bond between Mur</w:t>
      </w:r>
      <w:r w:rsidRPr="00900361">
        <w:rPr>
          <w:rFonts w:ascii="Times New Roman" w:hAnsi="Times New Roman" w:cs="Times New Roman"/>
          <w:i/>
          <w:color w:val="000000" w:themeColor="text1"/>
          <w:sz w:val="24"/>
          <w:szCs w:val="24"/>
        </w:rPr>
        <w:t>N</w:t>
      </w:r>
      <w:r w:rsidRPr="00900361">
        <w:rPr>
          <w:rFonts w:ascii="Times New Roman" w:hAnsi="Times New Roman" w:cs="Times New Roman"/>
          <w:color w:val="000000" w:themeColor="text1"/>
          <w:sz w:val="24"/>
          <w:szCs w:val="24"/>
        </w:rPr>
        <w:t>Ac and Glc</w:t>
      </w:r>
      <w:r w:rsidRPr="00900361">
        <w:rPr>
          <w:rFonts w:ascii="Times New Roman" w:hAnsi="Times New Roman" w:cs="Times New Roman"/>
          <w:i/>
          <w:color w:val="000000" w:themeColor="text1"/>
          <w:sz w:val="24"/>
          <w:szCs w:val="24"/>
        </w:rPr>
        <w:t>N</w:t>
      </w:r>
      <w:r w:rsidRPr="00900361">
        <w:rPr>
          <w:rFonts w:ascii="Times New Roman" w:hAnsi="Times New Roman" w:cs="Times New Roman"/>
          <w:color w:val="000000" w:themeColor="text1"/>
          <w:sz w:val="24"/>
          <w:szCs w:val="24"/>
        </w:rPr>
        <w:t xml:space="preserve">Ac, and </w:t>
      </w:r>
      <w:r w:rsidRPr="00900361">
        <w:rPr>
          <w:rFonts w:ascii="Times New Roman" w:hAnsi="Times New Roman" w:cs="Times New Roman"/>
          <w:i/>
          <w:color w:val="000000" w:themeColor="text1"/>
          <w:sz w:val="24"/>
          <w:szCs w:val="24"/>
        </w:rPr>
        <w:t>N</w:t>
      </w:r>
      <w:r w:rsidRPr="00900361">
        <w:rPr>
          <w:rFonts w:ascii="Times New Roman" w:hAnsi="Times New Roman" w:cs="Times New Roman"/>
          <w:color w:val="000000" w:themeColor="text1"/>
          <w:sz w:val="24"/>
          <w:szCs w:val="24"/>
        </w:rPr>
        <w:t>-acetyl-β-</w:t>
      </w:r>
      <w:r w:rsidRPr="00900361">
        <w:rPr>
          <w:rFonts w:ascii="Times New Roman" w:hAnsi="Times New Roman" w:cs="Times New Roman"/>
          <w:color w:val="000000" w:themeColor="text1"/>
          <w:sz w:val="16"/>
          <w:szCs w:val="16"/>
        </w:rPr>
        <w:t>D</w:t>
      </w:r>
      <w:r w:rsidRPr="00900361">
        <w:rPr>
          <w:rFonts w:ascii="Times New Roman" w:hAnsi="Times New Roman" w:cs="Times New Roman"/>
          <w:color w:val="000000" w:themeColor="text1"/>
          <w:sz w:val="24"/>
          <w:szCs w:val="24"/>
        </w:rPr>
        <w:t>-glucosaminidases which cleave the bond between Glc</w:t>
      </w:r>
      <w:r w:rsidRPr="00900361">
        <w:rPr>
          <w:rFonts w:ascii="Times New Roman" w:hAnsi="Times New Roman" w:cs="Times New Roman"/>
          <w:i/>
          <w:color w:val="000000" w:themeColor="text1"/>
          <w:sz w:val="24"/>
          <w:szCs w:val="24"/>
        </w:rPr>
        <w:t>N</w:t>
      </w:r>
      <w:r w:rsidRPr="00900361">
        <w:rPr>
          <w:rFonts w:ascii="Times New Roman" w:hAnsi="Times New Roman" w:cs="Times New Roman"/>
          <w:color w:val="000000" w:themeColor="text1"/>
          <w:sz w:val="24"/>
          <w:szCs w:val="24"/>
        </w:rPr>
        <w:t>Ac and Mur</w:t>
      </w:r>
      <w:r w:rsidRPr="00900361">
        <w:rPr>
          <w:rFonts w:ascii="Times New Roman" w:hAnsi="Times New Roman" w:cs="Times New Roman"/>
          <w:i/>
          <w:color w:val="000000" w:themeColor="text1"/>
          <w:sz w:val="24"/>
          <w:szCs w:val="24"/>
        </w:rPr>
        <w:t>N</w:t>
      </w:r>
      <w:r w:rsidRPr="00900361">
        <w:rPr>
          <w:rFonts w:ascii="Times New Roman" w:hAnsi="Times New Roman" w:cs="Times New Roman"/>
          <w:color w:val="000000" w:themeColor="text1"/>
          <w:sz w:val="24"/>
          <w:szCs w:val="24"/>
        </w:rPr>
        <w:t xml:space="preserve">Ac (Figure 1.9B). </w:t>
      </w:r>
      <w:r w:rsidRPr="00900361">
        <w:rPr>
          <w:rFonts w:ascii="Times New Roman" w:hAnsi="Times New Roman" w:cs="Times New Roman"/>
          <w:i/>
          <w:color w:val="000000" w:themeColor="text1"/>
          <w:sz w:val="24"/>
          <w:szCs w:val="24"/>
        </w:rPr>
        <w:t>N</w:t>
      </w:r>
      <w:r w:rsidRPr="00900361">
        <w:rPr>
          <w:rFonts w:ascii="Times New Roman" w:hAnsi="Times New Roman" w:cs="Times New Roman"/>
          <w:color w:val="000000" w:themeColor="text1"/>
          <w:sz w:val="24"/>
          <w:szCs w:val="24"/>
        </w:rPr>
        <w:t>-acetyl-β-</w:t>
      </w:r>
      <w:r w:rsidRPr="00900361">
        <w:rPr>
          <w:rFonts w:ascii="Times New Roman" w:hAnsi="Times New Roman" w:cs="Times New Roman"/>
          <w:color w:val="000000" w:themeColor="text1"/>
          <w:sz w:val="16"/>
          <w:szCs w:val="16"/>
        </w:rPr>
        <w:t>D</w:t>
      </w:r>
      <w:r w:rsidRPr="00900361">
        <w:rPr>
          <w:rFonts w:ascii="Times New Roman" w:hAnsi="Times New Roman" w:cs="Times New Roman"/>
          <w:color w:val="000000" w:themeColor="text1"/>
          <w:sz w:val="24"/>
          <w:szCs w:val="24"/>
        </w:rPr>
        <w:t>-muramidases are further classed as lysozymes or lytic transglycosylases. Lysozymes hydrolyse the glycan strand to produce a reducing Mur</w:t>
      </w:r>
      <w:r w:rsidRPr="00900361">
        <w:rPr>
          <w:rFonts w:ascii="Times New Roman" w:hAnsi="Times New Roman" w:cs="Times New Roman"/>
          <w:i/>
          <w:color w:val="000000" w:themeColor="text1"/>
          <w:sz w:val="24"/>
          <w:szCs w:val="24"/>
        </w:rPr>
        <w:t>N</w:t>
      </w:r>
      <w:r w:rsidRPr="00900361">
        <w:rPr>
          <w:rFonts w:ascii="Times New Roman" w:hAnsi="Times New Roman" w:cs="Times New Roman"/>
          <w:color w:val="000000" w:themeColor="text1"/>
          <w:sz w:val="24"/>
          <w:szCs w:val="24"/>
        </w:rPr>
        <w:t xml:space="preserve">Ac terminus (Figure 1.9B). Lytic transglycosylases </w:t>
      </w:r>
      <w:r>
        <w:rPr>
          <w:rFonts w:ascii="Times New Roman" w:hAnsi="Times New Roman" w:cs="Times New Roman"/>
          <w:color w:val="000000" w:themeColor="text1"/>
          <w:sz w:val="24"/>
          <w:szCs w:val="24"/>
        </w:rPr>
        <w:t>cleave</w:t>
      </w:r>
      <w:r w:rsidRPr="00900361">
        <w:rPr>
          <w:rFonts w:ascii="Times New Roman" w:hAnsi="Times New Roman" w:cs="Times New Roman"/>
          <w:color w:val="000000" w:themeColor="text1"/>
          <w:sz w:val="24"/>
          <w:szCs w:val="24"/>
        </w:rPr>
        <w:t xml:space="preserve"> the glycosidic bond with concomitant transglycosylation of the Mur</w:t>
      </w:r>
      <w:r w:rsidRPr="00900361">
        <w:rPr>
          <w:rFonts w:ascii="Times New Roman" w:hAnsi="Times New Roman" w:cs="Times New Roman"/>
          <w:i/>
          <w:color w:val="000000" w:themeColor="text1"/>
          <w:sz w:val="24"/>
          <w:szCs w:val="24"/>
        </w:rPr>
        <w:t>N</w:t>
      </w:r>
      <w:r w:rsidRPr="00900361">
        <w:rPr>
          <w:rFonts w:ascii="Times New Roman" w:hAnsi="Times New Roman" w:cs="Times New Roman"/>
          <w:color w:val="000000" w:themeColor="text1"/>
          <w:sz w:val="24"/>
          <w:szCs w:val="24"/>
        </w:rPr>
        <w:t xml:space="preserve">Ac residue, forming of a 1,6-anhydro ring at the glycan strand terminus (Figure 1.9B;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{"citationID":"j7414rj41","properties":{"formattedCitation":"{\\rtf (H\\uc0\\u246{}ltje et al., 1975)}","plainCitation":"(Höltje et al., 1975)"},"citationItems":[{"id":41,"uris":["http://zotero.org/users/944474/items/3CR4V7K4"],"uri":["http://zotero.org/users/944474/items/3CR4V7K4"],"itemData":{"id":41,"type":"article-journal","title":"Novel type of murein transglycosylase in Escherichia coli","container-title":"Journal of Bacteriology","page":"1067-1076","volume":"124","issue":"3","abstract":"The purification and properties of a novel type of murein transglycosylase from Escherichia coli are described. The purified enzyme appears as a single band on sodium dodecyl sulfate-polyacrylamide gels and has an apparent molecular weight of approximately 65,000 as estimated by gel filtration and gel electrophoresis. It degrades pure murein sacculi from E. coli almost completely into low-molecular-weight products. The two prominent muropeptide fragments in the digest are the disaccharide-tripeptide N-acetylglucosamine-N-acetylmuramic acid-L-alanine-D-iso-glutamic acid-meso-diaminopimelic acid and the corresponding disaccharide-tetrapeptide N-acetylglucosamine-N-acetylmuramic acid-L-alanine-D-iso-glutamic acid-meso-diaminopimelic acid-D-alanine. The unique feature of these compounds is that the disaccharide has no reducing end group and that the muramic acid residue possesses an internal 1 leads to 6 anhydro linkage. The new lytic enzyme is designated as a murein: murein transglycosylase. Its possible role in the rearrangement of murein during cell growth and division is discussed.","note":"PMID: 357","journalAbbreviation":"J. Bacteriol.","author":[{"family":"Höltje","given":"J V"},{"family":"Mirelman","given":"D"},{"family":"Sharon","given":"N"},{"family":"Schwarz","given":"U"}],"issued":{"year":1975,"month":12},"accessed":{"year":2012,"month":3,"day":6},"page-first":"1067"}}],"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szCs w:val="24"/>
        </w:rPr>
        <w:t xml:space="preserve">Höltje </w:t>
      </w:r>
      <w:r w:rsidRPr="00C521B3">
        <w:rPr>
          <w:rFonts w:ascii="Times New Roman" w:hAnsi="Times New Roman" w:cs="Times New Roman"/>
          <w:i/>
          <w:color w:val="000000" w:themeColor="text1"/>
          <w:sz w:val="24"/>
          <w:szCs w:val="24"/>
        </w:rPr>
        <w:t>et al</w:t>
      </w:r>
      <w:r w:rsidRPr="00900361">
        <w:rPr>
          <w:rFonts w:ascii="Times New Roman" w:hAnsi="Times New Roman" w:cs="Times New Roman"/>
          <w:color w:val="000000" w:themeColor="text1"/>
          <w:sz w:val="24"/>
          <w:szCs w:val="24"/>
        </w:rPr>
        <w:t>., 1975)</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1</w:t>
      </w:r>
      <w:proofErr w:type="gramStart"/>
      <w:r w:rsidRPr="00900361">
        <w:rPr>
          <w:rFonts w:ascii="Times New Roman" w:hAnsi="Times New Roman" w:cs="Times New Roman"/>
          <w:color w:val="000000" w:themeColor="text1"/>
          <w:sz w:val="24"/>
          <w:szCs w:val="24"/>
        </w:rPr>
        <w:t>,6</w:t>
      </w:r>
      <w:proofErr w:type="gramEnd"/>
      <w:r w:rsidRPr="00900361">
        <w:rPr>
          <w:rFonts w:ascii="Times New Roman" w:hAnsi="Times New Roman" w:cs="Times New Roman"/>
          <w:color w:val="000000" w:themeColor="text1"/>
          <w:sz w:val="24"/>
          <w:szCs w:val="24"/>
        </w:rPr>
        <w:t>-anhydroMur</w:t>
      </w:r>
      <w:r w:rsidRPr="00900361">
        <w:rPr>
          <w:rFonts w:ascii="Times New Roman" w:hAnsi="Times New Roman" w:cs="Times New Roman"/>
          <w:i/>
          <w:color w:val="000000" w:themeColor="text1"/>
          <w:sz w:val="24"/>
          <w:szCs w:val="24"/>
        </w:rPr>
        <w:t>N</w:t>
      </w:r>
      <w:r w:rsidRPr="00900361">
        <w:rPr>
          <w:rFonts w:ascii="Times New Roman" w:hAnsi="Times New Roman" w:cs="Times New Roman"/>
          <w:color w:val="000000" w:themeColor="text1"/>
          <w:sz w:val="24"/>
          <w:szCs w:val="24"/>
        </w:rPr>
        <w:t xml:space="preserve">Ac </w:t>
      </w:r>
      <w:r>
        <w:rPr>
          <w:rFonts w:ascii="Times New Roman" w:hAnsi="Times New Roman" w:cs="Times New Roman"/>
          <w:color w:val="000000"/>
          <w:sz w:val="24"/>
          <w:szCs w:val="24"/>
        </w:rPr>
        <w:t xml:space="preserve">termini </w:t>
      </w:r>
    </w:p>
    <w:p w:rsidR="00BC7652" w:rsidRDefault="00BC7652" w:rsidP="00BC7652">
      <w:pPr>
        <w:autoSpaceDE w:val="0"/>
        <w:autoSpaceDN w:val="0"/>
        <w:adjustRightInd w:val="0"/>
        <w:spacing w:after="120" w:line="480" w:lineRule="auto"/>
        <w:jc w:val="both"/>
        <w:rPr>
          <w:rFonts w:ascii="Times New Roman" w:hAnsi="Times New Roman" w:cs="Times New Roman"/>
          <w:color w:val="FFFFFF" w:themeColor="background1"/>
          <w:sz w:val="2"/>
          <w:szCs w:val="2"/>
        </w:rPr>
      </w:pPr>
      <w:r>
        <w:rPr>
          <w:rFonts w:ascii="Times New Roman" w:hAnsi="Times New Roman" w:cs="Times New Roman"/>
          <w:noProof/>
          <w:color w:val="000000"/>
          <w:sz w:val="24"/>
          <w:szCs w:val="24"/>
          <w:lang w:eastAsia="en-GB"/>
        </w:rPr>
        <w:lastRenderedPageBreak/>
        <w:drawing>
          <wp:inline distT="0" distB="0" distL="0" distR="0">
            <wp:extent cx="5277600" cy="6045609"/>
            <wp:effectExtent l="19050" t="0" r="0" b="0"/>
            <wp:docPr id="22" name="Picture 20" descr="Hydrolase cleavage site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drolase cleavage sites.emf"/>
                    <pic:cNvPicPr/>
                  </pic:nvPicPr>
                  <pic:blipFill>
                    <a:blip r:embed="rId21" cstate="print"/>
                    <a:srcRect l="3249"/>
                    <a:stretch>
                      <a:fillRect/>
                    </a:stretch>
                  </pic:blipFill>
                  <pic:spPr>
                    <a:xfrm>
                      <a:off x="0" y="0"/>
                      <a:ext cx="5277600" cy="6045609"/>
                    </a:xfrm>
                    <a:prstGeom prst="rect">
                      <a:avLst/>
                    </a:prstGeom>
                  </pic:spPr>
                </pic:pic>
              </a:graphicData>
            </a:graphic>
          </wp:inline>
        </w:drawing>
      </w:r>
    </w:p>
    <w:p w:rsidR="00BC7652" w:rsidRPr="00CB4847" w:rsidRDefault="00BC7652" w:rsidP="00BC7652">
      <w:pPr>
        <w:autoSpaceDE w:val="0"/>
        <w:autoSpaceDN w:val="0"/>
        <w:adjustRightInd w:val="0"/>
        <w:spacing w:after="120" w:line="480" w:lineRule="auto"/>
        <w:jc w:val="both"/>
        <w:rPr>
          <w:rFonts w:ascii="Times New Roman" w:hAnsi="Times New Roman" w:cs="Times New Roman"/>
          <w:color w:val="000000"/>
          <w:sz w:val="24"/>
          <w:szCs w:val="24"/>
        </w:rPr>
      </w:pPr>
    </w:p>
    <w:p w:rsidR="00BC7652" w:rsidRPr="00900361" w:rsidRDefault="00BC7652" w:rsidP="00BC7652">
      <w:pPr>
        <w:spacing w:line="360" w:lineRule="auto"/>
        <w:jc w:val="both"/>
        <w:rPr>
          <w:rFonts w:ascii="Times New Roman" w:hAnsi="Times New Roman" w:cs="Times New Roman"/>
          <w:color w:val="000000" w:themeColor="text1"/>
          <w:sz w:val="24"/>
          <w:szCs w:val="24"/>
        </w:rPr>
      </w:pPr>
      <w:proofErr w:type="gramStart"/>
      <w:r w:rsidRPr="008D7BBF">
        <w:rPr>
          <w:rFonts w:ascii="Times New Roman" w:hAnsi="Times New Roman" w:cs="Times New Roman"/>
          <w:b/>
          <w:color w:val="000000"/>
          <w:sz w:val="24"/>
          <w:szCs w:val="24"/>
        </w:rPr>
        <w:t>Figure 1.</w:t>
      </w:r>
      <w:r>
        <w:rPr>
          <w:rFonts w:ascii="Times New Roman" w:hAnsi="Times New Roman" w:cs="Times New Roman"/>
          <w:b/>
          <w:color w:val="000000"/>
          <w:sz w:val="24"/>
          <w:szCs w:val="24"/>
        </w:rPr>
        <w:t>9</w:t>
      </w:r>
      <w:r w:rsidRPr="008D7BBF">
        <w:rPr>
          <w:rFonts w:ascii="Times New Roman" w:hAnsi="Times New Roman" w:cs="Times New Roman"/>
          <w:b/>
          <w:color w:val="000000"/>
          <w:sz w:val="24"/>
          <w:szCs w:val="24"/>
        </w:rPr>
        <w:t>.</w:t>
      </w:r>
      <w:proofErr w:type="gramEnd"/>
      <w:r w:rsidRPr="008D7BBF">
        <w:rPr>
          <w:rFonts w:ascii="Times New Roman" w:hAnsi="Times New Roman" w:cs="Times New Roman"/>
          <w:b/>
          <w:color w:val="000000"/>
          <w:sz w:val="24"/>
          <w:szCs w:val="24"/>
        </w:rPr>
        <w:t xml:space="preserve"> </w:t>
      </w:r>
      <w:proofErr w:type="gramStart"/>
      <w:r w:rsidRPr="008D7BBF">
        <w:rPr>
          <w:rFonts w:ascii="Times New Roman" w:hAnsi="Times New Roman" w:cs="Times New Roman"/>
          <w:b/>
          <w:color w:val="000000"/>
          <w:sz w:val="24"/>
          <w:szCs w:val="24"/>
        </w:rPr>
        <w:t>The specificity of peptidoglycan hydrolases</w:t>
      </w:r>
      <w:r>
        <w:rPr>
          <w:rFonts w:ascii="Times New Roman" w:hAnsi="Times New Roman" w:cs="Times New Roman"/>
          <w:b/>
          <w:color w:val="000000"/>
          <w:sz w:val="24"/>
          <w:szCs w:val="24"/>
        </w:rPr>
        <w:t>.</w:t>
      </w:r>
      <w:proofErr w:type="gramEnd"/>
      <w:r w:rsidRPr="008D7BBF">
        <w:rPr>
          <w:rFonts w:ascii="Times New Roman" w:hAnsi="Times New Roman" w:cs="Times New Roman"/>
          <w:color w:val="000000"/>
          <w:sz w:val="24"/>
          <w:szCs w:val="24"/>
        </w:rPr>
        <w:t xml:space="preserve"> A typical peptidoglycan structure </w:t>
      </w:r>
      <w:r>
        <w:rPr>
          <w:rFonts w:ascii="Times New Roman" w:hAnsi="Times New Roman" w:cs="Times New Roman"/>
          <w:color w:val="000000"/>
          <w:sz w:val="24"/>
          <w:szCs w:val="24"/>
        </w:rPr>
        <w:t xml:space="preserve">is shown demonstrating the major bonds targeted by peptidoglycan hydrolases. </w:t>
      </w:r>
      <w:proofErr w:type="gramStart"/>
      <w:r>
        <w:rPr>
          <w:rFonts w:ascii="Times New Roman" w:hAnsi="Times New Roman" w:cs="Times New Roman"/>
          <w:color w:val="000000"/>
          <w:sz w:val="24"/>
          <w:szCs w:val="24"/>
        </w:rPr>
        <w:t>A, Hydrolysis by peptidases and amidases.</w:t>
      </w:r>
      <w:proofErr w:type="gramEnd"/>
      <w:r>
        <w:rPr>
          <w:rFonts w:ascii="Times New Roman" w:hAnsi="Times New Roman" w:cs="Times New Roman"/>
          <w:color w:val="000000"/>
          <w:sz w:val="24"/>
          <w:szCs w:val="24"/>
        </w:rPr>
        <w:t xml:space="preserve"> Three classes of enzyme hydrolyse glycosidic bonds of the glycan strand. </w:t>
      </w:r>
      <w:proofErr w:type="gramStart"/>
      <w:r>
        <w:rPr>
          <w:rFonts w:ascii="Times New Roman" w:hAnsi="Times New Roman" w:cs="Times New Roman"/>
          <w:color w:val="000000"/>
          <w:sz w:val="24"/>
          <w:szCs w:val="24"/>
        </w:rPr>
        <w:t xml:space="preserve">R, peptide stem; Ami, </w:t>
      </w:r>
      <w:r>
        <w:rPr>
          <w:rFonts w:ascii="Times New Roman" w:hAnsi="Times New Roman" w:cs="Times New Roman"/>
          <w:i/>
          <w:color w:val="000000"/>
          <w:sz w:val="24"/>
          <w:szCs w:val="24"/>
        </w:rPr>
        <w:t>N</w:t>
      </w:r>
      <w:r>
        <w:rPr>
          <w:rFonts w:ascii="Times New Roman" w:hAnsi="Times New Roman" w:cs="Times New Roman"/>
          <w:color w:val="000000"/>
          <w:sz w:val="24"/>
          <w:szCs w:val="24"/>
        </w:rPr>
        <w:t>-acetylmuramyl-</w:t>
      </w:r>
      <w:r w:rsidRPr="00B0666F">
        <w:rPr>
          <w:rFonts w:ascii="Times New Roman" w:hAnsi="Times New Roman" w:cs="Times New Roman"/>
          <w:color w:val="000000"/>
          <w:sz w:val="18"/>
          <w:szCs w:val="18"/>
        </w:rPr>
        <w:t>L</w:t>
      </w:r>
      <w:r>
        <w:rPr>
          <w:rFonts w:ascii="Times New Roman" w:hAnsi="Times New Roman" w:cs="Times New Roman"/>
          <w:color w:val="000000"/>
          <w:sz w:val="24"/>
          <w:szCs w:val="24"/>
        </w:rPr>
        <w:t>-alanine amidase; (</w:t>
      </w:r>
      <w:r w:rsidRPr="008D7BBF">
        <w:rPr>
          <w:rFonts w:ascii="Times New Roman" w:hAnsi="Times New Roman" w:cs="Times New Roman"/>
          <w:color w:val="000000"/>
          <w:sz w:val="16"/>
          <w:szCs w:val="16"/>
        </w:rPr>
        <w:t>DD</w:t>
      </w:r>
      <w:r>
        <w:rPr>
          <w:rFonts w:ascii="Times New Roman" w:hAnsi="Times New Roman" w:cs="Times New Roman"/>
          <w:color w:val="000000"/>
          <w:sz w:val="24"/>
          <w:szCs w:val="24"/>
        </w:rPr>
        <w:t xml:space="preserve">-CPase, </w:t>
      </w:r>
      <w:r w:rsidRPr="008D7BBF">
        <w:rPr>
          <w:rFonts w:ascii="Times New Roman" w:hAnsi="Times New Roman" w:cs="Times New Roman"/>
          <w:color w:val="000000"/>
          <w:sz w:val="16"/>
          <w:szCs w:val="16"/>
        </w:rPr>
        <w:t>LD</w:t>
      </w:r>
      <w:r>
        <w:rPr>
          <w:rFonts w:ascii="Times New Roman" w:hAnsi="Times New Roman" w:cs="Times New Roman"/>
          <w:color w:val="000000"/>
          <w:sz w:val="24"/>
          <w:szCs w:val="24"/>
        </w:rPr>
        <w:t xml:space="preserve">-CPase, </w:t>
      </w:r>
      <w:r w:rsidRPr="008D7BBF">
        <w:rPr>
          <w:rFonts w:ascii="Times New Roman" w:hAnsi="Times New Roman" w:cs="Times New Roman"/>
          <w:color w:val="000000"/>
          <w:sz w:val="16"/>
          <w:szCs w:val="16"/>
        </w:rPr>
        <w:t>DL</w:t>
      </w:r>
      <w:r>
        <w:rPr>
          <w:rFonts w:ascii="Times New Roman" w:hAnsi="Times New Roman" w:cs="Times New Roman"/>
          <w:color w:val="000000"/>
          <w:sz w:val="24"/>
          <w:szCs w:val="24"/>
        </w:rPr>
        <w:t>-CPase), Carboxypeptidase; (</w:t>
      </w:r>
      <w:r w:rsidRPr="008D7BBF">
        <w:rPr>
          <w:rFonts w:ascii="Times New Roman" w:hAnsi="Times New Roman" w:cs="Times New Roman"/>
          <w:color w:val="000000"/>
          <w:sz w:val="16"/>
          <w:szCs w:val="16"/>
        </w:rPr>
        <w:t>DD</w:t>
      </w:r>
      <w:r>
        <w:rPr>
          <w:rFonts w:ascii="Times New Roman" w:hAnsi="Times New Roman" w:cs="Times New Roman"/>
          <w:color w:val="000000"/>
          <w:sz w:val="24"/>
          <w:szCs w:val="24"/>
        </w:rPr>
        <w:t xml:space="preserve">-EPase, </w:t>
      </w:r>
      <w:r w:rsidRPr="008D7BBF">
        <w:rPr>
          <w:rFonts w:ascii="Times New Roman" w:hAnsi="Times New Roman" w:cs="Times New Roman"/>
          <w:color w:val="000000"/>
          <w:sz w:val="16"/>
          <w:szCs w:val="16"/>
        </w:rPr>
        <w:t>LD</w:t>
      </w:r>
      <w:r>
        <w:rPr>
          <w:rFonts w:ascii="Times New Roman" w:hAnsi="Times New Roman" w:cs="Times New Roman"/>
          <w:color w:val="000000"/>
          <w:sz w:val="24"/>
          <w:szCs w:val="24"/>
        </w:rPr>
        <w:t xml:space="preserve">-EPase, </w:t>
      </w:r>
      <w:r w:rsidRPr="00900361">
        <w:rPr>
          <w:rFonts w:ascii="Times New Roman" w:hAnsi="Times New Roman" w:cs="Times New Roman"/>
          <w:color w:val="000000" w:themeColor="text1"/>
          <w:sz w:val="16"/>
          <w:szCs w:val="16"/>
        </w:rPr>
        <w:t>DL</w:t>
      </w:r>
      <w:r w:rsidRPr="00900361">
        <w:rPr>
          <w:rFonts w:ascii="Times New Roman" w:hAnsi="Times New Roman" w:cs="Times New Roman"/>
          <w:color w:val="000000" w:themeColor="text1"/>
          <w:sz w:val="24"/>
          <w:szCs w:val="24"/>
        </w:rPr>
        <w:t>-EPase), Endopeptidase.</w:t>
      </w:r>
      <w:proofErr w:type="gramEnd"/>
      <w:r w:rsidRPr="00900361">
        <w:rPr>
          <w:rFonts w:ascii="Times New Roman" w:hAnsi="Times New Roman" w:cs="Times New Roman"/>
          <w:color w:val="000000" w:themeColor="text1"/>
          <w:sz w:val="24"/>
          <w:szCs w:val="24"/>
        </w:rPr>
        <w:t xml:space="preserve"> B, Hydrolysis of glycan strands by glycosidases. Adapted from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{"citationID":"p31n4io4b","properties":{"formattedCitation":"(Vollmer et al., 2008)","plainCitation":"(Vollmer et al., 2008)"},"citationItems":[{"id":36,"uris":["http://zotero.org/users/944474/items/GNMZZW6M"],"uri":["http://zotero.org/users/944474/items/GNMZZW6M"],"itemData":{"id":36,"type":"article-journal","title":"Bacterial peptidoglycan (murein) hydrolases","container-title":"FEMS Microbiology Reviews","page":"259-286","volume":"32","issue":"2","DOI":"10.1111/j.1574-6976.2007.00099.x","author":[{"family":"Vollmer","given":"Waldemar"},{"family":"Joris","given":"Bernard"},{"family":"Charlier","given":"Paulette"},{"family":"Foster","given":"Simon"}],"issued":{"year":2008,"month":3},"accessed":{"year":2012,"month":3,"day":6},"page-first":"259"}}],"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(Vollmer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2008)</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w:t>
      </w:r>
    </w:p>
    <w:p w:rsidR="00BC7652" w:rsidRPr="00900361" w:rsidRDefault="00BC7652" w:rsidP="00BC7652">
      <w:pPr>
        <w:rPr>
          <w:rFonts w:ascii="Times New Roman" w:hAnsi="Times New Roman" w:cs="Times New Roman"/>
          <w:color w:val="000000" w:themeColor="text1"/>
          <w:sz w:val="24"/>
          <w:szCs w:val="24"/>
        </w:rPr>
      </w:pPr>
      <w:r w:rsidRPr="00900361">
        <w:rPr>
          <w:rFonts w:ascii="Times New Roman" w:hAnsi="Times New Roman" w:cs="Times New Roman"/>
          <w:color w:val="000000" w:themeColor="text1"/>
          <w:sz w:val="24"/>
          <w:szCs w:val="24"/>
        </w:rPr>
        <w:br w:type="page"/>
      </w:r>
    </w:p>
    <w:p w:rsidR="00BC7652" w:rsidRPr="00900361" w:rsidRDefault="00BC7652" w:rsidP="00BC7652">
      <w:pPr>
        <w:autoSpaceDE w:val="0"/>
        <w:autoSpaceDN w:val="0"/>
        <w:adjustRightInd w:val="0"/>
        <w:spacing w:after="12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sz w:val="24"/>
          <w:szCs w:val="24"/>
        </w:rPr>
        <w:lastRenderedPageBreak/>
        <w:t xml:space="preserve">predominate in </w:t>
      </w:r>
      <w:r>
        <w:rPr>
          <w:rFonts w:ascii="Times New Roman" w:hAnsi="Times New Roman" w:cs="Times New Roman"/>
          <w:i/>
          <w:color w:val="000000"/>
          <w:sz w:val="24"/>
          <w:szCs w:val="24"/>
        </w:rPr>
        <w:t>E. coli</w:t>
      </w:r>
      <w:r>
        <w:rPr>
          <w:rFonts w:ascii="Times New Roman" w:hAnsi="Times New Roman" w:cs="Times New Roman"/>
          <w:color w:val="000000"/>
          <w:sz w:val="24"/>
          <w:szCs w:val="24"/>
        </w:rPr>
        <w:t xml:space="preserve"> and other Gram-negative bacteria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{"citationID":"25ll8taed1","properties":{"formattedCitation":"(Harz et al., 1990; Quintela et al., 1995)","plainCitation":"(Harz et al., 1990; Quintela et al., 1995)"},"citationItems":[{"id":101,"uris":["http://zotero.org/users/944474/items/26HBHW3P"],"uri":["http://zotero.org/users/944474/items/26HBHW3P"],"itemData":{"id":101,"type":"article-journal","title":"Isolation and separation of the glycan strands from murein of Escherichia coli by reversed-phase high-performance liquid chromatography","container-title":"Analytical Biochemistry","page":"120-128","volume":"190","issue":"1","abstract":"The length distribution of the glycan strands in the murein (peptidoglycan) sacculus of Escherichia coli has been analyzed after solubilization of the murein by complete digestion with human serum amidase. The glycan strands released were separated according to length by reversed-phase HPLC on wide-pore Nucleosil 300 C18 material at 50 degrees C, employing a convex gradient from 5 to 11% acetonitrile. The length of the fractionated glycan strands, which carry a nonreducing 1,6-anhydromuramic acid as a natural end group, was calculated from the ratio of total to nonreducing terminal muramic acid residues. This was possible after complete hydrolysis of the isolated glycan strands by muramidase followed by separation of the released nonreducing and reducing di- and tetrasaccharides by reversed-phase HPLC on Hypersil C18. The method established allows the separation of the glycan strands of murein, a poly-GlcNAc(beta 1-4)MurNAc-polysaccharide, up to a degree of polymerization of approximately 60. The predominant lengths of the glycan strands were 5 to 10 GlcNAc(beta 1-4)MurNAc disaccharide units.","note":"PMID: 2285138","journalAbbreviation":"Anal. Biochem.","author":[{"family":"Harz","given":"H"},{"family":"Burgdorf","given":"K"},{"family":"Höltje","given":"J V"}],"issued":{"year":1990,"month":10},"accessed":{"year":2012,"month":4,"day":2},"page-first":"120"}},{"id":376,"uris":["http://zotero.org/users/944474/items/ANFX94PG"],"uri":["http://zotero.org/users/944474/items/ANFX94PG"],"itemData":{"id":376,"type":"article-journal","title":"Variability of peptidoglycan structural parameters in gram-negative bacteria","container-title":"FEMS microbiology letters","page":"95-100","volume":"125","issue":"1","abstract":"Muropeptide composition of peptidoglycan from the Gram-negative bacteria Aeromonas sp., Acinetobacter acetoaceticus, Agrobacterium tumefaciens, Enterobacter cloacae, Proteus morganii, Pseudomonas aeruginosa, Pseudomonas putida, Vibrio parahaemolyticus Yersinia enterocolitica and Escherichia coli, was analyzed by HPLC. In all instances peptidoglycan was built up from the same subunits. A wide disparity in the relative abundance of muropeptides and all structural parameters was observed. The contribution of LD-A2pm-A2pm cross-linked muropeptides was extremely variable; from 1 to 45% of cross-linked muropeptides. Muropeptides with the dipeptides Lys-Lys or Arg-Lys, indicative of murein-bound (lipo)proteins, were detected in all instances although abundance was very variable.","note":"PMID: 7867925","journalAbbreviation":"FEMS Microbiol. Lett.","author":[{"family":"Quintela","given":"J C"},{"family":"Caparrós","given":"M"},{"family":"de Pedro","given":"M A"}],"issued":{"year":1995,"month":1,"day":1},"accessed":{"year":2012,"month":6,"day":5},"page-first":"95"}}],"schema":"https://github.com/citation-style-language/schema/raw/master/csl-citation.json"}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(Harz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xml:space="preserve">., 1990; Quintela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1995)</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In Gram-positive bacteria, lytic transglycosylases make a minor contribution (&lt;0.5% of muropeptide material in </w:t>
      </w:r>
      <w:r w:rsidRPr="00900361">
        <w:rPr>
          <w:rFonts w:ascii="Times New Roman" w:hAnsi="Times New Roman" w:cs="Times New Roman"/>
          <w:i/>
          <w:color w:val="000000" w:themeColor="text1"/>
          <w:sz w:val="24"/>
          <w:szCs w:val="24"/>
        </w:rPr>
        <w:t>B. subtilis</w:t>
      </w:r>
      <w:r w:rsidRPr="00900361">
        <w:rPr>
          <w:rFonts w:ascii="Times New Roman" w:hAnsi="Times New Roman" w:cs="Times New Roman"/>
          <w:color w:val="000000" w:themeColor="text1"/>
          <w:sz w:val="24"/>
          <w:szCs w:val="24"/>
        </w:rPr>
        <w:t xml:space="preserve">) to the processing of glycan strands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{"citationID":"10039aa7iu","properties":{"formattedCitation":"(Atrih et al., 1999)","plainCitation":"(Atrih et al., 1999)"},"citationItems":[{"id":106,"uris":["http://zotero.org/users/944474/items/E6ABDSW8"],"uri":["http://zotero.org/users/944474/items/E6ABDSW8"],"itemData":{"id":106,"type":"article-journal","title":"Analysis of peptidoglycan structure from vegetative cells of Bacillus subtilis 168 and role of PBP 5 in peptidoglycan maturation","container-title":"Journal of Bacteriology","page":"3956-3966","volume":"181","issue":"13","abstract":"The composition and fine structure of the vegetative cell wall peptidoglycan from Bacillus subtilis were determined by analysis of its constituent muropeptides. The structures of 39 muropeptides, representing 97% of the total peptidoglycan, were elucidated. About 99% analyzed muropeptides in B. subtilis vegetative cell peptidoglycan have the free carboxylic group of diaminopimelic acid amidated. Anhydromuropeptides and products missing a glucosamine at the nonreducing terminus account for 0.4 and 1.5%, respectively, of the total muropeptides. These two types of muropeptides are suggested to end glycan strands. An unexpected feature of B. subtilis muropeptides was the occurrence of a glycine residue in position 5 of the peptide side chain on monomers or oligomers, which account for 2.7% of the total muropeptides. This amount is, however, dependent on the composition of the growth media. Potential attachment sites for anionic polymers to peptidoglycan occur on dominant muropeptides and account for 2.1% of the total. B. subtilis peptidoglycan is incompletely digested by lysozyme due to de-N-acetylation of glucosamine, which occurs on 17.3% of muropeptides. The cross-linking index of the polymer changes with the growth phase. It is highest in late stationary phase, with a value of 33.2 or 44% per muramic acid residue, as determined by reverse-phase high-pressure liquid chromatography or gel filtration, respectively. Analysis of the muropeptide composition of a dacA (PBP 5) mutant shows a dramatic decrease of muropeptides with tripeptide side chains and an increase or appearance of muropeptides with pentapeptide side chains in monomers or oligomers. The total muropeptides with pentapeptide side chains accounts for almost 82% in the dacA mutant. This major low-molecular-weight PBP (DD-carboxypeptidase) is suggested to play a role in peptidoglycan maturation.","note":"PMID: 10383963","journalAbbreviation":"J. Bacteriol.","author":[{"family":"Atrih","given":"A"},{"family":"Bacher","given":"G"},{"family":"Allmaier","given":"G"},{"family":"Williamson","given":"M P"},{"family":"Foster","given":"S J"}],"issued":{"year":1999,"month":7},"accessed":{"year":2012,"month":4,"day":2},"page-first":"3956"}}],"schema":"https://github.com/citation-style-language/schema/raw/master/csl-citation.json"}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(Atrih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1999)</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w:t>
      </w:r>
    </w:p>
    <w:p w:rsidR="00BC7652" w:rsidRPr="00900361" w:rsidRDefault="00BC7652" w:rsidP="00BC7652">
      <w:pPr>
        <w:rPr>
          <w:rFonts w:ascii="Times New Roman" w:hAnsi="Times New Roman" w:cs="Times New Roman"/>
          <w:color w:val="000000" w:themeColor="text1"/>
          <w:sz w:val="24"/>
          <w:szCs w:val="24"/>
        </w:rPr>
      </w:pPr>
    </w:p>
    <w:p w:rsidR="00BC7652" w:rsidRPr="00900361" w:rsidRDefault="00BC7652" w:rsidP="00BC7652">
      <w:pPr>
        <w:tabs>
          <w:tab w:val="left" w:pos="1276"/>
        </w:tabs>
        <w:spacing w:after="120" w:line="480" w:lineRule="auto"/>
        <w:jc w:val="both"/>
        <w:rPr>
          <w:rFonts w:ascii="Times New Roman" w:hAnsi="Times New Roman" w:cs="Times New Roman"/>
          <w:color w:val="000000" w:themeColor="text1"/>
          <w:sz w:val="28"/>
          <w:szCs w:val="28"/>
        </w:rPr>
      </w:pPr>
      <w:r w:rsidRPr="00900361">
        <w:rPr>
          <w:rFonts w:ascii="Times New Roman" w:hAnsi="Times New Roman" w:cs="Times New Roman"/>
          <w:color w:val="000000" w:themeColor="text1"/>
          <w:sz w:val="28"/>
          <w:szCs w:val="28"/>
        </w:rPr>
        <w:t>1.7.2</w:t>
      </w:r>
      <w:r w:rsidRPr="00900361">
        <w:rPr>
          <w:rFonts w:ascii="Times New Roman" w:hAnsi="Times New Roman" w:cs="Times New Roman"/>
          <w:color w:val="000000" w:themeColor="text1"/>
          <w:sz w:val="28"/>
          <w:szCs w:val="28"/>
        </w:rPr>
        <w:tab/>
        <w:t>The physiological role of peptidoglycan hydrolases</w:t>
      </w:r>
    </w:p>
    <w:p w:rsidR="00BC7652" w:rsidRPr="00900361" w:rsidRDefault="00BC7652" w:rsidP="00BC7652">
      <w:pPr>
        <w:autoSpaceDE w:val="0"/>
        <w:autoSpaceDN w:val="0"/>
        <w:adjustRightInd w:val="0"/>
        <w:spacing w:after="120" w:line="480" w:lineRule="auto"/>
        <w:jc w:val="both"/>
        <w:rPr>
          <w:rFonts w:ascii="Times New Roman" w:hAnsi="Times New Roman" w:cs="Times New Roman"/>
          <w:color w:val="000000" w:themeColor="text1"/>
          <w:sz w:val="24"/>
          <w:szCs w:val="24"/>
        </w:rPr>
      </w:pPr>
      <w:r w:rsidRPr="00900361">
        <w:rPr>
          <w:rFonts w:ascii="Times New Roman" w:hAnsi="Times New Roman" w:cs="Times New Roman"/>
          <w:color w:val="000000" w:themeColor="text1"/>
          <w:sz w:val="24"/>
          <w:szCs w:val="24"/>
        </w:rPr>
        <w:t xml:space="preserve">It is difficult to determine the contribution of specific hydrolases to bacterial cell physiology, as bacteria possess multiple, redundant enzymes, and may have more than one activity. </w:t>
      </w:r>
      <w:r w:rsidRPr="00900361">
        <w:rPr>
          <w:rFonts w:ascii="Times New Roman" w:hAnsi="Times New Roman" w:cs="Times New Roman"/>
          <w:i/>
          <w:color w:val="000000" w:themeColor="text1"/>
          <w:sz w:val="24"/>
          <w:szCs w:val="24"/>
        </w:rPr>
        <w:t xml:space="preserve">E. coli </w:t>
      </w:r>
      <w:r w:rsidRPr="00900361">
        <w:rPr>
          <w:rFonts w:ascii="Times New Roman" w:hAnsi="Times New Roman" w:cs="Times New Roman"/>
          <w:color w:val="000000" w:themeColor="text1"/>
          <w:sz w:val="24"/>
          <w:szCs w:val="24"/>
        </w:rPr>
        <w:t xml:space="preserve">remains viable despite inactivation of up to 7 of the 21 known peptidoglycan hydrolases, including apparently complete classes of enzyme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{"citationID":"b9kaq777h","properties":{"formattedCitation":"(Heidrich et al., 2002)","plainCitation":"(Heidrich et al., 2002)"},"citationItems":[{"id":11,"uris":["http://zotero.org/users/944474/items/I3B2EM5S"],"uri":["http://zotero.org/users/944474/items/I3B2EM5S"],"itemData":{"id":11,"type":"article-journal","title":"Effects of multiple deletions of murein hydrolases on viability, septum cleavage, and sensitivity to large toxic molecules in Escherichia coli","container-title":"Journal of Bacteriology","page":"6093-6099","volume":"184","issue":"22","abstract":"The multiplicity of murein hydrolases found in most bacteria presents an obstacle to demonstrating the necessity of these potentially autolytic enzymes. Therefore, Escherichia coli mutants with deletions in multiple murein hydrolases, including lytic transglycosylases, amidases, and DD-endopeptidases, were constructed. Even a mutant from which seven different hydrolases were deleted was viable and grew at a normal rate. However, penicillin-induced lysis was retarded. Most of the mutants were affected in septum cleavage, which resulted in the formation of chains of cells. All three enzymes were shown to be capable of splitting the septum. Failure to cleave the septum resulted in an increase in outer membrane permeability, and thus the murein hydrolase mutants did not grow on MacConkey agar plates. In addition, the hydrolase mutants not only could be lysed by lysozyme in the absence of EDTA but also were sensitive to high-molecular-weight antibiotics, such as vancomycin and bacitracin, which are normally ineffective against E. coli.","note":"PMID: 12399477","journalAbbreviation":"J. Bacteriol.","author":[{"family":"Heidrich","given":"Christoph"},{"family":"Ursinus","given":"Astrid"},{"family":"Berger","given":"Jürgen"},{"family":"Schwarz","given":"Heinz"},{"family":"Höltje","given":"Joachim-Volker"}],"issued":{"year":2002,"month":11},"accessed":{"year":2012,"month":3,"day":6},"page-first":"6093"}}],"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(Heidrich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2002)</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The Gram-positive, sporulating bacterium </w:t>
      </w:r>
      <w:r w:rsidRPr="00900361">
        <w:rPr>
          <w:rFonts w:ascii="Times New Roman" w:hAnsi="Times New Roman" w:cs="Times New Roman"/>
          <w:i/>
          <w:color w:val="000000" w:themeColor="text1"/>
          <w:sz w:val="24"/>
          <w:szCs w:val="24"/>
        </w:rPr>
        <w:t>B. subtilis</w:t>
      </w:r>
      <w:r w:rsidRPr="00900361">
        <w:rPr>
          <w:rFonts w:ascii="Times New Roman" w:hAnsi="Times New Roman" w:cs="Times New Roman"/>
          <w:color w:val="000000" w:themeColor="text1"/>
          <w:sz w:val="24"/>
          <w:szCs w:val="24"/>
        </w:rPr>
        <w:t xml:space="preserve"> has an even larger complement of 35 known putative peptidoglycan hydrolases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{"citationID":"29imb1891r","properties":{"formattedCitation":"(Smith et al., 2000)","plainCitation":"(Smith et al., 2000)"},"citationItems":[{"id":29,"uris":["http://zotero.org/users/944474/items/PW3FWR5H"],"uri":["http://zotero.org/users/944474/items/PW3FWR5H"],"itemData":{"id":29,"type":"article-journal","title":"Autolysins of Bacillus subtilis: multiple enzymes with multiple functions","container-title":"Microbiology (Reading, England)","page":"249-262","volume":"146 ( Pt 2)","note":"PMID: 10708363","shortTitle":"Autolysins of Bacillus subtilis","journalAbbreviation":"Microbiology (Reading, Engl.)","author":[{"family":"Smith","given":"T J"},{"family":"Blackman","given":"S A"},{"family":"Foster","given":"S J"}],"issued":{"year":2000,"month":2},"accessed":{"year":2012,"month":3,"day":6},"page-first":"249"}}],"schema":"https://github.com/citation-style-language/schema/raw/master/csl-citation.json"}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(Smith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2000)</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The major activity of peptidoglycan hydrolases occurs during vegetative growth and division. However many are required for more specialised functions. These include differentiation to endospores, assembly of macromolecular </w:t>
      </w:r>
      <w:r w:rsidRPr="00900361">
        <w:rPr>
          <w:rFonts w:ascii="Times New Roman" w:hAnsi="Times New Roman" w:cs="Times New Roman"/>
          <w:i/>
          <w:color w:val="000000" w:themeColor="text1"/>
          <w:sz w:val="24"/>
          <w:szCs w:val="24"/>
        </w:rPr>
        <w:t>trans</w:t>
      </w:r>
      <w:r w:rsidRPr="00900361">
        <w:rPr>
          <w:rFonts w:ascii="Times New Roman" w:hAnsi="Times New Roman" w:cs="Times New Roman"/>
          <w:color w:val="000000" w:themeColor="text1"/>
          <w:sz w:val="24"/>
          <w:szCs w:val="24"/>
        </w:rPr>
        <w:t xml:space="preserve">-envelope complexes, competition, competence and biofilm formation. Autolysins also participate in host-pathogen interaction. They induce innate and adaptive immune responses through host recognition of soluble muropeptides, and are involved in immune evasion through alteration of the cell wall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ZOTERO_TEMP </w:instrTex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{"citationID":"2co9spfhci","properties":{"formattedCitation":"{\\rtf (Girardin and Philpott, 2004; Dziarski and Gupta, 2005, 2010; Amieva and El\\uc0\\u8211{}Omar, 2008)}","plainCitation":"(Girardin and Philpott, 2004; Dziarski and Gupta, 2005, 2010; Amieva and El–Omar, 2008)"},"citationItems":[{"id":628,"uris":["http://zotero.org/users/944474/items/DKSD2QDA"],"uri":["http://zotero.org/users/944474/items/DKSD2QDA"],"itemData":{"id":628,"type":"article-journal","title":"Mini-review: The role of peptidoglycan recognition in innate immunity","container-title":"European Journal of Immunology","page":"1777–1782","volume":"34","issue":"7","abstract":"The importance of peptidoglycan detection in the host innate immune response has long been underestimated. However, the recent identification of proteins involved in the sensing of peptidoglycan in both mammals and Drosophila has revealed that the detection of this microbial motif is key to the defense response. In Drosophila, the peptidoglycan-recognition proteins (PGRP) are the initial sensors of infecting bacteria that then trigger a cascade ultimately leading to the expression of antimicrobial peptides. In mammals, PGRP also exist and although they bind peptidoglycan, the role of these proteins in innate immune responses remains to be clearly defined. In contrast, the Nod proteins (Nod1 and Nod2), which are also involved in peptidoglycan sensing, appear to play a key role in innate immunity against bacteria by triggering host defense responses through the activation of the transcription factor, NF-κB. Interstingly, mutations in Nod2 are related to increased susceptibility to Crohn's disease, thereby implicating defective bacterial sensing in the development at this chronic disease. In this review, we will focus on the recent findings concerning mammalian and Drosophila proteins involved in peptidoglycan recognition and the putative role of these proteins in the innate immune defense response.See an article in this issue http://dx.doi.org/10.1002/eji.200425229","DOI":"10.1002/eji.200425095","shortTitle":"Mini-review","language":"en","author":[{"family":"Girardin","given":"Stephen E."},{"family":"Philpott","given":"Dana J."}],"issued":{"year":2004},"accessed":{"year":2012,"month":6,"day":27},"page-first":"1777–1782"}},{"id":597,"uris":["http://zotero.org/users/944474/items/QPT6BX94"],"uri":["http://zotero.org/users/944474/items/QPT6BX94"],"itemData":{"id":597,"type":"article-journal","title":"Peptidoglycan recognition in innate immunity","container-title":"Journal of endotoxin research","page":"304-310","volume":"11","issue":"5","abstract":"The innate immune system recognizes micro-organisms through a series of pattern recognition receptors that are highly conserved in evolution. Peptidoglycan (PGN) is a unique and essential component of the cell wall of virtually all bacteria, is not present in eukaryotes, and is an excellent target for the innate immune system. Indeed, higher eukaryotes, including mammals, have several PGN recognition molecules, including CD14, Toll-like receptor 2 (TLR2), nucleotide oligomerization domain (Nod)-containing proteins, a family of peptidoglycan recognition proteins (PGRPs), and PGN-lytic enzymes (lysozyme and amidase). These molecules induce host responses to micro-organisms, degrade PGN, or have direct antimicrobial effects.","DOI":"10.1179/096805105X67256","note":"PMID: 16263004","journalAbbreviation":"J. Endotoxin Res.","author":[{"family":"Dziarski","given":"Roman"},{"family":"Gupta","given":"Dipika"}],"issued":{"year":2005},"accessed":{"year":2012,"month":6,"day":20},"page-first":"304"}},{"id":702,"uris":["http://zotero.org/users/944474/items/KZX9TZHF"],"uri":["http://zotero.org/users/944474/items/KZX9TZHF"],"itemData":{"id":702,"type":"article-journal","title":"Review: Mammalian peptidoglycan recognition proteins (PGRPs) in innate immunity","container-title":"Innate immunity","page":"168-174","volume":"16","issue":"3","abstract":"Peptidoglycan recognition proteins (PGRPs or PGLYRPs) are innate immunity proteins that are conserved from insects to mammals, recognize bacterial peptidoglycan, and function in antibacterial immunity and inflammation. Mammals have four PGRPs - PGLYRP1, PGLYRP2, PGLYRP3, and PGLYRP4. They are secreted proteins expressed in polymorphonuclear leukocytes (PGLYRP1), liver (PGLYRP2), or on body surfaces, mucous membranes, and in secretions (saliva, sweat) (PGLYRP3 and PGLYRP4). All PGRPs recognize bacterial peptidoglycan. Three PGRPs, PGLYRP1, PGLYRP3, and PGLYRP4 are directly bactericidal for both Gram-positive and Gram-negative bacteria and have no enzymatic activity, whereas PGLYRP2 is an N-acetylmuramoyl-L-alanine amidase that hydrolyzes bacterial cell wall peptidoglycan. Peptidoglycan recognition proteins influence host- pathogen interactions not only through their antibacterial or peptidoglycan-hydrolytic properties, but also through their pro-inflammatory and anti-inflammatory properties that are independent of their hydrolytic and antibacterial activities. The PGRPs likely play a role both in antibacterial defenses and several inflammatory diseases. They modulate local inflammatory responses in tissues (such as arthritic joints) and there is evidence for association of PGRPs with inflammatory diseases, such as psoriasis.","DOI":"10.1177/1753425910366059","note":"PMID: 20418257","shortTitle":"Review","journalAbbreviation":"Innate Immun","author":[{"family":"Dziarski","given":"Roman"},{"family":"Gupta","given":"Dipika"}],"issued":{"year":2010,"month":6},"accessed":{"year":2012,"month":7,"day":13},"page-first":"168"}},{"id":327,"uris":["http://zotero.org/users/944474/items/4C2CVGT5"],"uri":["http://zotero.org/users/944474/items/4C2CVGT5"],"itemData":{"id":327,"type":"article-journal","title":"Host-Bacterial Interactions in Helicobacter pylori Infection","container-title":"Gastroenterology","page":"306-323","volume":"134","issue":"1","DOI":"10.1053/j.gastro.2007.11.009","author":[{"family":"Amieva","given":"Manuel R."},{"family":"El–Omar","given":"Emad M."}],"issued":{"year":2008,"month":1},"accessed":{"year":2012,"month":5,"day":31},"page-first":"306"}}],"schema":"https://github.com/citation-style-language/schema/raw/master/csl-citation.json"}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szCs w:val="24"/>
        </w:rPr>
        <w:t>(Girardin and Philpott, 2004; Dziarski and Gupta, 2005, 2010; Amieva and El–Omar, 2008)</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w:t>
      </w:r>
    </w:p>
    <w:p w:rsidR="00BC7652" w:rsidRPr="006E46A8" w:rsidRDefault="00BC7652" w:rsidP="00BC7652">
      <w:pPr>
        <w:autoSpaceDE w:val="0"/>
        <w:autoSpaceDN w:val="0"/>
        <w:adjustRightInd w:val="0"/>
        <w:spacing w:after="120" w:line="480" w:lineRule="auto"/>
        <w:jc w:val="both"/>
        <w:rPr>
          <w:rFonts w:ascii="Times New Roman" w:hAnsi="Times New Roman" w:cs="Times New Roman"/>
          <w:sz w:val="24"/>
          <w:szCs w:val="24"/>
        </w:rPr>
      </w:pPr>
    </w:p>
    <w:p w:rsidR="00BC7652" w:rsidRPr="00566202" w:rsidRDefault="00BC7652" w:rsidP="00BC7652">
      <w:pPr>
        <w:tabs>
          <w:tab w:val="left" w:pos="1276"/>
        </w:tabs>
        <w:spacing w:line="48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1.7.2.1</w:t>
      </w:r>
      <w:r>
        <w:rPr>
          <w:rFonts w:ascii="Times New Roman" w:hAnsi="Times New Roman" w:cs="Times New Roman"/>
          <w:color w:val="000000"/>
          <w:sz w:val="28"/>
          <w:szCs w:val="28"/>
        </w:rPr>
        <w:tab/>
      </w:r>
      <w:r w:rsidRPr="00566202">
        <w:rPr>
          <w:rFonts w:ascii="Times New Roman" w:hAnsi="Times New Roman" w:cs="Times New Roman"/>
          <w:color w:val="000000"/>
          <w:sz w:val="28"/>
          <w:szCs w:val="28"/>
        </w:rPr>
        <w:t xml:space="preserve">Peptidoglycan hydrolysis </w:t>
      </w:r>
      <w:r>
        <w:rPr>
          <w:rFonts w:ascii="Times New Roman" w:hAnsi="Times New Roman" w:cs="Times New Roman"/>
          <w:color w:val="000000"/>
          <w:sz w:val="28"/>
          <w:szCs w:val="28"/>
        </w:rPr>
        <w:t>in</w:t>
      </w:r>
      <w:r w:rsidRPr="00566202">
        <w:rPr>
          <w:rFonts w:ascii="Times New Roman" w:hAnsi="Times New Roman" w:cs="Times New Roman"/>
          <w:color w:val="000000"/>
          <w:sz w:val="28"/>
          <w:szCs w:val="28"/>
        </w:rPr>
        <w:t xml:space="preserve"> vegetative growth and division</w:t>
      </w:r>
    </w:p>
    <w:p w:rsidR="00BC7652" w:rsidRPr="00900361" w:rsidRDefault="00BC7652" w:rsidP="00BC7652">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sz w:val="24"/>
          <w:szCs w:val="24"/>
        </w:rPr>
        <w:t>During vegetative growth, muropeptides are shed from the cell wall</w:t>
      </w:r>
      <w:r w:rsidRPr="006E46A8">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in a growth rate-dependant manner, a process termed cell wall turnover. In </w:t>
      </w:r>
      <w:r>
        <w:rPr>
          <w:rFonts w:ascii="Times New Roman" w:hAnsi="Times New Roman" w:cs="Times New Roman"/>
          <w:i/>
          <w:color w:val="000000"/>
          <w:sz w:val="24"/>
          <w:szCs w:val="24"/>
        </w:rPr>
        <w:t xml:space="preserve">E. coli </w:t>
      </w:r>
      <w:r>
        <w:rPr>
          <w:rFonts w:ascii="Times New Roman" w:hAnsi="Times New Roman" w:cs="Times New Roman"/>
          <w:color w:val="000000"/>
          <w:sz w:val="24"/>
          <w:szCs w:val="24"/>
        </w:rPr>
        <w:t xml:space="preserve">and </w:t>
      </w:r>
      <w:r>
        <w:rPr>
          <w:rFonts w:ascii="Times New Roman" w:hAnsi="Times New Roman" w:cs="Times New Roman"/>
          <w:i/>
          <w:color w:val="000000"/>
          <w:sz w:val="24"/>
          <w:szCs w:val="24"/>
        </w:rPr>
        <w:t>B. subtilis</w:t>
      </w:r>
      <w:r>
        <w:rPr>
          <w:rFonts w:ascii="Times New Roman" w:hAnsi="Times New Roman" w:cs="Times New Roman"/>
          <w:color w:val="000000"/>
          <w:sz w:val="24"/>
          <w:szCs w:val="24"/>
        </w:rPr>
        <w:t xml:space="preserve">, the </w:t>
      </w:r>
      <w:r>
        <w:rPr>
          <w:rFonts w:ascii="Times New Roman" w:hAnsi="Times New Roman" w:cs="Times New Roman"/>
          <w:color w:val="000000"/>
          <w:sz w:val="24"/>
          <w:szCs w:val="24"/>
        </w:rPr>
        <w:lastRenderedPageBreak/>
        <w:t xml:space="preserve">rate </w:t>
      </w:r>
      <w:r w:rsidRPr="00900361">
        <w:rPr>
          <w:rFonts w:ascii="Times New Roman" w:hAnsi="Times New Roman" w:cs="Times New Roman"/>
          <w:color w:val="000000" w:themeColor="text1"/>
          <w:sz w:val="24"/>
          <w:szCs w:val="24"/>
        </w:rPr>
        <w:t xml:space="preserve">of turnover is as high as 40-50% per generation, and is reduced in hydrolase mutants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{"citationID":"27raeeo21g","properties":{"formattedCitation":"(Mauck et al., 1971; Park, 1993; Kraft et al., 1999; Reith and Mayer, 2011)","plainCitation":"(Mauck et al., 1971; Park, 1993; Kraft et al., 1999; Reith and Mayer, 2011)"},"citationItems":[{"id":569,"uris":["http://zotero.org/users/944474/items/ATKAQPNH"],"uri":["http://zotero.org/users/944474/items/ATKAQPNH"],"itemData":{"id":569,"type":"article-journal","title":"Turnover of the cell wall of Gram-positive bacteria","container-title":"The Journal of biological chemistry","page":"1820-1827","volume":"246","issue":"6","note":"PMID: 4993960","journalAbbreviation":"J. Biol. Chem.","author":[{"family":"Mauck","given":"J"},{"family":"Chan","given":"L"},{"family":"Glaser","given":"L"}],"issued":{"year":1971,"month":3,"day":25},"accessed":{"year":2012,"month":6,"day":20},"page-first":"1820"}},{"id":566,"uris":["http://zotero.org/users/944474/items/S722UP4R"],"uri":["http://zotero.org/users/944474/items/S722UP4R"],"itemData":{"id":566,"type":"article-journal","title":"Turnover and recycling of the murein sacculus in oligopeptide permease-negative strains of Escherichia coli: indirect evidence for an alternative permease system and for a monolayered sacculus","container-title":"Journal of bacteriology","page":"7-11","volume":"175","issue":"1","abstract":"Turnover of murein in oligopeptide permease-negative Escherichia coli cells appeared to be minimal or nonexistent. In one strain in which it was possible to measure turnover during the first generation of chase, it was found that the rate of turnover was constant throughout a chase of three generations. This result suggests that an \"inside-to-outside\" mode of growth of the sacculus does not occur in E. coli. Turnover, though minimal, was significantly higher from cells labeled uniformly than from cells labeled only in the lateral wall, suggesting that a significant portion of the observed turnover is related to cell separation. Actually, turnover only appeared to be minimal in opp mutant strains. Tripeptides were being released by turnover at a rate of about 50% per generation and then were efficiently recycled. This suggests that in addition to opp, a low-affinity uptake system for tripeptide derived from the sacculus may exist.","note":"PMID: 8416911","shortTitle":"Turnover and recycling of the murein sacculus in oligopeptide permease-negative strains of Escherichia coli","journalAbbreviation":"J. Bacteriol.","author":[{"family":"Park","given":"J T"}],"issued":{"year":1993,"month":1},"accessed":{"year":2012,"month":6,"day":20},"page-first":"7"}},{"id":561,"uris":["http://zotero.org/users/944474/items/7XGMNTVT"],"uri":["http://zotero.org/users/944474/items/7XGMNTVT"],"itemData":{"id":561,"type":"article-journal","title":"Interference with murein turnover has no effect on growth but reduces beta-lactamase induction in Escherichia coli","container-title":"Journal of bacteriology","page":"7192-7198","volume":"181","issue":"23","abstract":"Physiological studies of a mutant of Escherichia coli lacking the three lytic transglycosylases Slt70, MltA, and MltB revealed that interference with murein turnover can prevent AmpC beta-lactamase induction. The triple mutant, although growing normally, shows a dramatically reduced rate of murein turnover. Despite the reduction in the formation of low-molecular-weight murein turnover products, neither the rate of murein synthesis nor the amount of murein per cell was increased. This might be explained by assuming that during growth in the absence of the major lytic transglycosylases native murein strands are excised by the action of endopeptidases and directly reused without further breakdown to muropeptides. The reduced rate of murein turnover could be correlated with lowered cefoxitin-induced expression of beta-lactamase, present on a plasmid carrying the ampC and ampR genes from Enterobacter cloacae. Overproduction of MltB stimulated beta-lactamase induction, whereas specific inhibition of Slt70 by bulgecin repressed ampC expression. Thus, specific inhibitors of lytic transglycosylases can increase the potency of penicillins and cephalosporins against bacteria inducing AmpC-like beta-lactamases.","note":"PMID: 10572120","journalAbbreviation":"J. Bacteriol.","author":[{"family":"Kraft","given":"A R"},{"family":"Prabhu","given":"J"},{"family":"Ursinus","given":"A"},{"family":"Höltje","given":"J V"}],"issued":{"year":1999,"month":12},"accessed":{"year":2012,"month":6,"day":20},"page-first":"7192"}},{"id":333,"uris":["http://zotero.org/users/944474/items/KQ2DUH8D"],"uri":["http://zotero.org/users/944474/items/KQ2DUH8D"],"itemData":{"id":333,"type":"article-journal","title":"Peptidoglycan turnover and recycling in Gram-positive bacteria","container-title":"Applied microbiology and biotechnology","page":"1-11","volume":"92","issue":"1","abstract":"Bacterial cells are protected by an exoskeleton, the stabilizing and shape-maintaining cell wall, consisting of the complex macromolecule peptidoglycan. In view of its function, it could be assumed that the cell wall is a static structure. In truth, however, it is steadily broken down by peptidoglycan-cleaving enzymes during cell growth. In this process, named cell wall turnover, in one generation up to half of the preexisting peptidoglycan of a bacterial cell is released from the wall. This would result in a massive loss of cell material, if turnover products were not be taken up and recovered. Indeed, in the Gram-negative model organism Escherichia coli, peptidoglycan recovery has been recognized as a complex pathway, named cell wall recycling. It involves about a dozen dedicated recycling enzymes that convey cell wall turnover products to peptidoglycan synthesis or energy pathways. Whether Gram-positive bacteria also recover their cell wall is currently questioned. Given the much larger portion of peptidoglycan in the cell wall of Gram-positive bacteria, however, recovery of the wall material would provide an even greater benefit in these organisms compared to Gram-negatives. Consistently, in many Gram-positives, orthologs of recycling enzymes were identified, indicating that the cell wall may also be recycled in these organisms. This mini-review provides a compilation of information about cell wall turnover and recycling in Gram-positive bacteria during cell growth and division, including recent findings relating to muropeptide recovery in Bacillus subtilis and Clostridium acetobutylicum from our group. Furthermore, the impact of cell wall turnover and recycling on biotechnological processes is discussed.","DOI":"10.1007/s00253-011-3486-x","note":"PMID: 21796380","journalAbbreviation":"Appl. Microbiol. Biotechnol.","author":[{"family":"Reith","given":"Jan"},{"family":"Mayer","given":"Christoph"}],"issued":{"year":2011,"month":10},"accessed":{"year":2012,"month":6,"day":3},"page-first":"1"}}],"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(Mauck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xml:space="preserve">., 1971; Park, 1993; Kraft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1999; Reith and Mayer, 2011)</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Most models of cell wall growth envisage a system of tightly coordinated synthesis and hydrolysis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{"citationID":"761svf89","properties":{"formattedCitation":"{\\rtf (H\\uc0\\u246{}ltje, 1998; H\\uc0\\u246{}ltje and Heidrich, 2001; Furchtgott et al., 2011)}","plainCitation":"(Höltje, 1998; Höltje and Heidrich, 2001; Furchtgott et al., 2011)"},"citationItems":[{"id":13,"uris":["http://zotero.org/users/944474/items/64V5T8BJ"],"uri":["http://zotero.org/users/944474/items/64V5T8BJ"],"itemData":{"id":13,"type":"article-journal","title":"Growth of the stress-bearing and shape-maintaining murein sacculus of Escherichia coli","container-title":"Microbiology and Molecular Biology Reviews: MMBR","page":"181-203","volume":"62","issue":"1","abstract":"To withstand the high intracellular pressure, the cell wall of most bacteria is stabilized by a unique cross-linked biopolymer called murein or peptidoglycan. It is made of glycan strands [poly-(GlcNAc-MurNAc)], which are linked by short peptides to form a covalently closed net. Completely surrounding the cell, the murein represents a kind of bacterial exoskeleton known as the murein sacculus. Not only does the sacculus endow bacteria with mechanical stability, but in addition it maintains the specific shape of the cell. Enlargement and division of the murein sacculus is a prerequisite for growth of the bacterium. Two groups of enzymes, hydrolases and synthases, have to cooperate to allow the insertion of new subunits into the murein net. The action of these enzymes must be well coordinated to guarantee growth of the stress-bearing sacculus without risking bacteriolysis. Protein-protein interaction studies suggest that this is accomplished by the formation of a multienzyme complex, a murein-synthesizing machinery combining murein hydrolases and synthases. Enlargement of both the multilayered murein of gram-positive and the thin, single-layered murein of gram-negative bacteria seems to follow an inside-to-outside growth strategy. New material is hooked in a relaxed state underneath the stress-bearing sacculus before it becomes inserted upon cleavage of covalent bonds in the layer(s) under tension. A model is presented that postulates that maintenance of bacterial shape is achieved by the enzyme complex copying the preexisting murein sacculus that plays the role of a template.","note":"PMID: 9529891","journalAbbreviation":"Microbiol. Mol. Biol. Rev.","author":[{"family":"Höltje","given":"J V"}],"issued":{"year":1998,"month":3},"accessed":{"year":2012,"month":3,"day":6},"page-first":"181"}},{"id":14,"uris":["http://zotero.org/users/944474/items/UVTUZT4Q"],"uri":["http://zotero.org/users/944474/items/UVTUZT4Q"],"itemData":{"id":14,"type":"article-journal","title":"Enzymology of elongation and constriction of the murein sacculus of Escherichia coli","container-title":"Biochimie","page":"103-108","volume":"83","issue":"1","abstract":"Multiple deletions in murein hydrolases revealed that predominantly amidases are responsible for cleavage of the septum during cell division. Endopeptidases and lytic transglycosylases seem also be involved. In the absence of these enzymes E. coli grows normally but forms chains of adhering cells. Surprisingly, mutants lacking up to eight different murein hydrolases still grow with almost unaffected growth rate. Therefore it is speculated that general enlargement of the murein sacculus may differ from cell division by using transferases rather than the two sets of hydrolytic and synthetic enzymes as seems to be the case for the constriction process. A model is presented that describes growth of the murein of both Gram-positive and -negative bacteria by the activity of murein transferases. It is speculated that enzymes exist that catalyze a transpeptidation of the pre-existing murein onto murein precursors or nascent murein by using the chemical energy present in peptide cross-bridges. Such enzymes would at the same time cleave bonds in the murein net and insert new material into the growing sacculus.","note":"PMID: 11254982","journalAbbreviation":"Biochimie","author":[{"family":"Höltje","given":"J V"},{"family":"Heidrich","given":"C"}],"issued":{"year":2001,"month":1},"accessed":{"year":2012,"month":3,"day":6},"page-first":"103"}},{"id":197,"uris":["http://zotero.org/users/944474/items/E6G8HABP"],"uri":["http://zotero.org/users/944474/items/E6G8HABP"],"itemData":{"id":197,"type":"article-journal","title":"Mechanisms for maintaining cell shape in rod-shaped Gram-negative bacteria","container-title":"Molecular microbiology","page":"340-353","volume":"81","issue":"2","abstract":"For the rod-shaped Gram-negative bacterium Escherichia coli, changes in cell shape have critical consequences for motility, immune system evasion, proliferation and adhesion. For most bacteria, the peptidoglycan cell wall is both necessary and sufficient to determine cell shape. However, how the synthesis machinery assembles a peptidoglycan network with a robustly maintained micron-scale shape has remained elusive. To explore shape maintenance, we have quantified the robustness of cell shape in three Gram-negative bacteria in different genetic backgrounds and in the presence of an antibiotic that inhibits division. Building on previous modelling suggesting a prominent role for mechanical forces in shape regulation, we introduce a biophysical model for the growth dynamics of rod-shaped cells to investigate the roles of spatial regulation of peptidoglycan synthesis, glycan-strand biochemistry and mechanical stretching during insertion. Our studies reveal that rod-shape maintenance requires insertion to be insensitive to fluctuations in cell-wall density and stress, and even a simple helical pattern of insertion is sufficient for over sixfold elongation without significant loss in shape. In addition, we demonstrate that both the length and pre-stretching of newly inserted strands regulate cell width. In sum, we show that simple physical rules can allow bacteria to achieve robust, shape-preserving cell-wall growth.","DOI":"10.1111/j.1365-2958.2011.07616.x","note":"PMID: 21501250","journalAbbreviation":"Mol. Microbiol.","author":[{"family":"Furchtgott","given":"Leon"},{"family":"Wingreen","given":"Ned S"},{"family":"Huang","given":"Kerwyn Casey"}],"issued":{"year":2011,"month":7},"accessed":{"year":2012,"month":5,"day":14},"page-first":"340"}}],"schema":"https://github.com/citation-style-language/schema/raw/master/csl-citation.json"}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szCs w:val="24"/>
        </w:rPr>
        <w:t xml:space="preserve">(Höltje, 1998; Höltje and Heidrich, 2001; Furchtgott </w:t>
      </w:r>
      <w:r w:rsidRPr="00C521B3">
        <w:rPr>
          <w:rFonts w:ascii="Times New Roman" w:hAnsi="Times New Roman" w:cs="Times New Roman"/>
          <w:i/>
          <w:color w:val="000000" w:themeColor="text1"/>
          <w:sz w:val="24"/>
          <w:szCs w:val="24"/>
        </w:rPr>
        <w:t>et al</w:t>
      </w:r>
      <w:r w:rsidRPr="00900361">
        <w:rPr>
          <w:rFonts w:ascii="Times New Roman" w:hAnsi="Times New Roman" w:cs="Times New Roman"/>
          <w:color w:val="000000" w:themeColor="text1"/>
          <w:sz w:val="24"/>
          <w:szCs w:val="24"/>
        </w:rPr>
        <w:t>., 2011)</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According to these models, cell growth should cease when peptidoglycan hydrolase activity is inhibited. To date, such a phenotype has not been conclusively demonstrated, but is suggested by the fact that synthases and hydrol</w:t>
      </w:r>
      <w:r>
        <w:rPr>
          <w:rFonts w:ascii="Times New Roman" w:hAnsi="Times New Roman" w:cs="Times New Roman"/>
          <w:color w:val="000000" w:themeColor="text1"/>
          <w:sz w:val="24"/>
          <w:szCs w:val="24"/>
        </w:rPr>
        <w:t>ases participate in multienzyme</w:t>
      </w:r>
      <w:r w:rsidRPr="00900361">
        <w:rPr>
          <w:rFonts w:ascii="Times New Roman" w:hAnsi="Times New Roman" w:cs="Times New Roman"/>
          <w:color w:val="000000" w:themeColor="text1"/>
          <w:sz w:val="24"/>
          <w:szCs w:val="24"/>
        </w:rPr>
        <w:t xml:space="preserve"> complexes, and that inhibition of PBP synthases often results in autolysis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{"citationID":"1jdf1em8bl","properties":{"formattedCitation":"(Takahashi et al., 2002)","plainCitation":"(Takahashi et al., 2002)"},"citationItems":[{"id":572,"uris":["http://zotero.org/users/944474/items/Q2BKXBJF"],"uri":["http://zotero.org/users/944474/items/Q2BKXBJF"],"itemData":{"id":572,"type":"article-journal","title":"Molecular characterization of an atl null mutant of Staphylococcus aureus","container-title":"Microbiology and immunology","page":"601-612","volume":"46","issue":"9","abstract":"atl is a gene encoding a bifunctional peptidoglycan hydrolase of Staphylococcus aureus. The gene product of atl is a 138 kDa protein that has an amidase domain and a glucosaminidase domain, and undergoes processing to generate two major peptidoglycan hydrolases, a 51 kDa glucosaminidase and a 62 kDa amidase in culture supernatant. An atl null mutant was isolated by allelic replacement and characterized. The mutant grew in clusters and sedimented when grown in broth culture. Analysis of peptidoglycan prepared from the wild type and the mutant revealed that there were no differences in muropeptide composition or in glycan chain length distribution. On the other hand, the atl mutation resulted in pleiotropic effects on cell surface nature. The mutant cells showed complete inhibition of metabolic turnover of cell wall peptidoglycan and revealed a rough outer cell wall surface. The mutation also decreased the amount of protein non-covalently bound to the cell surface and altered the protein profile, but did not affect proteins covalently associated with the cell wall. Lysis of growing cells treated with otherwise lytic concentration of penicillin G was completely inhibited in the mutant, but that of non-growing cells was not affected by the mutation. The atl mutation did not significantly affect the ability of S. aureus to provoke an acute infection when inoculated intraperitoneally in a mouse sepsis model. These results further support the supposition that atl gene products are involved in cell separation, cell wall turnover and penicillin-induced lysis of the cells.","note":"PMID: 12437027","journalAbbreviation":"Microbiol. Immunol.","author":[{"family":"Takahashi","given":"Junko"},{"family":"Komatsuzawa","given":"Hitoshi"},{"family":"Yamada","given":"Sakuo"},{"family":"Nishida","given":"Tetsuya"},{"family":"Labischinski","given":"Harald"},{"family":"Fujiwara","given":"Tamaki"},{"family":"Ohara","given":"Masaru"},{"family":"Yamagishi","given":"Jun-ichi"},{"family":"Sugai","given":"Motoyuki"}],"issued":{"year":2002},"accessed":{"year":2012,"month":6,"day":20},"page-first":"601"}}],"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(Takahashi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2002)</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However, as peptidoglycan synthases and hydrolases are often dispensable for growth, it is difficult to dissect the potentially complementary activities of individual enzymes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{"citationID":"bdj7nrvr8","properties":{"formattedCitation":"(Nelson and Young, 2001)","plainCitation":"(Nelson and Young, 2001)"},"citationItems":[{"id":557,"uris":["http://zotero.org/users/944474/items/RHNX393Z"],"uri":["http://zotero.org/users/944474/items/RHNX393Z"],"itemData":{"id":557,"type":"article-journal","title":"Contributions of PBP 5 and DD-carboxypeptidase penicillin binding proteins to maintenance of cell shape in Escherichia coli","container-title":"Journal of bacteriology","page":"3055-3064","volume":"183","issue":"10","abstract":"Escherichia coli has 12 recognized penicillin binding proteins (PBPs), four of which (PBPs 4, 5, and 6 and DacD) have DD-carboxypeptidase activity. Although the enzymology of the DD-carboxypeptidases has been studied extensively, the in vivo functions of these proteins are poorly understood. To explain why E. coli maintains four independent loci encoding enzymes of considerable sequence identity and comparable in vitro activity, it has been proposed that the DD-carboxypeptidases may substitute for one another in vivo. We tested the validity of this equivalent substitution hypothesis by investigating the effects of these proteins on the aberrant morphology of DeltadacA mutants, which produce no PBP 5. Although cloned PBP 5 complemented the morphological phenotype of a DeltadacA mutant lacking a total of seven PBPs, controlled expression of PBP 4, PBP 6, or DacD did not. Also, a truncated PBP 5 protein lacking its amphipathic C-terminal membrane binding sequence did not reverse the morphological defects and was lethal at low levels of expression, implying that membrane anchoring is essential for the proper functioning of PBP 5. By examining a set of mutants from which multiple PBP genes were deleted, we found that significant morphological aberrations required the absence of at least three different PBPs. The greatest defects were observed in cells lacking, at minimum, PBPs 5 and 6 and one of the endopeptidases (either PBP 4 or PBP 7). The results further differentiate the roles of the low-molecular-weight PBPs, suggest a functional significance for the amphipathic membrane anchor of PBP 5 and, when combined with the recently determined crystal structure of PBP 5, suggest possible mechanisms by which these PBPs may contribute to maintenance of a uniform cell shape in E. coli.","DOI":"10.1128/JB.183.10.3055-3064.2001","note":"PMID: 11325933","journalAbbreviation":"J. Bacteriol.","author":[{"family":"Nelson","given":"D E"},{"family":"Young","given":"K D"}],"issued":{"year":2001,"month":5},"accessed":{"year":2012,"month":6,"day":19},"page-first":"3055"}}],"schema":"https://github.com/citation-style-language/schema/raw/master/csl-citation.json"}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(Nelson and Young, 2001)</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w:t>
      </w:r>
    </w:p>
    <w:p w:rsidR="00BC7652" w:rsidRPr="00900361" w:rsidRDefault="00BC7652" w:rsidP="00BC7652">
      <w:pPr>
        <w:spacing w:line="480" w:lineRule="auto"/>
        <w:jc w:val="both"/>
        <w:rPr>
          <w:rFonts w:ascii="Times New Roman" w:hAnsi="Times New Roman" w:cs="Times New Roman"/>
          <w:color w:val="000000" w:themeColor="text1"/>
          <w:sz w:val="28"/>
          <w:szCs w:val="28"/>
        </w:rPr>
      </w:pPr>
    </w:p>
    <w:p w:rsidR="00BC7652" w:rsidRPr="00900361" w:rsidRDefault="00BC7652" w:rsidP="00BC7652">
      <w:pPr>
        <w:tabs>
          <w:tab w:val="left" w:pos="1276"/>
        </w:tabs>
        <w:spacing w:line="480" w:lineRule="auto"/>
        <w:jc w:val="both"/>
        <w:rPr>
          <w:rFonts w:ascii="Times New Roman" w:hAnsi="Times New Roman" w:cs="Times New Roman"/>
          <w:color w:val="000000" w:themeColor="text1"/>
          <w:sz w:val="28"/>
          <w:szCs w:val="28"/>
        </w:rPr>
      </w:pPr>
      <w:r w:rsidRPr="00900361">
        <w:rPr>
          <w:rFonts w:ascii="Times New Roman" w:hAnsi="Times New Roman" w:cs="Times New Roman"/>
          <w:color w:val="000000" w:themeColor="text1"/>
          <w:sz w:val="28"/>
          <w:szCs w:val="28"/>
        </w:rPr>
        <w:t>1.7.2.2</w:t>
      </w:r>
      <w:r w:rsidRPr="00900361">
        <w:rPr>
          <w:rFonts w:ascii="Times New Roman" w:hAnsi="Times New Roman" w:cs="Times New Roman"/>
          <w:color w:val="000000" w:themeColor="text1"/>
          <w:sz w:val="28"/>
          <w:szCs w:val="28"/>
        </w:rPr>
        <w:tab/>
        <w:t>Regulation of growth by DD-carboxypeptidases</w:t>
      </w:r>
    </w:p>
    <w:p w:rsidR="00BC7652" w:rsidRDefault="00BC7652" w:rsidP="00BC7652">
      <w:pPr>
        <w:spacing w:line="480" w:lineRule="auto"/>
        <w:jc w:val="both"/>
        <w:rPr>
          <w:rFonts w:ascii="Times New Roman" w:hAnsi="Times New Roman" w:cs="Times New Roman"/>
          <w:color w:val="000000"/>
          <w:sz w:val="24"/>
          <w:szCs w:val="24"/>
        </w:rPr>
      </w:pPr>
      <w:r w:rsidRPr="00900361">
        <w:rPr>
          <w:rFonts w:ascii="Times New Roman" w:hAnsi="Times New Roman" w:cs="Times New Roman"/>
          <w:color w:val="000000" w:themeColor="text1"/>
          <w:sz w:val="16"/>
          <w:szCs w:val="16"/>
        </w:rPr>
        <w:t>DD</w:t>
      </w:r>
      <w:r>
        <w:rPr>
          <w:rFonts w:ascii="Times New Roman" w:hAnsi="Times New Roman" w:cs="Times New Roman"/>
          <w:color w:val="000000" w:themeColor="text1"/>
          <w:sz w:val="24"/>
          <w:szCs w:val="24"/>
        </w:rPr>
        <w:t>-carboxypeptidase</w:t>
      </w:r>
      <w:r w:rsidRPr="00900361">
        <w:rPr>
          <w:rFonts w:ascii="Times New Roman" w:hAnsi="Times New Roman" w:cs="Times New Roman"/>
          <w:color w:val="000000" w:themeColor="text1"/>
          <w:sz w:val="24"/>
          <w:szCs w:val="24"/>
        </w:rPr>
        <w:t xml:space="preserve"> activity regulates the balance of penta- and tetrapeptide stems available for transpeptidation during cell wall synthesis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{"citationID":"1nt820pf41","properties":{"formattedCitation":"(Atrih et al., 1999)","plainCitation":"(Atrih et al., 1999)"},"citationItems":[{"id":106,"uris":["http://zotero.org/users/944474/items/E6ABDSW8"],"uri":["http://zotero.org/users/944474/items/E6ABDSW8"],"itemData":{"id":106,"type":"article-journal","title":"Analysis of peptidoglycan structure from vegetative cells of Bacillus subtilis 168 and role of PBP 5 in peptidoglycan maturation","container-title":"Journal of Bacteriology","page":"3956-3966","volume":"181","issue":"13","abstract":"The composition and fine structure of the vegetative cell wall peptidoglycan from Bacillus subtilis were determined by analysis of its constituent muropeptides. The structures of 39 muropeptides, representing 97% of the total peptidoglycan, were elucidated. About 99% analyzed muropeptides in B. subtilis vegetative cell peptidoglycan have the free carboxylic group of diaminopimelic acid amidated. Anhydromuropeptides and products missing a glucosamine at the nonreducing terminus account for 0.4 and 1.5%, respectively, of the total muropeptides. These two types of muropeptides are suggested to end glycan strands. An unexpected feature of B. subtilis muropeptides was the occurrence of a glycine residue in position 5 of the peptide side chain on monomers or oligomers, which account for 2.7% of the total muropeptides. This amount is, however, dependent on the composition of the growth media. Potential attachment sites for anionic polymers to peptidoglycan occur on dominant muropeptides and account for 2.1% of the total. B. subtilis peptidoglycan is incompletely digested by lysozyme due to de-N-acetylation of glucosamine, which occurs on 17.3% of muropeptides. The cross-linking index of the polymer changes with the growth phase. It is highest in late stationary phase, with a value of 33.2 or 44% per muramic acid residue, as determined by reverse-phase high-pressure liquid chromatography or gel filtration, respectively. Analysis of the muropeptide composition of a dacA (PBP 5) mutant shows a dramatic decrease of muropeptides with tripeptide side chains and an increase or appearance of muropeptides with pentapeptide side chains in monomers or oligomers. The total muropeptides with pentapeptide side chains accounts for almost 82% in the dacA mutant. This major low-molecular-weight PBP (DD-carboxypeptidase) is suggested to play a role in peptidoglycan maturation.","note":"PMID: 10383963","journalAbbreviation":"J. Bacteriol.","author":[{"family":"Atrih","given":"A"},{"family":"Bacher","given":"G"},{"family":"Allmaier","given":"G"},{"family":"Williamson","given":"M P"},{"family":"Foster","given":"S J"}],"issued":{"year":1999,"month":7},"accessed":{"year":2012,"month":4,"day":2},"page-first":"3956"}}],"schema":"https://github.com/citation-style-language/schema/raw/master/csl-citation.json"}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(Atrih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1999)</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Pentapeptides participate as donor or acceptor peptide stems in cross-linking reactions, whilst tetrapeptides, the product of </w:t>
      </w:r>
      <w:r w:rsidRPr="00900361">
        <w:rPr>
          <w:rFonts w:ascii="Times New Roman" w:hAnsi="Times New Roman" w:cs="Times New Roman"/>
          <w:color w:val="000000" w:themeColor="text1"/>
          <w:sz w:val="16"/>
          <w:szCs w:val="16"/>
        </w:rPr>
        <w:t>DD</w:t>
      </w:r>
      <w:r w:rsidRPr="00900361">
        <w:rPr>
          <w:rFonts w:ascii="Times New Roman" w:hAnsi="Times New Roman" w:cs="Times New Roman"/>
          <w:color w:val="000000" w:themeColor="text1"/>
          <w:sz w:val="24"/>
          <w:szCs w:val="24"/>
        </w:rPr>
        <w:t xml:space="preserve">-carboxypeptidase activity, can participate only as acceptor peptides. </w:t>
      </w:r>
      <w:r w:rsidRPr="00900361">
        <w:rPr>
          <w:rFonts w:ascii="Times New Roman" w:hAnsi="Times New Roman" w:cs="Times New Roman"/>
          <w:i/>
          <w:color w:val="000000" w:themeColor="text1"/>
          <w:sz w:val="24"/>
          <w:szCs w:val="24"/>
        </w:rPr>
        <w:t xml:space="preserve">S. pneumoniae </w:t>
      </w:r>
      <w:r w:rsidRPr="00900361">
        <w:rPr>
          <w:rFonts w:ascii="Times New Roman" w:hAnsi="Times New Roman" w:cs="Times New Roman"/>
          <w:color w:val="000000" w:themeColor="text1"/>
          <w:sz w:val="24"/>
          <w:szCs w:val="24"/>
        </w:rPr>
        <w:t xml:space="preserve">(PBP3) and </w:t>
      </w:r>
      <w:r w:rsidRPr="00900361">
        <w:rPr>
          <w:rFonts w:ascii="Times New Roman" w:hAnsi="Times New Roman" w:cs="Times New Roman"/>
          <w:i/>
          <w:color w:val="000000" w:themeColor="text1"/>
          <w:sz w:val="24"/>
          <w:szCs w:val="24"/>
        </w:rPr>
        <w:t xml:space="preserve">L. monocytogenes </w:t>
      </w:r>
      <w:r w:rsidRPr="00900361">
        <w:rPr>
          <w:rFonts w:ascii="Times New Roman" w:hAnsi="Times New Roman" w:cs="Times New Roman"/>
          <w:color w:val="000000" w:themeColor="text1"/>
          <w:sz w:val="24"/>
          <w:szCs w:val="24"/>
        </w:rPr>
        <w:t xml:space="preserve">(PBP5-homologue) mutants display aberrant septum placement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{"citationID":"6faaupvh5","properties":{"formattedCitation":"(Schuster et al., 1990; Guinane et al., 2006)","plainCitation":"(Schuster et al., 1990; Guinane et al., 2006)"},"citationItems":[{"id":261,"uris":["http://zotero.org/users/944474/items/JTSXZ7AZ"],"uri":["http://zotero.org/users/944474/items/JTSXZ7AZ"],"itemData":{"id":261,"type":"article-journal","title":"Unusual septum formation in Streptococcus pneumoniae mutants with an alteration in the D,D-carboxypeptidase penicillin-binding protein 3","container-title":"Journal of bacteriology","page":"6499-6505","volume":"172","issue":"11","abstract":"An internal 630-bp DNA fragment of the gene encoding penicillin-binding protein 3 (PBP 3) (dacA) of Streptococcus pneumoniae was identified in a lambda gt11 gene bank screened with anti-PBP 3 antiserum. The deduced 210-amino-acid sequence showed a high degree of homology to the low-molecular-weight PBPs 5 and 6 of Escherichia coli and Bacillus subtilis PBP 5. Viable mutants lacking a C-terminal part of PBP 3 were obtained after a plasmid containing the dacA fragment was integrated into the PBP 3 gene by homologous recombination. The truncated PBP 3* was still active in terms of beta-lactam binding. Most PBP 3 was found in the growth medium, indicating that membrane anchoring of PBP 3 is provided by the C terminus, as has been shown for other D,D-carboxypeptidases. The mutant cells grew with a slower generation time than the wild type in the shape of irregular enlarged spheres. In addition, as revealed by electron microscopy, cell separation was severely affected, septa were found unevenly distributed at multiple sites within the cells, and the murein layer appeared variable in thickness.","note":"PMID: 2228972","journalAbbreviation":"J. Bacteriol.","author":[{"family":"Schuster","given":"C"},{"family":"Dobrinski","given":"B"},{"family":"Hakenbeck","given":"R"}],"issued":{"year":1990,"month":11},"accessed":{"year":2012,"month":5,"day":24},"page-first":"6499"}},{"id":590,"uris":["http://zotero.org/users/944474/items/SQKN7MMD"],"uri":["http://zotero.org/users/944474/items/SQKN7MMD"],"itemData":{"id":590,"type":"article-journal","title":"Contribution of penicillin-binding protein homologs to antibiotic resistance, cell morphology, and virulence of Listeria monocytogenes EGDe","container-title":"Antimicrobial agents and chemotherapy","page":"2824-2828","volume":"50","issue":"8","abstract":"Seven open reading frames, annotated as potential penicillin-binding-protein-encoding genes (lmo0441, lmo0540, lmo1438, lmo1892, lmo2039, lmo2229, and lmo2754), were targeted for insertional mutagenesis in Listeria monocytogenes EGDe. These genes were found to contribute in various degrees to beta-lactam resistance, cell morphology, or the virulence potential of this organism.","DOI":"10.1128/AAC.00167-06","note":"PMID: 16870778","journalAbbreviation":"Antimicrob. Agents Chemother.","author":[{"family":"Guinane","given":"Caitriona M"},{"family":"Cotter","given":"Paul D"},{"family":"Ross","given":"R Paul"},{"family":"Hill","given":"Colin"}],"issued":{"year":2006,"month":8},"accessed":{"year":2012,"month":6,"day":20},"page-first":"2824"}}],"schema":"https://github.com/citation-style-language/schema/raw/master/csl-citation.json"}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(Schuster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xml:space="preserve">., 1990; Guinane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2006)</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w:t>
      </w:r>
      <w:r>
        <w:rPr>
          <w:rFonts w:ascii="Times New Roman" w:hAnsi="Times New Roman" w:cs="Times New Roman"/>
          <w:color w:val="000000"/>
          <w:sz w:val="24"/>
          <w:szCs w:val="24"/>
        </w:rPr>
        <w:t xml:space="preserve"> and an </w:t>
      </w:r>
      <w:r>
        <w:rPr>
          <w:rFonts w:ascii="Times New Roman" w:hAnsi="Times New Roman" w:cs="Times New Roman"/>
          <w:i/>
          <w:color w:val="000000"/>
          <w:sz w:val="24"/>
          <w:szCs w:val="24"/>
        </w:rPr>
        <w:t xml:space="preserve">E. coli </w:t>
      </w:r>
      <w:r>
        <w:rPr>
          <w:rFonts w:ascii="Times New Roman" w:hAnsi="Times New Roman" w:cs="Times New Roman"/>
          <w:color w:val="000000"/>
          <w:sz w:val="24"/>
          <w:szCs w:val="24"/>
        </w:rPr>
        <w:t xml:space="preserve">PBP5 mutant, in combination with other LMW PBPs, displayed perturbed shape and branched </w:t>
      </w:r>
      <w:r w:rsidRPr="00900361">
        <w:rPr>
          <w:rFonts w:ascii="Times New Roman" w:hAnsi="Times New Roman" w:cs="Times New Roman"/>
          <w:color w:val="000000" w:themeColor="text1"/>
          <w:sz w:val="24"/>
          <w:szCs w:val="24"/>
        </w:rPr>
        <w:t xml:space="preserve">morphology, suggesting that </w:t>
      </w:r>
      <w:r w:rsidRPr="00900361">
        <w:rPr>
          <w:rFonts w:ascii="Times New Roman" w:hAnsi="Times New Roman" w:cs="Times New Roman"/>
          <w:color w:val="000000" w:themeColor="text1"/>
          <w:sz w:val="16"/>
          <w:szCs w:val="16"/>
        </w:rPr>
        <w:t>DD</w:t>
      </w:r>
      <w:r w:rsidRPr="00900361">
        <w:rPr>
          <w:rFonts w:ascii="Times New Roman" w:hAnsi="Times New Roman" w:cs="Times New Roman"/>
          <w:color w:val="000000" w:themeColor="text1"/>
          <w:sz w:val="24"/>
          <w:szCs w:val="24"/>
        </w:rPr>
        <w:t xml:space="preserve">-carboxypeptidases are required for finely coordinated placement of the FtsZ-ring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{"citationID":"1h724dd61e","properties":{"formattedCitation":"(Nelson and Young, 2001; Potluri et al., 2012)","plainCitation":"(Nelson and Young, 2001; Potluri et al., 2012)"},"citationItems":[{"id":557,"uris":["http://zotero.org/users/944474/items/RHNX393Z"],"uri":["http://zotero.org/users/944474/items/RHNX393Z"],"itemData":{"id":557,"type":"article-journal","title":"Contributions of PBP 5 and DD-carboxypeptidase penicillin binding proteins to maintenance of cell shape in Escherichia coli","container-title":"Journal of bacteriology","page":"3055-3064","volume":"183","issue":"10","abstract":"Escherichia coli has 12 recognized penicillin binding proteins (PBPs), four of which (PBPs 4, 5, and 6 and DacD) have DD-carboxypeptidase activity. Although the enzymology of the DD-carboxypeptidases has been studied extensively, the in vivo functions of these proteins are poorly understood. To explain why E. coli maintains four independent loci encoding enzymes of considerable sequence identity and comparable in vitro activity, it has been proposed that the DD-carboxypeptidases may substitute for one another in vivo. We tested the validity of this equivalent substitution hypothesis by investigating the effects of these proteins on the aberrant morphology of DeltadacA mutants, which produce no PBP 5. Although cloned PBP 5 complemented the morphological phenotype of a DeltadacA mutant lacking a total of seven PBPs, controlled expression of PBP 4, PBP 6, or DacD did not. Also, a truncated PBP 5 protein lacking its amphipathic C-terminal membrane binding sequence did not reverse the morphological defects and was lethal at low levels of expression, implying that membrane anchoring is essential for the proper functioning of PBP 5. By examining a set of mutants from which multiple PBP genes were deleted, we found that significant morphological aberrations required the absence of at least three different PBPs. The greatest defects were observed in cells lacking, at minimum, PBPs 5 and 6 and one of the endopeptidases (either PBP 4 or PBP 7). The results further differentiate the roles of the low-molecular-weight PBPs, suggest a functional significance for the amphipathic membrane anchor of PBP 5 and, when combined with the recently determined crystal structure of PBP 5, suggest possible mechanisms by which these PBPs may contribute to maintenance of a uniform cell shape in E. coli.","DOI":"10.1128/JB.183.10.3055-3064.2001","note":"PMID: 11325933","journalAbbreviation":"J. Bacteriol.","author":[{"family":"Nelson","given":"D E"},{"family":"Young","given":"K D"}],"issued":{"year":2001,"month":5},"accessed":{"year":2012,"month":6,"day":19},"page-first":"3055"}},{"id":91,"uris":["http://zotero.org/users/944474/items/7RMNUWGI"],"uri":["http://zotero.org/users/944474/items/7RMNUWGI"],"itemData":{"id":91,"type":"article-journal","title":"Escherichia coli low-molecular-weight penicillin-binding proteins help orient septal FtsZ, and their absence leads to asymmetric cell division and branching","container-title":"Molecular Microbiology","abstract":"Escherichia coli cells lacking low-molecular-weight penicillin-binding proteins (LMW PBPs) exhibit morphological alterations that also appear when the septal protein FtsZ is mislocalized, suggesting that peptidoglycan modification and division may work together to produce cell shape. We found that in strains lacking PBP5 and other LMW PBPs, higher FtsZ concentrations increased the frequency of branched cells and incorrectly oriented Z rings by 10- to 15-fold. Invagination of these rings produced improperly oriented septa, which in turn gave rise to asymmetric cell poles that eventually elongated into branches. Branches always originated from the remnants of abnormal septation events, cementing the relationship between aberrant cell division and branch formation. In the absence of PBP5, PBP6 and DacD localized to nascent septa, suggesting that these PBPs can partially substitute for the loss of PBP5. We propose that branching begins when mislocalized FtsZ triggers the insertion of inert peptidoglycan at unusual positions during cell division. Only later, after normal cell wall elongation separates the patches, do branches become visible. Thus, a relationship between the LMW PBPs and cytoplasmic FtsZ ultimately affects cell division and overall shape.","URL":"http://www.ncbi.nlm.nih.gov/pubmed/22390731","DOI":"10.1111/j.1365-2958.2012.08023.x","note":"PMID: 22390731","author":[{"family":"Potluri","given":"Lakshmi-Prasad"},{"family":"de Pedro","given":"Miguel A"},{"family":"Young","given":"Kevin D"}],"issued":{"year":2012,"month":3,"day":5},"accessed":{"year":2012,"month":4,"day":2}}}],"schema":"https://github.com/citation-style-language/schema/raw/master/csl-citation.json"}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(Nelson and Young, 2001; Potluri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2012)</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w:t>
      </w:r>
      <w:r w:rsidRPr="00900361">
        <w:rPr>
          <w:rFonts w:ascii="Times New Roman" w:hAnsi="Times New Roman" w:cs="Times New Roman"/>
          <w:color w:val="000000" w:themeColor="text1"/>
          <w:sz w:val="16"/>
          <w:szCs w:val="16"/>
        </w:rPr>
        <w:t>DD</w:t>
      </w:r>
      <w:r w:rsidRPr="00900361">
        <w:rPr>
          <w:rFonts w:ascii="Times New Roman" w:hAnsi="Times New Roman" w:cs="Times New Roman"/>
          <w:color w:val="000000" w:themeColor="text1"/>
          <w:sz w:val="24"/>
          <w:szCs w:val="24"/>
        </w:rPr>
        <w:t xml:space="preserve">-carboxypeptidase activity is low in </w:t>
      </w:r>
      <w:r w:rsidRPr="00900361">
        <w:rPr>
          <w:rFonts w:ascii="Times New Roman" w:hAnsi="Times New Roman" w:cs="Times New Roman"/>
          <w:i/>
          <w:color w:val="000000" w:themeColor="text1"/>
          <w:sz w:val="24"/>
          <w:szCs w:val="24"/>
        </w:rPr>
        <w:t xml:space="preserve">S. aureus </w:t>
      </w:r>
      <w:r w:rsidRPr="00900361">
        <w:rPr>
          <w:rFonts w:ascii="Times New Roman" w:hAnsi="Times New Roman" w:cs="Times New Roman"/>
          <w:color w:val="000000" w:themeColor="text1"/>
          <w:sz w:val="24"/>
          <w:szCs w:val="24"/>
        </w:rPr>
        <w:t xml:space="preserve">and appears to be absent from organisms such as </w:t>
      </w:r>
      <w:r w:rsidRPr="00900361">
        <w:rPr>
          <w:rFonts w:ascii="Times New Roman" w:hAnsi="Times New Roman" w:cs="Times New Roman"/>
          <w:i/>
          <w:color w:val="000000" w:themeColor="text1"/>
          <w:sz w:val="24"/>
          <w:szCs w:val="24"/>
        </w:rPr>
        <w:t>C. crescentus</w:t>
      </w:r>
      <w:r w:rsidRPr="00900361">
        <w:rPr>
          <w:rFonts w:ascii="Times New Roman" w:hAnsi="Times New Roman" w:cs="Times New Roman"/>
          <w:color w:val="000000" w:themeColor="text1"/>
          <w:sz w:val="24"/>
          <w:szCs w:val="24"/>
        </w:rPr>
        <w:t>. These</w:t>
      </w:r>
      <w:r>
        <w:rPr>
          <w:rFonts w:ascii="Times New Roman" w:hAnsi="Times New Roman" w:cs="Times New Roman"/>
          <w:color w:val="000000"/>
          <w:sz w:val="24"/>
          <w:szCs w:val="24"/>
        </w:rPr>
        <w:t xml:space="preserve"> species have a high pentapeptide </w:t>
      </w:r>
      <w:r w:rsidRPr="00900361">
        <w:rPr>
          <w:rFonts w:ascii="Times New Roman" w:hAnsi="Times New Roman" w:cs="Times New Roman"/>
          <w:color w:val="000000" w:themeColor="text1"/>
          <w:sz w:val="24"/>
          <w:szCs w:val="24"/>
        </w:rPr>
        <w:lastRenderedPageBreak/>
        <w:t xml:space="preserve">content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{"citationID":"io14ita4r","properties":{"formattedCitation":"(Markiewicz et al., 1983)","plainCitation":"(Markiewicz et al., 1983)"},"citationItems":[{"id":591,"uris":["http://zotero.org/users/944474/items/AMGS7RHV"],"uri":["http://zotero.org/users/944474/items/AMGS7RHV"],"itemData":{"id":591,"type":"article-journal","title":"Murein structure and lack of DD- and LD-carboxypeptidase activities in Caulobacter crescentus","container-title":"Journal of bacteriology","page":"649-655","volume":"156","issue":"2","abstract":"High-pressure liquid chromatography of a muramidase digest of murein sacculi from Caulobacter crescentus showed that the absence of D-alanine carboxypeptidase activity in the cells was reflected by a very high content of pentapeptide in the murein. Approximately half of the pentapeptide side chains were shown to contain glycine, which replaced D-alanine as the terminal amino acid.","note":"PMID: 6630150","journalAbbreviation":"J. Bacteriol.","author":[{"family":"Markiewicz","given":"Z"},{"family":"Glauner","given":"B"},{"family":"Schwarz","given":"U"}],"issued":{"year":1983,"month":11},"accessed":{"year":2012,"month":6,"day":20},"page-first":"649"}}],"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(Markiewicz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1983)</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An abundance</w:t>
      </w:r>
      <w:r>
        <w:rPr>
          <w:rFonts w:ascii="Times New Roman" w:hAnsi="Times New Roman" w:cs="Times New Roman"/>
          <w:color w:val="000000"/>
          <w:sz w:val="24"/>
          <w:szCs w:val="24"/>
        </w:rPr>
        <w:t xml:space="preserve"> of pentapeptides in </w:t>
      </w:r>
      <w:r>
        <w:rPr>
          <w:rFonts w:ascii="Times New Roman" w:hAnsi="Times New Roman" w:cs="Times New Roman"/>
          <w:i/>
          <w:color w:val="000000"/>
          <w:sz w:val="24"/>
          <w:szCs w:val="24"/>
        </w:rPr>
        <w:t>C. crescentus</w:t>
      </w:r>
      <w:r>
        <w:rPr>
          <w:rFonts w:ascii="Times New Roman" w:hAnsi="Times New Roman" w:cs="Times New Roman"/>
          <w:color w:val="000000"/>
          <w:sz w:val="24"/>
          <w:szCs w:val="24"/>
        </w:rPr>
        <w:t xml:space="preserve"> may permit plasticity of the cell wall, facilitating morphological differentiation from swimmer to stalked cell types.</w:t>
      </w:r>
    </w:p>
    <w:p w:rsidR="00BC7652" w:rsidRDefault="00BC7652" w:rsidP="00BC7652">
      <w:pPr>
        <w:spacing w:line="480" w:lineRule="auto"/>
        <w:jc w:val="both"/>
        <w:rPr>
          <w:rFonts w:ascii="Times New Roman" w:hAnsi="Times New Roman" w:cs="Times New Roman"/>
          <w:color w:val="000000"/>
          <w:sz w:val="24"/>
          <w:szCs w:val="24"/>
        </w:rPr>
      </w:pPr>
    </w:p>
    <w:p w:rsidR="00BC7652" w:rsidRPr="00B92AE9" w:rsidRDefault="00BC7652" w:rsidP="00BC7652">
      <w:pPr>
        <w:tabs>
          <w:tab w:val="left" w:pos="1276"/>
        </w:tabs>
        <w:spacing w:line="48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1.7.2.3</w:t>
      </w:r>
      <w:r>
        <w:rPr>
          <w:rFonts w:ascii="Times New Roman" w:hAnsi="Times New Roman" w:cs="Times New Roman"/>
          <w:color w:val="000000"/>
          <w:sz w:val="28"/>
          <w:szCs w:val="28"/>
        </w:rPr>
        <w:tab/>
        <w:t>Cell separation</w:t>
      </w:r>
    </w:p>
    <w:p w:rsidR="00BC7652" w:rsidRPr="00900361" w:rsidRDefault="00BC7652" w:rsidP="00BC7652">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sz w:val="24"/>
          <w:szCs w:val="24"/>
        </w:rPr>
        <w:t xml:space="preserve">Peptidoglycan hydrolysis is required for separation of daughter cells. Multiple peptidoglycan hydrolases participate in splitting of the septum. In </w:t>
      </w:r>
      <w:r>
        <w:rPr>
          <w:rFonts w:ascii="Times New Roman" w:hAnsi="Times New Roman" w:cs="Times New Roman"/>
          <w:i/>
          <w:color w:val="000000"/>
          <w:sz w:val="24"/>
          <w:szCs w:val="24"/>
        </w:rPr>
        <w:t>E. coli</w:t>
      </w:r>
      <w:r>
        <w:rPr>
          <w:rFonts w:ascii="Times New Roman" w:hAnsi="Times New Roman" w:cs="Times New Roman"/>
          <w:color w:val="000000"/>
          <w:sz w:val="24"/>
          <w:szCs w:val="24"/>
        </w:rPr>
        <w:t xml:space="preserve">, different combinations of peptidoglycan hydrolase deletions (amidases AmiA, AmiB and AmiC; </w:t>
      </w:r>
      <w:r w:rsidRPr="00900361">
        <w:rPr>
          <w:rFonts w:ascii="Times New Roman" w:hAnsi="Times New Roman" w:cs="Times New Roman"/>
          <w:color w:val="000000" w:themeColor="text1"/>
          <w:sz w:val="24"/>
          <w:szCs w:val="24"/>
        </w:rPr>
        <w:t xml:space="preserve">lytic transglycosylases Slt70, MltA, MltB, MltC, MltD and EmtA; endopeptiases PBP4, PBP7 and MepA) produced varying degrees of chaining phenotype, up to ~100 cells per chain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{"citationID":"23833ms7cl","properties":{"formattedCitation":"(Heidrich et al., 2002)","plainCitation":"(Heidrich et al., 2002)"},"citationItems":[{"id":11,"uris":["http://zotero.org/users/944474/items/I3B2EM5S"],"uri":["http://zotero.org/users/944474/items/I3B2EM5S"],"itemData":{"id":11,"type":"article-journal","title":"Effects of multiple deletions of murein hydrolases on viability, septum cleavage, and sensitivity to large toxic molecules in Escherichia coli","container-title":"Journal of Bacteriology","page":"6093-6099","volume":"184","issue":"22","abstract":"The multiplicity of murein hydrolases found in most bacteria presents an obstacle to demonstrating the necessity of these potentially autolytic enzymes. Therefore, Escherichia coli mutants with deletions in multiple murein hydrolases, including lytic transglycosylases, amidases, and DD-endopeptidases, were constructed. Even a mutant from which seven different hydrolases were deleted was viable and grew at a normal rate. However, penicillin-induced lysis was retarded. Most of the mutants were affected in septum cleavage, which resulted in the formation of chains of cells. All three enzymes were shown to be capable of splitting the septum. Failure to cleave the septum resulted in an increase in outer membrane permeability, and thus the murein hydrolase mutants did not grow on MacConkey agar plates. In addition, the hydrolase mutants not only could be lysed by lysozyme in the absence of EDTA but also were sensitive to high-molecular-weight antibiotics, such as vancomycin and bacitracin, which are normally ineffective against E. coli.","note":"PMID: 12399477","journalAbbreviation":"J. Bacteriol.","author":[{"family":"Heidrich","given":"Christoph"},{"family":"Ursinus","given":"Astrid"},{"family":"Berger","given":"Jürgen"},{"family":"Schwarz","given":"Heinz"},{"family":"Höltje","given":"Joachim-Volker"}],"issued":{"year":2002,"month":11},"accessed":{"year":2012,"month":3,"day":6},"page-first":"6093"}}],"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(Heidrich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2002)</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w:t>
      </w:r>
      <w:r w:rsidRPr="00900361">
        <w:rPr>
          <w:rFonts w:ascii="Times New Roman" w:hAnsi="Times New Roman" w:cs="Times New Roman"/>
          <w:i/>
          <w:color w:val="000000" w:themeColor="text1"/>
          <w:sz w:val="24"/>
          <w:szCs w:val="24"/>
        </w:rPr>
        <w:t>B. subtilis</w:t>
      </w:r>
      <w:r w:rsidRPr="00900361">
        <w:rPr>
          <w:rFonts w:ascii="Times New Roman" w:hAnsi="Times New Roman" w:cs="Times New Roman"/>
          <w:color w:val="000000" w:themeColor="text1"/>
          <w:sz w:val="24"/>
          <w:szCs w:val="24"/>
        </w:rPr>
        <w:t xml:space="preserve"> LytF and CwlF mutants also formed chains suggesting participation in daughter cell separation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{"citationID":"stg1aqbv9","properties":{"formattedCitation":"(Ohnishi et al., 1999)","plainCitation":"(Ohnishi et al., 1999)"},"citationItems":[{"id":463,"uris":["http://zotero.org/users/944474/items/NTK5R7D8"],"uri":["http://zotero.org/users/944474/items/NTK5R7D8"],"itemData":{"id":463,"type":"article-journal","title":"Peptidoglycan hydrolase LytF plays a role in cell separation with CwlF during vegetative growth of Bacillus subtilis","container-title":"Journal of bacteriology","page":"3178-3184","volume":"181","issue":"10","abstract":"Peptidoglycan hydrolase, LytF (CwlE), was determined to be identical to YhdD (deduced cell wall binding protein) by zymography after insertional inactivation of the yhdD gene. YhdD exhibits high sequence similarity with CwlF (PapQ, LytE) and p60 of Listeria monocytogenes. The N-terminal region of YhdD has a signal sequence followed by five tandem repeated regions containing polyserine residues. The C-terminal region corresponds to the catalytic domain, because a truncated protein without the N-terminal region retained cell wall hydrolase activity. The histidine-tagged LytF protein produced in Escherichia coli cells hydrolyzed the linkage of D-gamma-glutamyl-meso-diaminopimelic acid in murein peptides, indicating that it is a D,L-endopeptidase. Northern hybridization and primer extension analyses indicated that the lytF gene was transcribed by EsigmaD RNA polymerase. Disruption of lytF led to slightly filamentous cells, and a lytF cwlF double mutant exhibited extraordinary microfiber formation, which is similar to the cell morphology of the cwlF sigD mutant.","note":"PMID: 10322020","journalAbbreviation":"J. Bacteriol.","author":[{"family":"Ohnishi","given":"R"},{"family":"Ishikawa","given":"S"},{"family":"Sekiguchi","given":"J"}],"issued":{"year":1999,"month":5},"accessed":{"year":2012,"month":6,"day":17},"page-first":"3178"}}],"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(Ohnishi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1999)</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In coccoid organisms, septum splitting hydrolases include Atl, Sle1, IsaA and SceD of </w:t>
      </w:r>
      <w:r w:rsidRPr="00900361">
        <w:rPr>
          <w:rFonts w:ascii="Times New Roman" w:hAnsi="Times New Roman" w:cs="Times New Roman"/>
          <w:i/>
          <w:color w:val="000000" w:themeColor="text1"/>
          <w:sz w:val="24"/>
          <w:szCs w:val="24"/>
        </w:rPr>
        <w:t>S. aureus</w:t>
      </w:r>
      <w:r w:rsidRPr="00900361">
        <w:rPr>
          <w:rFonts w:ascii="Times New Roman" w:hAnsi="Times New Roman" w:cs="Times New Roman"/>
          <w:color w:val="000000" w:themeColor="text1"/>
          <w:sz w:val="24"/>
          <w:szCs w:val="24"/>
        </w:rPr>
        <w:t xml:space="preserve">, LytB of </w:t>
      </w:r>
      <w:r w:rsidRPr="00900361">
        <w:rPr>
          <w:rFonts w:ascii="Times New Roman" w:hAnsi="Times New Roman" w:cs="Times New Roman"/>
          <w:i/>
          <w:color w:val="000000" w:themeColor="text1"/>
          <w:sz w:val="24"/>
          <w:szCs w:val="24"/>
        </w:rPr>
        <w:t>S. pneumoniae</w:t>
      </w:r>
      <w:r w:rsidRPr="00900361">
        <w:rPr>
          <w:rFonts w:ascii="Times New Roman" w:hAnsi="Times New Roman" w:cs="Times New Roman"/>
          <w:color w:val="000000" w:themeColor="text1"/>
          <w:sz w:val="24"/>
          <w:szCs w:val="24"/>
        </w:rPr>
        <w:t xml:space="preserve"> and AmiC of </w:t>
      </w:r>
      <w:r w:rsidRPr="00900361">
        <w:rPr>
          <w:rFonts w:ascii="Times New Roman" w:hAnsi="Times New Roman" w:cs="Times New Roman"/>
          <w:i/>
          <w:color w:val="000000" w:themeColor="text1"/>
          <w:sz w:val="24"/>
          <w:szCs w:val="24"/>
        </w:rPr>
        <w:t>Neisseria gonorrhoeae</w:t>
      </w:r>
      <w:r w:rsidRPr="00900361">
        <w:rPr>
          <w:rFonts w:ascii="Times New Roman" w:hAnsi="Times New Roman" w:cs="Times New Roman"/>
          <w:color w:val="000000" w:themeColor="text1"/>
          <w:sz w:val="24"/>
          <w:szCs w:val="24"/>
        </w:rPr>
        <w:t xml:space="preserve">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{"citationID":"2kh2l4aka8","properties":{"formattedCitation":"{\\rtf (Foster, 1995; Garc\\uc0\\u237{}a et al., 1999; De Las Rivas et al., 2002; Kajimura et al., 2005; Garcia and Dillard, 2006; Stapleton et al., 2007)}","plainCitation":"(Foster, 1995; García et al., 1999; De Las Rivas et al., 2002; Kajimura et al., 2005; Garcia and Dillard, 2006; Stapleton et al., 2007)"},"citationItems":[{"id":48,"uris":["http://zotero.org/users/944474/items/D8DIGEZA"],"uri":["http://zotero.org/users/944474/items/D8DIGEZA"],"itemData":{"id":48,"type":"article-journal","title":"Molecular characterization and functional analysis of the major autolysin of Staphylococcus aureus 8325/4","container-title":"Journal of Bacteriology","page":"5723-5725","volume":"177","issue":"19","abstract":"The gene encoding the major autolysin of Staphylococcus aureus 8325/4 has been cloned, sequenced, and insertionally inactivated. The three-domain, 137,384-Da protein has a C-terminal glucosaminidase active site and is involved in cell separation, generalized cell lysis, and release of wall material at the cell surface. Expression occurs throughout growth and is stimulated by low temperatures and in the presence of 1 M NaCl.","note":"PMID: 7559367","journalAbbreviation":"J. Bacteriol.","author":[{"family":"Foster","given":"S J"}],"issued":{"year":1995,"month":10},"accessed":{"year":2012,"month":3,"day":6},"page-first":"5723"}},{"id":581,"uris":["http://zotero.org/users/944474/items/SCEBXN4T"],"uri":["http://zotero.org/users/944474/items/SCEBXN4T"],"itemData":{"id":581,"type":"article-journal","title":"LytB, a novel pneumococcal murein hydrolase essential for cell separation","container-title":"Molecular microbiology","page":"1275-1281","volume":"31","issue":"4","note":"PMID: 10096093","journalAbbreviation":"Mol. Microbiol.","author":[{"family":"García","given":"P"},{"family":"González","given":"M P"},{"family":"García","given":"E"},{"family":"López","given":"R"},{"family":"García","given":"J L"}],"issued":{"year":1999,"month":2},"accessed":{"year":2012,"month":6,"day":20},"page-first":"1275"}},{"id":117,"uris":["http://zotero.org/users/944474/items/3GCA9NUA"],"uri":["http://zotero.org/users/944474/items/3GCA9NUA"],"itemData":{"id":117,"type":"article-journal","title":"Purification and polar localization of pneumococcal LytB, a putative endo-beta-N-acetylglucosaminidase: the chain-dispersing murein hydrolase","container-title":"Journal of Bacteriology","page":"4988-5000","volume":"184","issue":"18","abstract":"The DNA region encoding the mature form of a pneumococcal murein hydrolase (LytB) was cloned and expressed in Escherichia coli. LytB was purified by affinity chromatography, and its activity was suggested to be the first identified endo-beta-N-acetylglucosaminidase of Streptococcus pneumoniae. LytB can remove a maximum of only 25% of the radioactivity from [(3)H]choline-labeled pneumococcal cell walls in in vitro assays. Inactivation of the lytB gene of wild-type strain R6 (R6B mutant) led to the formation of long chains but did not affect either total cell wall hydrolytic activity at the stationary phase of growth or development of genetic competence. Longer chains were formed when the lytB mutation was introduced into the M31 strain (M31B mutant), which harbors a complete deletion of lytA, which codes for the major autolysin. Furthermore, the use of this mutant revealed that LytB is the first nonautolytic murein hydrolase of pneumococcus. Purified LytB added to pneumococcal cultures of R6B or M31B was capable of dispersing, in a dose-dependent manner, the long chains characteristic of these mutants into diplococci or short chains, the typical morphology of R6 and M31 strains, respectively. In vitro acetylation of purified pneumococcal cell walls did not affect the activity of LytB, whereas that of the LytA amidase was drastically reduced. On the other hand, the use of a translational fusion between the gene (gfp) coding for the green fluorescent protein (GFP) and lytB supports the notion that LytB accumulates in the cell poles of either the wild-type R6, lytB mutants, or ethanolamine-containing cells (EA cells). The GFP-LytB fusion protein was also able to unchain the lytB mutants but not the EA cells. In contrast, translational fusion protein GFP-LytA preferentially bound to the equatorial regions of choline-containing cells but did not affect their average chain length. These observations suggest the existence of specific receptors for LytB that are positioned at the polar region on the pneumococcal surface, allowing localized peptidoglycan hydrolysis and separation of the daughter cells.","note":"PMID: 12193614","shortTitle":"Purification and polar localization of pneumococcal LytB, a putative endo-beta-N-acetylglucosaminidase","journalAbbreviation":"J. Bacteriol.","author":[{"family":"De Las Rivas","given":"Blanca"},{"family":"García","given":"José L"},{"family":"López","given":"Rubens"},{"family":"García","given":"Pedro"}],"issued":{"year":2002,"month":9},"accessed":{"year":2012,"month":4,"day":2},"page-first":"4988"}},{"id":15,"uris":["http://zotero.org/users/944474/items/BI3RAZBN"],"uri":["http://zotero.org/users/944474/items/BI3RAZBN"],"itemData":{"id":15,"type":"article-journal","title":"Identification and molecular characterization of an N-acetylmuramyl-L-alanine amidase Sle1 involved in cell separation of Staphylococcus aureus","container-title":"Molecular Microbiology","page":"1087-1101","volume":"58","issue":"4","abstract":"We purified a peptidoglycan hydrolase involved in cell separation from a Staphylococcus aureus atl null mutant and identified its gene. Characterization of the gene product shows a 32 kDa N-acetylmuramyl-L-alanine amidase that we designated Sle1. Analysis of peptidoglycan digests showed Sle1 preferentially cleaved N-acetylmuramyl-L-Ala bonds in dimeric cross-bridges that interlink the two murein strands in the peptidoglycan. An insertion mutation of sle1 impaired cell separation and induced S. aureus to form clusters suggesting Sle1 is involved in cell separation of S. aureus. The Sle1 mutant revealed a significant decrease in pathogenesis using an acute infection mouse model. Atl is the major autolysin of S. aureus, which has been implicated in cell separation of S. aureus. Generation of an atl/sle1 double mutant revealed that the mutant cell separation was heavily impaired suggesting that S. aureus uses two peptidoglycan hydrolases, Atl and Sle1, for cell separation. Unlike Atl, Sle1 is not directly involved in autolysis of S. aureus.","DOI":"10.1111/j.1365-2958.2005.04881.x","note":"PMID: 16262792","journalAbbreviation":"Mol. Microbiol.","author":[{"family":"Kajimura","given":"Junko"},{"family":"Fujiwara","given":"Tamaki"},{"family":"Yamada","given":"Sakuo"},{"family":"Suzawa","given":"Yoshika"},{"family":"Nishida","given":"Tetsuya"},{"family":"Oyamada","given":"Yoshihiro"},{"family":"Hayashi","given":"Ikue"},{"family":"Yamagishi","given":"Jun-ichi"},{"family":"Komatsuzawa","given":"Hitoshi"},{"family":"Sugai","given":"Motoyuki"}],"issued":{"year":2005,"month":11},"accessed":{"year":2012,"month":3,"day":6},"page-first":"1087"}},{"id":586,"uris":["http://zotero.org/users/944474/items/DE48TCS9"],"uri":["http://zotero.org/users/944474/items/DE48TCS9"],"itemData":{"id":586,"type":"article-journal","title":"AmiC functions as an N-acetylmuramyl-l-alanine amidase necessary for cell separation and can promote autolysis in Neisseria gonorrhoeae","container-title":"Journal of bacteriology","page":"7211-7221","volume":"188","issue":"20","abstract":"Neisseria gonorrhoeae is prone to undergo autolysis under many conditions not conducive to growth. The role of autolysis during gonococcal infection is not known, but possible advantages for the bacterial population include provision of nutrients to a starving population, modulation of the host immune response by released cell components, and donation of DNA for natural transformation. Biochemical studies indicated that an N-acetylmuramyl-l-alanine amidase is responsible for cell wall breakdown during autolysis. In order to better understand autolysis and in hopes of creating a nonautolytic mutant, we mutated amiC, the gene for a putative peptidoglycan-degrading amidase in N. gonorrhoeae. Characterization of peptidoglycan fragments released during growth showed that an amiC mutant did not produce free disaccharide, consistent with a role for AmiC as an N-acetylmuramyl-l-alanine amidase. Compared to the wild-type parent, the mutant exhibited altered growth characteristics, including slowed exponential-phase growth, increased turbidity in stationary phase, and increased colony opacity. Thin-section electron micrographs showed that mutant cells did not fully separate but grew as clumps. Complementation of the amiC deletion mutant with wild-type amiC restored wild-type growth characteristics and transparent colony morphology. Overexpression of amiC resulted in increased cell lysis, supporting AmiC's purported function as a gonococcal autolysin. However, amiC mutants still underwent autolysis in stationary phase, indicating that other gonococcal enzymes are also involved in this process.","DOI":"10.1128/JB.00724-06","note":"PMID: 17015660","journalAbbreviation":"J. Bacteriol.","author":[{"family":"Garcia","given":"Daniel L"},{"family":"Dillard","given":"Joseph P"}],"issued":{"year":2006,"month":10},"accessed":{"year":2012,"month":6,"day":20},"page-first":"7211"}},{"id":164,"uris":["http://zotero.org/users/944474/items/TSCN2PPV"],"uri":["http://zotero.org/users/944474/items/TSCN2PPV"],"itemData":{"id":164,"type":"article-journal","title":"Characterization of IsaA and SceD, Two Putative Lytic Transglycosylases of Staphylococcus Aureus","container-title":"Journal of Bacteriology","page":"7316-7325","volume":"189","issue":"20","DOI":"10.1128/JB.00734-07","journalAbbreviation":"J. Bacteriol.","language":"en","author":[{"family":"Stapleton","given":"Melanie R."},{"family":"Horsburgh","given":"Malcolm J."},{"family":"Hayhurst","given":"Emma J."},{"family":"Wright","given":"Lynda"},{"family":"Jonsson","given":"Ing-Marie"},{"family":"Tarkowski","given":"Andrej"},{"family":"Kokai-Kun","given":"John F."},{"family":"Mond","given":"James J."},{"family":"Foster","given":"Simon J."}],"issued":{"year":2007,"month":10,"day":15},"accessed":{"year":2012,"month":5,"day":4},"page-first":"7316"}}],"schema":"https://github.com/citation-style-language/schema/raw/master/csl-citation.json"}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szCs w:val="24"/>
        </w:rPr>
        <w:t xml:space="preserve">(Foster, 1995; García </w:t>
      </w:r>
      <w:r w:rsidRPr="00C521B3">
        <w:rPr>
          <w:rFonts w:ascii="Times New Roman" w:hAnsi="Times New Roman" w:cs="Times New Roman"/>
          <w:i/>
          <w:color w:val="000000" w:themeColor="text1"/>
          <w:sz w:val="24"/>
          <w:szCs w:val="24"/>
        </w:rPr>
        <w:t>et al</w:t>
      </w:r>
      <w:r w:rsidRPr="00900361">
        <w:rPr>
          <w:rFonts w:ascii="Times New Roman" w:hAnsi="Times New Roman" w:cs="Times New Roman"/>
          <w:color w:val="000000" w:themeColor="text1"/>
          <w:sz w:val="24"/>
          <w:szCs w:val="24"/>
        </w:rPr>
        <w:t xml:space="preserve">., 1999; De Las Rivas </w:t>
      </w:r>
      <w:r w:rsidRPr="00C521B3">
        <w:rPr>
          <w:rFonts w:ascii="Times New Roman" w:hAnsi="Times New Roman" w:cs="Times New Roman"/>
          <w:i/>
          <w:color w:val="000000" w:themeColor="text1"/>
          <w:sz w:val="24"/>
          <w:szCs w:val="24"/>
        </w:rPr>
        <w:t>et al</w:t>
      </w:r>
      <w:r w:rsidRPr="00900361">
        <w:rPr>
          <w:rFonts w:ascii="Times New Roman" w:hAnsi="Times New Roman" w:cs="Times New Roman"/>
          <w:color w:val="000000" w:themeColor="text1"/>
          <w:sz w:val="24"/>
          <w:szCs w:val="24"/>
        </w:rPr>
        <w:t xml:space="preserve">., 2002; Kajimura </w:t>
      </w:r>
      <w:r w:rsidRPr="00C521B3">
        <w:rPr>
          <w:rFonts w:ascii="Times New Roman" w:hAnsi="Times New Roman" w:cs="Times New Roman"/>
          <w:i/>
          <w:color w:val="000000" w:themeColor="text1"/>
          <w:sz w:val="24"/>
          <w:szCs w:val="24"/>
        </w:rPr>
        <w:t>et al</w:t>
      </w:r>
      <w:r w:rsidRPr="00900361">
        <w:rPr>
          <w:rFonts w:ascii="Times New Roman" w:hAnsi="Times New Roman" w:cs="Times New Roman"/>
          <w:color w:val="000000" w:themeColor="text1"/>
          <w:sz w:val="24"/>
          <w:szCs w:val="24"/>
        </w:rPr>
        <w:t xml:space="preserve">., 2005; Garcia and Dillard, 2006; Stapleton </w:t>
      </w:r>
      <w:r w:rsidRPr="00C521B3">
        <w:rPr>
          <w:rFonts w:ascii="Times New Roman" w:hAnsi="Times New Roman" w:cs="Times New Roman"/>
          <w:i/>
          <w:color w:val="000000" w:themeColor="text1"/>
          <w:sz w:val="24"/>
          <w:szCs w:val="24"/>
        </w:rPr>
        <w:t>et al</w:t>
      </w:r>
      <w:r w:rsidRPr="00900361">
        <w:rPr>
          <w:rFonts w:ascii="Times New Roman" w:hAnsi="Times New Roman" w:cs="Times New Roman"/>
          <w:color w:val="000000" w:themeColor="text1"/>
          <w:sz w:val="24"/>
          <w:szCs w:val="24"/>
        </w:rPr>
        <w:t>., 2007)</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w:t>
      </w:r>
    </w:p>
    <w:p w:rsidR="00BC7652" w:rsidRPr="00900361" w:rsidRDefault="00BC7652" w:rsidP="00BC7652">
      <w:pPr>
        <w:spacing w:line="480" w:lineRule="auto"/>
        <w:jc w:val="both"/>
        <w:rPr>
          <w:rFonts w:ascii="Times New Roman" w:hAnsi="Times New Roman" w:cs="Times New Roman"/>
          <w:color w:val="000000" w:themeColor="text1"/>
          <w:sz w:val="24"/>
          <w:szCs w:val="24"/>
        </w:rPr>
      </w:pPr>
    </w:p>
    <w:p w:rsidR="00BC7652" w:rsidRPr="00900361" w:rsidRDefault="00BC7652" w:rsidP="00BC7652">
      <w:pPr>
        <w:tabs>
          <w:tab w:val="left" w:pos="1276"/>
        </w:tabs>
        <w:spacing w:line="480" w:lineRule="auto"/>
        <w:jc w:val="both"/>
        <w:rPr>
          <w:rFonts w:ascii="Times New Roman" w:hAnsi="Times New Roman" w:cs="Times New Roman"/>
          <w:color w:val="000000" w:themeColor="text1"/>
          <w:sz w:val="28"/>
          <w:szCs w:val="28"/>
        </w:rPr>
      </w:pPr>
      <w:r w:rsidRPr="00900361">
        <w:rPr>
          <w:rFonts w:ascii="Times New Roman" w:hAnsi="Times New Roman" w:cs="Times New Roman"/>
          <w:color w:val="000000" w:themeColor="text1"/>
          <w:sz w:val="28"/>
          <w:szCs w:val="28"/>
        </w:rPr>
        <w:t>1.7.2.4</w:t>
      </w:r>
      <w:r w:rsidRPr="00900361">
        <w:rPr>
          <w:rFonts w:ascii="Times New Roman" w:hAnsi="Times New Roman" w:cs="Times New Roman"/>
          <w:color w:val="000000" w:themeColor="text1"/>
          <w:sz w:val="28"/>
          <w:szCs w:val="28"/>
        </w:rPr>
        <w:tab/>
        <w:t>Differentiation to produce endospores</w:t>
      </w:r>
    </w:p>
    <w:p w:rsidR="00BC7652" w:rsidRDefault="00BC7652" w:rsidP="00BC7652">
      <w:pPr>
        <w:tabs>
          <w:tab w:val="left" w:pos="937"/>
        </w:tabs>
        <w:autoSpaceDE w:val="0"/>
        <w:autoSpaceDN w:val="0"/>
        <w:adjustRightInd w:val="0"/>
        <w:spacing w:after="120" w:line="480" w:lineRule="auto"/>
        <w:jc w:val="both"/>
        <w:rPr>
          <w:rFonts w:ascii="Times New Roman" w:hAnsi="Times New Roman" w:cs="Times New Roman"/>
          <w:color w:val="000000"/>
          <w:sz w:val="24"/>
          <w:szCs w:val="24"/>
        </w:rPr>
        <w:sectPr w:rsidR="00BC7652" w:rsidSect="006C5A4E">
          <w:type w:val="continuous"/>
          <w:pgSz w:w="11906" w:h="16838"/>
          <w:pgMar w:top="1440" w:right="1134" w:bottom="1440" w:left="2268" w:header="708" w:footer="708" w:gutter="0"/>
          <w:cols w:space="708"/>
          <w:docGrid w:linePitch="360"/>
        </w:sectPr>
      </w:pPr>
      <w:r w:rsidRPr="00900361">
        <w:rPr>
          <w:rFonts w:ascii="Times New Roman" w:hAnsi="Times New Roman" w:cs="Times New Roman"/>
          <w:color w:val="000000" w:themeColor="text1"/>
          <w:sz w:val="24"/>
          <w:szCs w:val="24"/>
        </w:rPr>
        <w:t xml:space="preserve">Under conditions of nutrient starvation </w:t>
      </w:r>
      <w:r w:rsidRPr="00900361">
        <w:rPr>
          <w:rFonts w:ascii="Times New Roman" w:hAnsi="Times New Roman" w:cs="Times New Roman"/>
          <w:i/>
          <w:color w:val="000000" w:themeColor="text1"/>
          <w:sz w:val="24"/>
          <w:szCs w:val="24"/>
        </w:rPr>
        <w:t>Bacillus</w:t>
      </w:r>
      <w:r w:rsidRPr="00900361">
        <w:rPr>
          <w:rFonts w:ascii="Times New Roman" w:hAnsi="Times New Roman" w:cs="Times New Roman"/>
          <w:color w:val="000000" w:themeColor="text1"/>
          <w:sz w:val="24"/>
          <w:szCs w:val="24"/>
        </w:rPr>
        <w:t xml:space="preserve"> and </w:t>
      </w:r>
      <w:r w:rsidRPr="00900361">
        <w:rPr>
          <w:rFonts w:ascii="Times New Roman" w:hAnsi="Times New Roman" w:cs="Times New Roman"/>
          <w:i/>
          <w:color w:val="000000" w:themeColor="text1"/>
          <w:sz w:val="24"/>
          <w:szCs w:val="24"/>
        </w:rPr>
        <w:t>Clostridrium</w:t>
      </w:r>
      <w:r w:rsidRPr="00900361">
        <w:rPr>
          <w:rFonts w:ascii="Times New Roman" w:hAnsi="Times New Roman" w:cs="Times New Roman"/>
          <w:color w:val="000000" w:themeColor="text1"/>
          <w:sz w:val="24"/>
          <w:szCs w:val="24"/>
        </w:rPr>
        <w:t xml:space="preserve"> species undergo cellular differentiation to produce endospores. Peptidoglycan hydrolases play an integral role throughout sporulation and germination</w:t>
      </w:r>
      <w:r w:rsidRPr="00900361">
        <w:rPr>
          <w:rFonts w:ascii="Times New Roman" w:hAnsi="Times New Roman" w:cs="Times New Roman"/>
          <w:color w:val="000000" w:themeColor="text1"/>
          <w:sz w:val="28"/>
          <w:szCs w:val="28"/>
        </w:rPr>
        <w:t xml:space="preserve"> </w:t>
      </w:r>
      <w:r w:rsidRPr="00900361">
        <w:rPr>
          <w:rFonts w:ascii="Times New Roman" w:hAnsi="Times New Roman" w:cs="Times New Roman"/>
          <w:color w:val="000000" w:themeColor="text1"/>
          <w:sz w:val="24"/>
          <w:szCs w:val="24"/>
        </w:rPr>
        <w:t>(Figure 1.10</w:t>
      </w:r>
      <w:r>
        <w:rPr>
          <w:rFonts w:ascii="Times New Roman" w:hAnsi="Times New Roman" w:cs="Times New Roman"/>
          <w:color w:val="000000" w:themeColor="text1"/>
          <w:sz w:val="24"/>
          <w:szCs w:val="24"/>
        </w:rPr>
        <w:t>;</w:t>
      </w:r>
      <w:r w:rsidRPr="00900361">
        <w:rPr>
          <w:rFonts w:ascii="Times New Roman" w:hAnsi="Times New Roman" w:cs="Times New Roman"/>
          <w:color w:val="000000" w:themeColor="text1"/>
          <w:sz w:val="24"/>
          <w:szCs w:val="24"/>
        </w:rPr>
        <w:t xml:space="preserve">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{"citationID":"167csc7u6u","properties":{"formattedCitation":"(Smith et al., 2000; Errington, 2003; Piggot and Hilbert, 2004)","plainCitation":"(Smith et al., 2000; Errington, 2003; Piggot and Hilbert, 2004)"},"citationItems":[{"id":29,"uris":["http://zotero.org/users/944474/items/PW3FWR5H"],"uri":["http://zotero.org/users/944474/items/PW3FWR5H"],"itemData":{"id":29,"type":"article-journal","title":"Autolysins of Bacillus subtilis: multiple enzymes with multiple functions","container-title":"Microbiology (Reading, England)","page":"249-262","volume":"146 ( Pt 2)","note":"PMID: 10708363","shortTitle":"Autolysins of Bacillus subtilis","journalAbbreviation":"Microbiology (Reading, Engl.)","author":[{"family":"Smith","given":"T J"},{"family":"Blackman","given":"S A"},{"family":"Foster","given":"S J"}],"issued":{"year":2000,"month":2},"accessed":{"year":2012,"month":3,"day":6},"page-first":"249"}},{"id":595,"uris":["http://zotero.org/users/944474/items/ABIB9Q8E"],"uri":["http://zotero.org/users/944474/items/ABIB9Q8E"],"itemData":{"id":595,"type":"article-journal","title":"Regulation of endospore formation in Bacillus subtilis","container-title":"Nature reviews. Microbiology","page":"117-126","volume":"1","issue":"2","abstract":"Spore formation in bacteria poses a number of biological problems of fundamental significance. Asymmetric cell division at the onset of sporulation is a powerful model for studying basic cell-cycle problems, including chromosome segregation and septum formation. Sporulation is one of the best understood examples of cellular development and differentiation. Fascinating problems posed by sporulation include the temporal and spatial control of gene expression, intercellular communication and various aspects of cell morphogenesis.","DOI":"10.1038/nrmicro750","note":"PMID: 15035041","journalAbbreviation":"Nat. Rev. Microbiol.","author":[{"family":"Errington","given":"Jeff"}],"issued":{"year":2003,"month":11},"accessed":{"year":2012,"month":6,"day":20},"page-first":"117"}},{"id":596,"uris":["http://zotero.org/users/944474/items/VKG48EQW"],"uri":["http://zotero.org/users/944474/items/VKG48EQW"],"itemData":{"id":596,"type":"article-journal","title":"Sporulation of Bacillus subtilis","container-title":"Current opinion in microbiology","page":"579-586","volume":"7","issue":"6","abstract":"Differentiation of vegetative Bacillus subtilis into heat resistant spores is initiated by the activation of the key transcription regulator Spo0A through the phosphorelay. Subsequent events depend on the cell compartment-specific action of a series of RNA polymerase sigma factors. Analysis of genes in the Spo0A regulon has helped delineate the mechanisms of axial chromatin formation and asymmetric division. There have been considerable advances in our understanding of critical controls that act to regulate the phosphorelay and to activate the sigma factors.","DOI":"10.1016/j.mib.2004.10.001","note":"PMID: 15556029","journalAbbreviation":"Curr. Opin. Microbiol.","author":[{"family":"Piggot","given":"Patrick J"},{"family":"Hilbert","given":"David W"}],"issued":{"year":2004,"month":12},"accessed":{"year":2012,"month":6,"day":20},"page-first":"579"}}],"schema":"https://github.com/citation-style-language/schema/raw/master/csl-citation.json"}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Smith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2000; Errington, 2003; Piggot and Hilbert, 2004)</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They are required for hydrolysis of the asymmetric septum, one of the first stages in spore formation</w:t>
      </w:r>
      <w:r w:rsidRPr="004809EF">
        <w:rPr>
          <w:rFonts w:ascii="Times New Roman" w:hAnsi="Times New Roman" w:cs="Times New Roman"/>
          <w:color w:val="000000"/>
          <w:sz w:val="24"/>
          <w:szCs w:val="24"/>
        </w:rPr>
        <w:t xml:space="preserve">, </w:t>
      </w:r>
      <w:r>
        <w:rPr>
          <w:rFonts w:ascii="Times New Roman" w:hAnsi="Times New Roman" w:cs="Times New Roman"/>
          <w:color w:val="000000"/>
          <w:sz w:val="24"/>
          <w:szCs w:val="24"/>
        </w:rPr>
        <w:t>maturation</w:t>
      </w:r>
      <w:r w:rsidRPr="004809EF">
        <w:rPr>
          <w:rFonts w:ascii="Times New Roman" w:hAnsi="Times New Roman" w:cs="Times New Roman"/>
          <w:color w:val="000000"/>
          <w:sz w:val="24"/>
          <w:szCs w:val="24"/>
        </w:rPr>
        <w:t xml:space="preserve"> of the unique </w:t>
      </w:r>
    </w:p>
    <w:p w:rsidR="00BC7652" w:rsidRDefault="00BC7652" w:rsidP="00BC7652">
      <w:pPr>
        <w:autoSpaceDE w:val="0"/>
        <w:autoSpaceDN w:val="0"/>
        <w:adjustRightInd w:val="0"/>
        <w:spacing w:after="120" w:line="48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w:lastRenderedPageBreak/>
        <w:drawing>
          <wp:inline distT="0" distB="0" distL="0" distR="0">
            <wp:extent cx="5731510" cy="4085590"/>
            <wp:effectExtent l="19050" t="0" r="0" b="0"/>
            <wp:docPr id="23" name="Picture 3" descr="Figure 1_X Bacillus subtilis differentiation.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_X Bacillus subtilis differentiation.emf"/>
                    <pic:cNvPicPr/>
                  </pic:nvPicPr>
                  <pic:blipFill>
                    <a:blip r:embed="rId22" cstate="print"/>
                    <a:stretch>
                      <a:fillRect/>
                    </a:stretch>
                  </pic:blipFill>
                  <pic:spPr>
                    <a:xfrm>
                      <a:off x="0" y="0"/>
                      <a:ext cx="5731510" cy="4085590"/>
                    </a:xfrm>
                    <a:prstGeom prst="rect">
                      <a:avLst/>
                    </a:prstGeom>
                  </pic:spPr>
                </pic:pic>
              </a:graphicData>
            </a:graphic>
          </wp:inline>
        </w:drawing>
      </w:r>
    </w:p>
    <w:p w:rsidR="00BC7652" w:rsidRPr="00B953A8" w:rsidRDefault="00BC7652" w:rsidP="00BC7652">
      <w:pPr>
        <w:spacing w:line="360" w:lineRule="auto"/>
        <w:jc w:val="both"/>
        <w:rPr>
          <w:rFonts w:ascii="Times New Roman" w:hAnsi="Times New Roman" w:cs="Times New Roman"/>
          <w:color w:val="000000"/>
          <w:sz w:val="24"/>
          <w:szCs w:val="24"/>
        </w:rPr>
      </w:pPr>
      <w:proofErr w:type="gramStart"/>
      <w:r w:rsidRPr="00900361">
        <w:rPr>
          <w:rFonts w:ascii="Times New Roman" w:hAnsi="Times New Roman" w:cs="Times New Roman"/>
          <w:b/>
          <w:color w:val="000000" w:themeColor="text1"/>
          <w:sz w:val="24"/>
          <w:szCs w:val="24"/>
        </w:rPr>
        <w:t>Figure 1.10.</w:t>
      </w:r>
      <w:proofErr w:type="gramEnd"/>
      <w:r w:rsidRPr="00900361">
        <w:rPr>
          <w:rFonts w:ascii="Times New Roman" w:hAnsi="Times New Roman" w:cs="Times New Roman"/>
          <w:b/>
          <w:color w:val="000000" w:themeColor="text1"/>
          <w:sz w:val="24"/>
          <w:szCs w:val="24"/>
        </w:rPr>
        <w:t xml:space="preserve"> </w:t>
      </w:r>
      <w:proofErr w:type="gramStart"/>
      <w:r w:rsidRPr="00900361">
        <w:rPr>
          <w:rFonts w:ascii="Times New Roman" w:hAnsi="Times New Roman" w:cs="Times New Roman"/>
          <w:b/>
          <w:color w:val="000000" w:themeColor="text1"/>
          <w:sz w:val="24"/>
          <w:szCs w:val="24"/>
        </w:rPr>
        <w:t xml:space="preserve">The role of autolysins throughout cellular differentiation of </w:t>
      </w:r>
      <w:r w:rsidRPr="00900361">
        <w:rPr>
          <w:rFonts w:ascii="Times New Roman" w:hAnsi="Times New Roman" w:cs="Times New Roman"/>
          <w:b/>
          <w:i/>
          <w:color w:val="000000" w:themeColor="text1"/>
          <w:sz w:val="24"/>
          <w:szCs w:val="24"/>
        </w:rPr>
        <w:t>B. subtilis.</w:t>
      </w:r>
      <w:proofErr w:type="gramEnd"/>
      <w:r w:rsidRPr="00900361">
        <w:rPr>
          <w:rFonts w:ascii="Times New Roman" w:hAnsi="Times New Roman" w:cs="Times New Roman"/>
          <w:i/>
          <w:color w:val="000000" w:themeColor="text1"/>
          <w:sz w:val="24"/>
          <w:szCs w:val="24"/>
        </w:rPr>
        <w:t xml:space="preserve"> </w:t>
      </w:r>
      <w:r w:rsidRPr="00900361">
        <w:rPr>
          <w:rFonts w:ascii="Times New Roman" w:hAnsi="Times New Roman" w:cs="Times New Roman"/>
          <w:color w:val="000000" w:themeColor="text1"/>
          <w:sz w:val="24"/>
          <w:szCs w:val="24"/>
        </w:rPr>
        <w:t xml:space="preserve">Adapted from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{"citationID":"1nifm70sg1","properties":{"formattedCitation":"(Smith et al., 2000; Vollmer et al., 2008)","plainCitation":"(Smith et al., 2000; Vollmer et al., 2008)"},"citationItems":[{"id":29,"uris":["http://zotero.org/users/944474/items/PW3FWR5H"],"uri":["http://zotero.org/users/944474/items/PW3FWR5H"],"itemData":{"id":29,"type":"article-journal","title":"Autolysins of Bacillus subtilis: multiple enzymes with multiple functions","container-title":"Microbiology (Reading, England)","page":"249-262","volume":"146 ( Pt 2)","note":"PMID: 10708363","shortTitle":"Autolysins of Bacillus subtilis","journalAbbreviation":"Microbiology (Reading, Engl.)","author":[{"family":"Smith","given":"T J"},{"family":"Blackman","given":"S A"},{"family":"Foster","given":"S J"}],"issued":{"year":2000,"month":2},"accessed":{"year":2012,"month":3,"day":6},"page-first":"249"}},{"id":36,"uris":["http://zotero.org/users/944474/items/GNMZZW6M"],"uri":["http://zotero.org/users/944474/items/GNMZZW6M"],"itemData":{"id":36,"type":"article-journal","title":"Bacterial peptidoglycan (murein) hydrolases","container-title":"FEMS Microbiology Reviews","page":"259-286","volume":"32","issue":"2","DOI":"10.1111/j.1574-6976.2007.00099.x","author":[{"family":"Vollmer","given":"Waldemar"},{"family":"Joris","given":"Bernard"},{"family":"Charlier","given":"Paulette"},{"family":"Foster","given":"Simon"}],"issued":{"year":2008,"month":3},"accessed":{"year":2012,"month":3,"day":6},"page-first":"259"}}],"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szCs w:val="24"/>
        </w:rPr>
        <w:t xml:space="preserve">(Smith </w:t>
      </w:r>
      <w:r w:rsidRPr="00C521B3">
        <w:rPr>
          <w:rFonts w:ascii="Times New Roman" w:hAnsi="Times New Roman" w:cs="Times New Roman"/>
          <w:i/>
          <w:color w:val="000000" w:themeColor="text1"/>
          <w:sz w:val="24"/>
          <w:szCs w:val="24"/>
        </w:rPr>
        <w:t>et al</w:t>
      </w:r>
      <w:r w:rsidRPr="00900361">
        <w:rPr>
          <w:rFonts w:ascii="Times New Roman" w:hAnsi="Times New Roman" w:cs="Times New Roman"/>
          <w:color w:val="000000" w:themeColor="text1"/>
          <w:sz w:val="24"/>
          <w:szCs w:val="24"/>
        </w:rPr>
        <w:t xml:space="preserve">., 2000; Vollmer </w:t>
      </w:r>
      <w:r w:rsidRPr="00C521B3">
        <w:rPr>
          <w:rFonts w:ascii="Times New Roman" w:hAnsi="Times New Roman" w:cs="Times New Roman"/>
          <w:i/>
          <w:color w:val="000000" w:themeColor="text1"/>
          <w:sz w:val="24"/>
          <w:szCs w:val="24"/>
        </w:rPr>
        <w:t>et al</w:t>
      </w:r>
      <w:r w:rsidRPr="00900361">
        <w:rPr>
          <w:rFonts w:ascii="Times New Roman" w:hAnsi="Times New Roman" w:cs="Times New Roman"/>
          <w:color w:val="000000" w:themeColor="text1"/>
          <w:sz w:val="24"/>
          <w:szCs w:val="24"/>
        </w:rPr>
        <w:t>., 2008)</w:t>
      </w:r>
      <w:r w:rsidRPr="00900361">
        <w:rPr>
          <w:rFonts w:ascii="Times New Roman" w:hAnsi="Times New Roman" w:cs="Times New Roman"/>
          <w:color w:val="000000" w:themeColor="text1"/>
          <w:sz w:val="24"/>
          <w:szCs w:val="24"/>
        </w:rPr>
        <w:fldChar w:fldCharType="end"/>
      </w:r>
      <w:r w:rsidRPr="00B953A8">
        <w:rPr>
          <w:rFonts w:ascii="Times New Roman" w:hAnsi="Times New Roman" w:cs="Times New Roman"/>
          <w:color w:val="000000"/>
          <w:sz w:val="24"/>
          <w:szCs w:val="24"/>
        </w:rPr>
        <w:t>.</w:t>
      </w:r>
    </w:p>
    <w:p w:rsidR="00BC7652" w:rsidRDefault="00BC7652" w:rsidP="00BC7652">
      <w:pPr>
        <w:rPr>
          <w:rFonts w:ascii="Times New Roman" w:hAnsi="Times New Roman" w:cs="Times New Roman"/>
          <w:color w:val="000000"/>
          <w:sz w:val="28"/>
          <w:szCs w:val="28"/>
        </w:rPr>
      </w:pPr>
      <w:r>
        <w:rPr>
          <w:rFonts w:ascii="Times New Roman" w:hAnsi="Times New Roman" w:cs="Times New Roman"/>
          <w:color w:val="000000"/>
          <w:sz w:val="28"/>
          <w:szCs w:val="28"/>
        </w:rPr>
        <w:br w:type="page"/>
      </w:r>
    </w:p>
    <w:p w:rsidR="00BC7652" w:rsidRPr="00900361" w:rsidRDefault="00BC7652" w:rsidP="00BC7652">
      <w:pPr>
        <w:tabs>
          <w:tab w:val="left" w:pos="937"/>
        </w:tabs>
        <w:autoSpaceDE w:val="0"/>
        <w:autoSpaceDN w:val="0"/>
        <w:adjustRightInd w:val="0"/>
        <w:spacing w:after="120" w:line="480" w:lineRule="auto"/>
        <w:jc w:val="both"/>
        <w:rPr>
          <w:rFonts w:ascii="Times New Roman" w:hAnsi="Times New Roman" w:cs="Times New Roman"/>
          <w:color w:val="000000" w:themeColor="text1"/>
          <w:sz w:val="28"/>
          <w:szCs w:val="28"/>
        </w:rPr>
      </w:pPr>
      <w:proofErr w:type="gramStart"/>
      <w:r w:rsidRPr="004809EF">
        <w:rPr>
          <w:rFonts w:ascii="Times New Roman" w:hAnsi="Times New Roman" w:cs="Times New Roman"/>
          <w:color w:val="000000"/>
          <w:sz w:val="24"/>
          <w:szCs w:val="24"/>
        </w:rPr>
        <w:lastRenderedPageBreak/>
        <w:t>spore</w:t>
      </w:r>
      <w:proofErr w:type="gramEnd"/>
      <w:r w:rsidRPr="004809EF">
        <w:rPr>
          <w:rFonts w:ascii="Times New Roman" w:hAnsi="Times New Roman" w:cs="Times New Roman"/>
          <w:color w:val="000000"/>
          <w:sz w:val="24"/>
          <w:szCs w:val="24"/>
        </w:rPr>
        <w:t xml:space="preserve"> cortex</w:t>
      </w:r>
      <w:r>
        <w:rPr>
          <w:rFonts w:ascii="Times New Roman" w:hAnsi="Times New Roman" w:cs="Times New Roman"/>
          <w:color w:val="000000"/>
          <w:sz w:val="24"/>
          <w:szCs w:val="24"/>
        </w:rPr>
        <w:t xml:space="preserve"> chemistry (~50%</w:t>
      </w:r>
      <w:r w:rsidRPr="004809EF">
        <w:rPr>
          <w:rFonts w:ascii="Times New Roman" w:hAnsi="Times New Roman" w:cs="Times New Roman"/>
          <w:color w:val="000000"/>
          <w:sz w:val="24"/>
          <w:szCs w:val="24"/>
        </w:rPr>
        <w:t xml:space="preserve"> </w:t>
      </w:r>
      <w:r>
        <w:rPr>
          <w:rFonts w:ascii="Times New Roman" w:hAnsi="Times New Roman" w:cs="Times New Roman"/>
          <w:color w:val="000000"/>
          <w:sz w:val="24"/>
          <w:szCs w:val="24"/>
        </w:rPr>
        <w:t>muramic</w:t>
      </w:r>
      <w:r w:rsidRPr="004809EF">
        <w:rPr>
          <w:rFonts w:ascii="Times New Roman" w:hAnsi="Times New Roman" w:cs="Times New Roman"/>
          <w:color w:val="000000"/>
          <w:sz w:val="24"/>
          <w:szCs w:val="24"/>
        </w:rPr>
        <w:t xml:space="preserve"> δ-lactam residues</w:t>
      </w:r>
      <w:r>
        <w:rPr>
          <w:rFonts w:ascii="Times New Roman" w:hAnsi="Times New Roman" w:cs="Times New Roman"/>
          <w:color w:val="000000"/>
          <w:sz w:val="24"/>
          <w:szCs w:val="24"/>
        </w:rPr>
        <w:t xml:space="preserve"> inplace of Mur</w:t>
      </w:r>
      <w:r w:rsidRPr="009A5EA1">
        <w:rPr>
          <w:rFonts w:ascii="Times New Roman" w:hAnsi="Times New Roman" w:cs="Times New Roman"/>
          <w:i/>
          <w:color w:val="000000"/>
          <w:sz w:val="24"/>
          <w:szCs w:val="24"/>
        </w:rPr>
        <w:t>N</w:t>
      </w:r>
      <w:r>
        <w:rPr>
          <w:rFonts w:ascii="Times New Roman" w:hAnsi="Times New Roman" w:cs="Times New Roman"/>
          <w:color w:val="000000"/>
          <w:sz w:val="24"/>
          <w:szCs w:val="24"/>
        </w:rPr>
        <w:t>Ac)</w:t>
      </w:r>
      <w:r w:rsidRPr="004809EF">
        <w:rPr>
          <w:rFonts w:ascii="Times New Roman" w:hAnsi="Times New Roman" w:cs="Times New Roman"/>
          <w:color w:val="000000"/>
          <w:sz w:val="24"/>
          <w:szCs w:val="24"/>
        </w:rPr>
        <w:t>, and endosp</w:t>
      </w:r>
      <w:r>
        <w:rPr>
          <w:rFonts w:ascii="Times New Roman" w:hAnsi="Times New Roman" w:cs="Times New Roman"/>
          <w:color w:val="000000"/>
          <w:sz w:val="24"/>
          <w:szCs w:val="24"/>
        </w:rPr>
        <w:t>o</w:t>
      </w:r>
      <w:r w:rsidRPr="004809EF">
        <w:rPr>
          <w:rFonts w:ascii="Times New Roman" w:hAnsi="Times New Roman" w:cs="Times New Roman"/>
          <w:color w:val="000000"/>
          <w:sz w:val="24"/>
          <w:szCs w:val="24"/>
        </w:rPr>
        <w:t xml:space="preserve">re release by lysis of the mother cell wall. </w:t>
      </w:r>
      <w:r>
        <w:rPr>
          <w:rFonts w:ascii="Times New Roman" w:hAnsi="Times New Roman" w:cs="Times New Roman"/>
          <w:color w:val="000000"/>
          <w:sz w:val="24"/>
          <w:szCs w:val="24"/>
        </w:rPr>
        <w:t xml:space="preserve">During </w:t>
      </w:r>
      <w:r w:rsidRPr="004809EF">
        <w:rPr>
          <w:rFonts w:ascii="Times New Roman" w:hAnsi="Times New Roman" w:cs="Times New Roman"/>
          <w:color w:val="000000"/>
          <w:sz w:val="24"/>
          <w:szCs w:val="24"/>
        </w:rPr>
        <w:t xml:space="preserve">germination </w:t>
      </w:r>
      <w:r>
        <w:rPr>
          <w:rFonts w:ascii="Times New Roman" w:hAnsi="Times New Roman" w:cs="Times New Roman"/>
          <w:color w:val="000000"/>
          <w:sz w:val="24"/>
          <w:szCs w:val="24"/>
        </w:rPr>
        <w:t>hydrolysis</w:t>
      </w:r>
      <w:r w:rsidRPr="004809EF">
        <w:rPr>
          <w:rFonts w:ascii="Times New Roman" w:hAnsi="Times New Roman" w:cs="Times New Roman"/>
          <w:color w:val="000000"/>
          <w:sz w:val="24"/>
          <w:szCs w:val="24"/>
        </w:rPr>
        <w:t xml:space="preserve"> </w:t>
      </w:r>
      <w:r>
        <w:rPr>
          <w:rFonts w:ascii="Times New Roman" w:hAnsi="Times New Roman" w:cs="Times New Roman"/>
          <w:color w:val="000000"/>
          <w:sz w:val="24"/>
          <w:szCs w:val="24"/>
        </w:rPr>
        <w:t>of the endospore cortex initiates</w:t>
      </w:r>
      <w:r w:rsidRPr="004809EF">
        <w:rPr>
          <w:rFonts w:ascii="Times New Roman" w:hAnsi="Times New Roman" w:cs="Times New Roman"/>
          <w:color w:val="000000"/>
          <w:sz w:val="24"/>
          <w:szCs w:val="24"/>
        </w:rPr>
        <w:t xml:space="preserve"> influx of water</w:t>
      </w:r>
      <w:r>
        <w:rPr>
          <w:rFonts w:ascii="Times New Roman" w:hAnsi="Times New Roman" w:cs="Times New Roman"/>
          <w:color w:val="000000"/>
          <w:sz w:val="24"/>
          <w:szCs w:val="24"/>
        </w:rPr>
        <w:t xml:space="preserve"> and</w:t>
      </w:r>
      <w:r w:rsidRPr="004809EF">
        <w:rPr>
          <w:rFonts w:ascii="Times New Roman" w:hAnsi="Times New Roman" w:cs="Times New Roman"/>
          <w:color w:val="000000"/>
          <w:sz w:val="24"/>
          <w:szCs w:val="24"/>
        </w:rPr>
        <w:t xml:space="preserve"> nutrient uptake </w:t>
      </w:r>
      <w:r>
        <w:rPr>
          <w:rFonts w:ascii="Times New Roman" w:hAnsi="Times New Roman" w:cs="Times New Roman"/>
          <w:color w:val="000000"/>
          <w:sz w:val="24"/>
          <w:szCs w:val="24"/>
        </w:rPr>
        <w:t>for</w:t>
      </w:r>
      <w:r w:rsidRPr="004809EF">
        <w:rPr>
          <w:rFonts w:ascii="Times New Roman" w:hAnsi="Times New Roman" w:cs="Times New Roman"/>
          <w:color w:val="000000"/>
          <w:sz w:val="24"/>
          <w:szCs w:val="24"/>
        </w:rPr>
        <w:t xml:space="preserve"> regeneration of </w:t>
      </w:r>
      <w:r w:rsidRPr="00900361">
        <w:rPr>
          <w:rFonts w:ascii="Times New Roman" w:hAnsi="Times New Roman" w:cs="Times New Roman"/>
          <w:color w:val="000000" w:themeColor="text1"/>
          <w:sz w:val="24"/>
          <w:szCs w:val="24"/>
        </w:rPr>
        <w:t xml:space="preserve">vegetative cells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{"citationID":"16n6j70tob","properties":{"formattedCitation":"(Smith et al., 2000)","plainCitation":"(Smith et al., 2000)"},"citationItems":[{"id":29,"uris":["http://zotero.org/users/944474/items/PW3FWR5H"],"uri":["http://zotero.org/users/944474/items/PW3FWR5H"],"itemData":{"id":29,"type":"article-journal","title":"Autolysins of Bacillus subtilis: multiple enzymes with multiple functions","container-title":"Microbiology (Reading, England)","page":"249-262","volume":"146 ( Pt 2)","note":"PMID: 10708363","shortTitle":"Autolysins of Bacillus subtilis","journalAbbreviation":"Microbiology (Reading, Engl.)","author":[{"family":"Smith","given":"T J"},{"family":"Blackman","given":"S A"},{"family":"Foster","given":"S J"}],"issued":{"year":2000,"month":2},"accessed":{"year":2012,"month":3,"day":6},"page-first":"249"}}],"schema":"https://github.com/citation-style-language/schema/raw/master/csl-citation.json"}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(Smith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2000)</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w:t>
      </w:r>
    </w:p>
    <w:p w:rsidR="00BC7652" w:rsidRDefault="00BC7652" w:rsidP="00BC7652">
      <w:pPr>
        <w:autoSpaceDE w:val="0"/>
        <w:autoSpaceDN w:val="0"/>
        <w:adjustRightInd w:val="0"/>
        <w:spacing w:after="120" w:line="480" w:lineRule="auto"/>
        <w:jc w:val="both"/>
        <w:rPr>
          <w:rFonts w:ascii="Times New Roman" w:hAnsi="Times New Roman" w:cs="Times New Roman"/>
          <w:color w:val="000000"/>
          <w:sz w:val="24"/>
          <w:szCs w:val="24"/>
        </w:rPr>
      </w:pPr>
    </w:p>
    <w:p w:rsidR="00BC7652" w:rsidRPr="007D0FC6" w:rsidRDefault="00BC7652" w:rsidP="00BC7652">
      <w:pPr>
        <w:tabs>
          <w:tab w:val="left" w:pos="1276"/>
        </w:tabs>
        <w:autoSpaceDE w:val="0"/>
        <w:autoSpaceDN w:val="0"/>
        <w:adjustRightInd w:val="0"/>
        <w:spacing w:after="120" w:line="48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1.7.2.5</w:t>
      </w:r>
      <w:r>
        <w:rPr>
          <w:rFonts w:ascii="Times New Roman" w:hAnsi="Times New Roman" w:cs="Times New Roman"/>
          <w:color w:val="000000"/>
          <w:sz w:val="28"/>
          <w:szCs w:val="28"/>
        </w:rPr>
        <w:tab/>
      </w:r>
      <w:r w:rsidRPr="007D0FC6">
        <w:rPr>
          <w:rFonts w:ascii="Times New Roman" w:hAnsi="Times New Roman" w:cs="Times New Roman"/>
          <w:color w:val="000000"/>
          <w:sz w:val="28"/>
          <w:szCs w:val="28"/>
        </w:rPr>
        <w:t>Assembly of trans-envelope structures</w:t>
      </w:r>
    </w:p>
    <w:p w:rsidR="00BC7652" w:rsidRPr="00900361" w:rsidRDefault="00BC7652" w:rsidP="00BC7652">
      <w:pPr>
        <w:autoSpaceDE w:val="0"/>
        <w:autoSpaceDN w:val="0"/>
        <w:adjustRightInd w:val="0"/>
        <w:spacing w:after="12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sz w:val="24"/>
          <w:szCs w:val="24"/>
        </w:rPr>
        <w:t xml:space="preserve">The </w:t>
      </w:r>
      <w:r w:rsidRPr="00900361">
        <w:rPr>
          <w:rFonts w:ascii="Times New Roman" w:hAnsi="Times New Roman" w:cs="Times New Roman"/>
          <w:color w:val="000000" w:themeColor="text1"/>
          <w:sz w:val="24"/>
          <w:szCs w:val="24"/>
        </w:rPr>
        <w:t xml:space="preserve">stressed peptidoglycan network is permeable to small molecules up to 50-100 kDa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{"citationID":"1va2ajmt50","properties":{"formattedCitation":"{\\rtf (Demchick and Koch, 1996; V\\uc0\\u225{}zquez-Laslop et al., 2001)}","plainCitation":"(Demchick and Koch, 1996; Vázquez-Laslop et al., 2001)"},"citationItems":[{"id":592,"uris":["http://zotero.org/users/944474/items/RCX6BFHA"],"uri":["http://zotero.org/users/944474/items/RCX6BFHA"],"itemData":{"id":592,"type":"article-journal","title":"The permeability of the wall fabric of Escherichia coli and Bacillus subtilis","container-title":"Journal of bacteriology","page":"768-773","volume":"178","issue":"3","abstract":"To study the overall structure of the peptidoglycan fabric of the sacculi of gram-negative and gram-positive walls, actively growing cultures of Escherichia coli and Bacillus subtilis were treated with boiling sodium dodecyl sulfate solutions. The sacculi were then treated with enzymes to eliminate proteins and nucleic acids. These intact saccoli were probed with fluorescein-labeled dextrans with a range of known molecular weights. The penetration of the probes could be monitored by the negative-staining appearance in the fluorescence microscope. At several chosen times, the molecular weight fraction that allowed barely observable entry of the fluorescein-labeled probe and the molecular weight fraction that penetrated to achieve almost, but not quite, the concentration of probe in the solution external to the sacculi were determined. From three pairs of times and molecular weights that met one or the other of these two criteria, the effective pore size could be calculated. The minimum size of protein molecule that could diffuse through the pores was also calculated. Two mathematical models, which gave essentially the same results, were used to interpret the experimental data: one for the permeation of random coils through a surface containing holes and the other for rigid spheres diffusing through water-filled cylindrical pores. The mean estimate of the effective hole radius in walls from E. coli is 2.06 nm, and that of the effective hole size in walls from B. subtilis is 2.12 nm. These results are supported by experiments in which the loss of preloaded cells was monitored. Various fluorescein-labeled dextran samples were mixed with samples of intact cell walls, held for a long time, and then diluted. The efflux of the dextrans was monitored. Neither large nor small dextrans stained under these conditions. Only with dextran samples of a sufficiently small size were the sacculi filled during the preincubation period, and only with the largest of these could the probe not escape quickly. From the pore (or mesh) size, it can be concluded that the wall fabric of both organisms has few imperfections and that the major passageway is through the smallest possible pore, or \"tessera,\" formed by the maximal cross-linking of the peptides from glycan chain to glycan chain compatible with the degree of rotational flexibility of the chains of repeating disaccharides of N-acetyl muramic acid and N-acetyl glucosamine. A tessera is composed of two chains of eight saccharides cross-linked by two octapeptides. The size of a globular hydrophilic molecule, if it did not bind to wall components, that could pass freely through the meshwork of an unstretched sacculus of either organism is roughly 25 kDa. We stress that this is only a rough estimate, and it may be possible for proteins of less than 50 kDa to pass through the native wall during normal growth conditions.","note":"PMID: 8550511","journalAbbreviation":"J. Bacteriol.","author":[{"family":"Demchick","given":"P"},{"family":"Koch","given":"A L"}],"issued":{"year":1996,"month":2},"accessed":{"year":2012,"month":6,"day":20},"page-first":"768"}},{"id":593,"uris":["http://zotero.org/users/944474/items/JT876C76"],"uri":["http://zotero.org/users/944474/items/JT876C76"],"itemData":{"id":593,"type":"article-journal","title":"Molecular sieve mechanism of selective release of cytoplasmic proteins by osmotically shocked Escherichia coli","container-title":"Journal of bacteriology","page":"2399-2404","volume":"183","issue":"8","abstract":"Escherichia coli cells, the outer membrane of which is permeabilized with EDTA, release a specific subset of cytoplasmic proteins upon a sudden drop in osmolarity in the surrounding medium. This subset includes EF-Tu, thioredoxin, and DnaK among other proteins, and comprises approximately 10% of the total bacterial protein content. As we demonstrate here, the same proteins are released from electroporated E. coli cells pretreated with EDTA. Although known for several decades, the phenomenon of selective release of proteins has received no satisfactory explanation. Here we show that the subset of released proteins is almost identical to the subset of proteins that are able to pass through a 100-kDa-cutoff cellulose membrane upon molecular filtration of an E. coli homogenate. This finding indicates that in osmotically shocked or electroporated bacteria, proteins are strained through a molecular sieve formed by the transiently damaged bacterial envelope. As a result, proteins of small native sizes are selectively released, whereas large proteins and large protein complexes are retained by bacterial cells.","DOI":"10.1128/JB.183.8.2399-2404.2001","note":"PMID: 11274096","journalAbbreviation":"J. Bacteriol.","author":[{"family":"Vázquez-Laslop","given":"N"},{"family":"Lee","given":"H"},{"family":"Hu","given":"R"},{"family":"Neyfakh","given":"A A"}],"issued":{"year":2001,"month":4},"accessed":{"year":2012,"month":6,"day":20},"page-first":"2399"}}],"schema":"https://github.com/citation-style-language/schema/raw/master/csl-citation.json"}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szCs w:val="24"/>
        </w:rPr>
        <w:t xml:space="preserve">(Demchick and Koch, 1996; Vázquez-Laslop </w:t>
      </w:r>
      <w:r w:rsidRPr="00C521B3">
        <w:rPr>
          <w:rFonts w:ascii="Times New Roman" w:hAnsi="Times New Roman" w:cs="Times New Roman"/>
          <w:i/>
          <w:color w:val="000000" w:themeColor="text1"/>
          <w:sz w:val="24"/>
          <w:szCs w:val="24"/>
        </w:rPr>
        <w:t>et al</w:t>
      </w:r>
      <w:r w:rsidRPr="00900361">
        <w:rPr>
          <w:rFonts w:ascii="Times New Roman" w:hAnsi="Times New Roman" w:cs="Times New Roman"/>
          <w:color w:val="000000" w:themeColor="text1"/>
          <w:sz w:val="24"/>
          <w:szCs w:val="24"/>
        </w:rPr>
        <w:t>., 2001)</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This is insufficient to accomodate large trans-envelope complexes such as flagellar motors and secretion systems. Localised hydrolysis of the peptidoglycan may create pores in the cell wall for assembly of trans-envelope complexes. Apparent pores in the cell poles of </w:t>
      </w:r>
      <w:r w:rsidRPr="00900361">
        <w:rPr>
          <w:rFonts w:ascii="Times New Roman" w:hAnsi="Times New Roman" w:cs="Times New Roman"/>
          <w:i/>
          <w:color w:val="000000" w:themeColor="text1"/>
          <w:sz w:val="24"/>
          <w:szCs w:val="24"/>
        </w:rPr>
        <w:t>Fusiformis nodosus</w:t>
      </w:r>
      <w:r w:rsidRPr="00900361">
        <w:rPr>
          <w:rFonts w:ascii="Times New Roman" w:hAnsi="Times New Roman" w:cs="Times New Roman"/>
          <w:color w:val="000000" w:themeColor="text1"/>
          <w:sz w:val="24"/>
          <w:szCs w:val="24"/>
        </w:rPr>
        <w:t xml:space="preserve"> were associated with the presence of fimbriae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{"citationID":"21irfa4n4l","properties":{"formattedCitation":"(Hamilton et al., 1975)","plainCitation":"(Hamilton et al., 1975)"},"citationItems":[{"id":515,"uris":["http://zotero.org/users/944474/items/VD8QTRC9"],"uri":["http://zotero.org/users/944474/items/VD8QTRC9"],"itemData":{"id":515,"type":"article-journal","title":"An association between fimbriae and pores in the wall of Fusiformis nodosus","container-title":"Journal of general microbiology","page":"421-424","volume":"91","issue":"2","note":"PMID: 1206378","journalAbbreviation":"J. Gen. Microbiol.","author":[{"family":"Hamilton","given":"R C"},{"family":"Bover","given":"F G"},{"family":"Mason","given":"T J"}],"issued":{"year":1975,"month":12},"accessed":{"year":2012,"month":6,"day":19},"page-first":"421"}}],"schema":"https://github.com/citation-style-language/schema/raw/master/csl-citation.json"}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(Hamilton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1975)</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Gene clusters associated with type II, type III and type IV secretion systems, the type IV pili and flagellar assembly,</w:t>
      </w:r>
      <w:r w:rsidRPr="00900361">
        <w:rPr>
          <w:rFonts w:ascii="Times New Roman" w:hAnsi="Times New Roman" w:cs="Times New Roman"/>
          <w:i/>
          <w:color w:val="000000" w:themeColor="text1"/>
          <w:sz w:val="24"/>
          <w:szCs w:val="24"/>
        </w:rPr>
        <w:t xml:space="preserve"> </w:t>
      </w:r>
      <w:r w:rsidRPr="00900361">
        <w:rPr>
          <w:rFonts w:ascii="Times New Roman" w:hAnsi="Times New Roman" w:cs="Times New Roman"/>
          <w:color w:val="000000" w:themeColor="text1"/>
          <w:sz w:val="24"/>
          <w:szCs w:val="24"/>
        </w:rPr>
        <w:t xml:space="preserve">typically encode one or more lytic transglycosylases, implicating these enzymes as specialised hydrolases for enlargement of pores in the sacculus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{"citationID":"1953kfujbr","properties":{"formattedCitation":"(Koraimann, 2003)","plainCitation":"(Koraimann, 2003)"},"citationItems":[{"id":522,"uris":["http://zotero.org/users/944474/items/HIZGS4C7"],"uri":["http://zotero.org/users/944474/items/HIZGS4C7"],"itemData":{"id":522,"type":"article-journal","title":"Lytic transglycosylases in macromolecular transport systems of Gram-negative bacteria","container-title":"Cellular and molecular life sciences: CMLS","page":"2371-2388","volume":"60","issue":"11","abstract":"The cell wall of Gram-negative bacteria is essential for the integrity of the bacterial cell but also imposes a physical barrier to trans-envelope transport processes in which DNA and/or proteins are taken up or secreted by complex protein assemblies. The presence of genes encoding lytic transglycosylases in macromolecular transport systems (bacteriophage entry, type II secretion and type IV pilus synthesis, type III secretion, type IV secretion) suggests an important role for these specialised cell-wall-degrading enzymes. Such enzymes are capable of locally enlarging gaps in the peptidoglycan meshwork to allow the efficient assembly and anchoring of supramolecular transport complexes in the cell envelope. In this review, current knowledge on the role and distribution of these specialised murein-degrading enzymes in diverse macromolecular transport systems is summarised and discussed.","DOI":"10.1007/s00018-003-3056-1","note":"PMID: 14625683","journalAbbreviation":"Cell. Mol. Life Sci.","author":[{"family":"Koraimann","given":"G"}],"issued":{"year":2003,"month":11},"accessed":{"year":2012,"month":6,"day":19},"page-first":"2371"}}],"schema":"https://github.com/citation-style-language/schema/raw/master/csl-citation.json"}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(Koraimann, 2003)</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Other classes of peptidoglycan hydrolases also participate in assembly of trans-envelope complexes. LytC (amidase), LytD (glucosaminidase) and LytF (endopeptidase) of </w:t>
      </w:r>
      <w:r w:rsidRPr="00900361">
        <w:rPr>
          <w:rFonts w:ascii="Times New Roman" w:hAnsi="Times New Roman" w:cs="Times New Roman"/>
          <w:i/>
          <w:color w:val="000000" w:themeColor="text1"/>
          <w:sz w:val="24"/>
          <w:szCs w:val="24"/>
        </w:rPr>
        <w:t>B. subtilis</w:t>
      </w:r>
      <w:r w:rsidRPr="00900361">
        <w:rPr>
          <w:rFonts w:ascii="Times New Roman" w:hAnsi="Times New Roman" w:cs="Times New Roman"/>
          <w:color w:val="000000" w:themeColor="text1"/>
          <w:sz w:val="24"/>
          <w:szCs w:val="24"/>
        </w:rPr>
        <w:t xml:space="preserve"> are coregulated with genes required for flagellar motility and chemotaxis, and LytC and LytD mutants have reduced motility</w:t>
      </w:r>
      <w:r w:rsidRPr="00900361">
        <w:rPr>
          <w:rFonts w:ascii="Times New Roman" w:hAnsi="Times New Roman" w:cs="Times New Roman"/>
          <w:i/>
          <w:color w:val="000000" w:themeColor="text1"/>
          <w:sz w:val="24"/>
          <w:szCs w:val="24"/>
        </w:rPr>
        <w:t xml:space="preserve">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{"citationID":"ma6n6bb59","properties":{"formattedCitation":"(Margot et al., 1994)","plainCitation":"(Margot et al., 1994)"},"citationItems":[{"id":314,"uris":["http://zotero.org/users/944474/items/XP2QQSIK"],"uri":["http://zotero.org/users/944474/items/XP2QQSIK"],"itemData":{"id":314,"type":"article-journal","title":"The gene of the N-acetylglucosaminidase, a Bacillus subtilis 168 cell wall hydrolase not involved in vegetative cell autolysis","container-title":"Molecular microbiology","page":"535-545","volume":"12","issue":"4","abstract":"lytD, the structural gene of the Bacillus subtilis 168 N-acetylglucosaminidase was localized at 310 degrees, next to the tagABC operon. Sequence analysis revealed a monocistronic operon encoding a 95.6 kDa protein endowed with an export signal, the cleavage of which yields the monomer polypeptide (92.8 kDa) of the dimeric active form of the enzyme. Transcription is initiated at a sigma-D (sigma D)-dependent promoter and ends at a terminator common to lytD and the divergently transcribed tagABC operon. In addition, we report the sequence of the adjacent upstream ORF, transcribed in the same direction as lytD, which shows significant homology to phosphomannose isomerase-encoding genes. Cell separation, motility, autolysis, cell wall turnover and growth were not affected in strains devoid of the N-acetylglucosaminidase. A mutant deficient in the two most abundant autolysins, i.e. the LytC amidase and the glucosaminidase, exhibited the phenotype of the amidase-deficient strains, revealing their non-requirement for growth. This conclusion raises two fundamental questions: how does the cell undo the highly cross-linked peptidoglycan so as to be able to grow, and what is the role of the considerable amount of autolysin normally present? Possible answers to these questions are discussed.","note":"PMID: 7934877","journalAbbreviation":"Mol. Microbiol.","author":[{"family":"Margot","given":"P"},{"family":"Mauël","given":"C"},{"family":"Karamata","given":"D"}],"issued":{"year":1994,"month":5},"accessed":{"year":2012,"month":5,"day":30},"page-first":"535"}}],"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(Margot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1994)</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In Salmonella </w:t>
      </w:r>
      <w:r w:rsidRPr="00900361">
        <w:rPr>
          <w:rFonts w:ascii="Times New Roman" w:hAnsi="Times New Roman" w:cs="Times New Roman"/>
          <w:i/>
          <w:color w:val="000000" w:themeColor="text1"/>
          <w:sz w:val="24"/>
          <w:szCs w:val="24"/>
        </w:rPr>
        <w:t>spp</w:t>
      </w:r>
      <w:r w:rsidRPr="00900361">
        <w:rPr>
          <w:rFonts w:ascii="Times New Roman" w:hAnsi="Times New Roman" w:cs="Times New Roman"/>
          <w:color w:val="000000" w:themeColor="text1"/>
          <w:sz w:val="24"/>
          <w:szCs w:val="24"/>
        </w:rPr>
        <w:t xml:space="preserve">., the flagellar assembly protein FlgJ has C-terminal muramidase activity, which is required for formation of the outer membrane L-ring and export of the flagellar hook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{"citationID":"2nlgru4f1h","properties":{"formattedCitation":"(Nambu et al., 1999; Hirano et al., 2001)","plainCitation":"(Nambu et al., 1999; Hirano et al., 2001)"},"citationItems":[{"id":312,"uris":["http://zotero.org/users/944474/items/73Z7P4XK"],"uri":["http://zotero.org/users/944474/items/73Z7P4XK"],"itemData":{"id":312,"type":"article-journal","title":"Peptidoglycan-hydrolyzing activity of the FlgJ protein, essential for flagellar rod formation in Salmonella typhimurium","container-title":"Journal of bacteriology","page":"1555-1561","volume":"181","issue":"5","abstract":"Because the rod structure of the flagellar basal body crosses the inner membrane, the periplasmic space, and the outer membrane, its formation must involve hydrolysis of the peptidoglycan layer. So far, more than 10 genes have been shown to be required for rod formation in Salmonella typhimurium. Some of them encode the component proteins of the rod structure, and most of the remaining genes are believed to encode proteins involved in the export process of the component proteins. Although FlgJ has also been known to be involved in rod formation, its exact role has not been understood. Recently, it was suggested that the C-terminal half of the FlgJ protein has homology to the active center of some muramidase enzymes from gram-positive bacteria. In this study, we showed that the purified FlgJ protein from S. typhimurium has a peptidoglycan-hydrolyzing activity and that this activity is localized in its C-terminal half. Through oligonucleotide-directed mutagenesis, we constructed flgJ mutants with amino acid substitutions in the putative active center of the muramidase. The resulting mutants produced FlgJ proteins with reduced enzymatic activity and showed poor motility. These results indicate that the muramidase activity of FlgJ is essential for flagellar formation. Immunoblotting analysis with the fractionated cell extracts revealed that FlgJ is exported to the periplasmic space, where the peptidoglycan layer is localized. On the basis of these results, we conclude that FlgJ is the flagellum-specific muramidase which hydrolyzes the peptidoglycan layer to assemble the rod structure in the periplasmic space.","note":"PMID: 10049388","journalAbbreviation":"J. Bacteriol.","author":[{"family":"Nambu","given":"T"},{"family":"Minamino","given":"T"},{"family":"Macnab","given":"R M"},{"family":"Kutsukake","given":"K"}],"issued":{"year":1999,"month":3},"accessed":{"year":2012,"month":5,"day":30},"page-first":"1555"}},{"id":311,"uris":["http://zotero.org/users/944474/items/9FZ8UMMN"],"uri":["http://zotero.org/users/944474/items/9FZ8UMMN"],"itemData":{"id":311,"type":"article-journal","title":"The role in flagellar rod assembly of the N-terminal domain of Salmonella FlgJ, a flagellum-specific muramidase","container-title":"Journal of molecular biology","page":"359-369","volume":"312","issue":"2","abstract":"The C-terminal half of the Salmonella flagellar protein FlgJ has peptidoglycan hydrolyzing activity and it has been suggested that it is a flagellum-specific muramidase which locally digests the peptidoglycan layer to permit assembly of the rod structure to proceed through the periplasmic space. It was also suggested that FlgJ might be involved in rod formation itself, although there was no direct evidence for this. We purified basal body structures from SJW1437(flgJ) transformed with plasmids encoding various mutant FlgJ proteins and found that these basal bodies possessed the periplasmic P ring but lacked the outer membrane L ring; they also lacked a hook at their distal end. All of these mutant FlgJ proteins had an altered or missing C-terminal domain but had at least the first 151 amino acid residues of the N-terminal domain. Immunoblotting analysis of fractionated cell extracts revealed that a rod/hook export class protein, FlgD, was exported to the periplasm but not to the culture supernatant in these mutants. FlgJ was shown to physically interact with several proteins, and especially FliE and FlgB, which are believed to reside at the cell-proximal end of the rod. On the basis of these results, we conclude that the N-terminal 151 amino acid residues of FlgJ are directly involved in rod formation and that the muramidase activity of FlgJ, though needed for formation of the L ring and subsequent events such as hook formation, is not essential for rod or P ring formation. In contrast, muramidase activity alone does not support rod assembly.","DOI":"10.1006/jmbi.2001.4963","note":"PMID: 11554792","journalAbbreviation":"J. Mol. Biol.","author":[{"family":"Hirano","given":"T"},{"family":"Minamino","given":"T"},{"family":"Macnab","given":"R M"}],"issued":{"year":2001,"month":9,"day":14},"accessed":{"year":2012,"month":5,"day":30},"page-first":"359"}}],"schema":"https://github.com/citation-style-language/schema/raw/master/csl-citation.json"}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(Nambu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xml:space="preserve">., 1999; Hirano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2001)</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w:t>
      </w:r>
    </w:p>
    <w:p w:rsidR="00BC7652" w:rsidRDefault="00BC7652" w:rsidP="00BC7652">
      <w:pPr>
        <w:rPr>
          <w:rFonts w:ascii="Times New Roman" w:hAnsi="Times New Roman" w:cs="Times New Roman"/>
          <w:color w:val="000000"/>
          <w:sz w:val="28"/>
          <w:szCs w:val="28"/>
        </w:rPr>
      </w:pPr>
      <w:r>
        <w:rPr>
          <w:rFonts w:ascii="Times New Roman" w:hAnsi="Times New Roman" w:cs="Times New Roman"/>
          <w:color w:val="000000"/>
          <w:sz w:val="28"/>
          <w:szCs w:val="28"/>
        </w:rPr>
        <w:br w:type="page"/>
      </w:r>
    </w:p>
    <w:p w:rsidR="00BC7652" w:rsidRPr="00566202" w:rsidRDefault="00BC7652" w:rsidP="00BC7652">
      <w:pPr>
        <w:tabs>
          <w:tab w:val="left" w:pos="1276"/>
        </w:tabs>
        <w:autoSpaceDE w:val="0"/>
        <w:autoSpaceDN w:val="0"/>
        <w:adjustRightInd w:val="0"/>
        <w:spacing w:after="120" w:line="48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1.7.2.6</w:t>
      </w:r>
      <w:r w:rsidRPr="00566202">
        <w:rPr>
          <w:rFonts w:ascii="Times New Roman" w:hAnsi="Times New Roman" w:cs="Times New Roman"/>
          <w:color w:val="000000"/>
          <w:sz w:val="28"/>
          <w:szCs w:val="28"/>
        </w:rPr>
        <w:tab/>
        <w:t>Competition</w:t>
      </w:r>
    </w:p>
    <w:p w:rsidR="00BC7652" w:rsidRPr="00900361" w:rsidRDefault="00BC7652" w:rsidP="00BC7652">
      <w:pPr>
        <w:autoSpaceDE w:val="0"/>
        <w:autoSpaceDN w:val="0"/>
        <w:adjustRightInd w:val="0"/>
        <w:spacing w:after="12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sz w:val="24"/>
          <w:szCs w:val="24"/>
        </w:rPr>
        <w:t xml:space="preserve">Bacteria compete for survival within their environmental niche. Species of </w:t>
      </w:r>
      <w:r w:rsidRPr="00900361">
        <w:rPr>
          <w:rFonts w:ascii="Times New Roman" w:hAnsi="Times New Roman" w:cs="Times New Roman"/>
          <w:color w:val="000000" w:themeColor="text1"/>
          <w:sz w:val="24"/>
          <w:szCs w:val="24"/>
        </w:rPr>
        <w:t xml:space="preserve">myxobacteria and actinomycetes secrete peptidoglycan hydrolases to cannibalise competitors for nutrients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{"citationID":"2ihnt4igde","properties":{"formattedCitation":"(Singh, 1947)","plainCitation":"(Singh, 1947)"},"citationItems":[{"id":646,"uris":["http://zotero.org/users/944474/items/C638Z8C9"],"uri":["http://zotero.org/users/944474/items/C638Z8C9"],"itemData":{"id":646,"type":"article-journal","title":"Myxobacteria in soils and composts; their distribution, number and lytic action on bacteria","container-title":"Journal of general microbiology","page":"1-10","volume":"1","issue":"1","note":"PMID: 20238531","journalAbbreviation":"J. Gen. Microbiol.","author":[{"family":"Singh","given":"B N"}],"issued":{"year":1947,"month":1},"accessed":{"year":2012,"month":6,"day":29},"page-first":"1"}}],"schema":"https://github.com/citation-style-language/schema/raw/master/csl-citation.json"}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(Singh, 1947)</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Analysis of culture supernatants of </w:t>
      </w:r>
      <w:r w:rsidRPr="00900361">
        <w:rPr>
          <w:rFonts w:ascii="Times New Roman" w:hAnsi="Times New Roman" w:cs="Times New Roman"/>
          <w:i/>
          <w:color w:val="000000" w:themeColor="text1"/>
          <w:sz w:val="24"/>
          <w:szCs w:val="24"/>
        </w:rPr>
        <w:t xml:space="preserve">Myxococcus xanthus </w:t>
      </w:r>
      <w:r w:rsidRPr="00900361">
        <w:rPr>
          <w:rFonts w:ascii="Times New Roman" w:hAnsi="Times New Roman" w:cs="Times New Roman"/>
          <w:color w:val="000000" w:themeColor="text1"/>
          <w:sz w:val="24"/>
          <w:szCs w:val="24"/>
        </w:rPr>
        <w:t xml:space="preserve">revealed the presence of multiple peptidoglycan hydrolases likely to participate in predatory lysis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{"citationID":"dlfuiieq8","properties":{"formattedCitation":"(Sudo and Dworkin, 1972)","plainCitation":"(Sudo and Dworkin, 1972)"},"citationItems":[{"id":538,"uris":["http://zotero.org/users/944474/items/G6P6QK2W"],"uri":["http://zotero.org/users/944474/items/G6P6QK2W"],"itemData":{"id":538,"type":"article-journal","title":"Bacteriolytic enzymes produced by Myxococcus xanthus","container-title":"Journal of bacteriology","page":"236-245","volume":"110","issue":"1","abstract":"The bacteriolytic activities in the culture fluid of Myxococcus xanthus were purified and separated into six active fractions by the use of Bio-Gel CM-2 and Bio-Gel P-60. These fractions were identified as: (i) an amidase, (ii) a glucosaminidase, (iii) a glucosaminidase and an amidase, (iv) a protease with probable amidase activity, (v) another protease with probable amidase activity, and (vi) a peptidase active on both d-alanyl-diaminopimelate and d-alanyl-lysine peptide bonds. On one occasion, another amidase was eluted from Bio-Gel CM. Preliminary studies on some characteristics of the enzymes and their production during growth are reported.","note":"PMID: 4622898","journalAbbreviation":"J. Bacteriol.","author":[{"family":"Sudo","given":"S"},{"family":"Dworkin","given":"M"}],"issued":{"year":1972,"month":4},"accessed":{"year":2012,"month":6,"day":19},"page-first":"236"}}],"schema":"https://github.com/citation-style-language/schema/raw/master/csl-citation.json"}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(Sudo and Dworkin, 1972)</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w:t>
      </w:r>
      <w:r w:rsidRPr="00900361">
        <w:rPr>
          <w:rFonts w:ascii="Times New Roman" w:hAnsi="Times New Roman" w:cs="Times New Roman"/>
          <w:i/>
          <w:color w:val="000000" w:themeColor="text1"/>
          <w:sz w:val="24"/>
          <w:szCs w:val="24"/>
        </w:rPr>
        <w:t xml:space="preserve"> Pseudomonas aeruginosa</w:t>
      </w:r>
      <w:r w:rsidRPr="00900361">
        <w:rPr>
          <w:rFonts w:ascii="Times New Roman" w:hAnsi="Times New Roman" w:cs="Times New Roman"/>
          <w:color w:val="000000" w:themeColor="text1"/>
          <w:sz w:val="24"/>
          <w:szCs w:val="24"/>
        </w:rPr>
        <w:t xml:space="preserve"> lyse neighbouring cells by delivering Tse1 (amidase) and Tse3 (lysozyme) hydrolases directly into the periplasm via type IV secretion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{"citationID":"1sclkmtm7s","properties":{"formattedCitation":"(Russell et al., 2011)","plainCitation":"(Russell et al., 2011)"},"citationItems":[{"id":532,"uris":["http://zotero.org/users/944474/items/SH3B3ZI2"],"uri":["http://zotero.org/users/944474/items/SH3B3ZI2"],"itemData":{"id":532,"type":"article-journal","title":"Type VI secretion delivers bacteriolytic effectors to target cells","container-title":"Nature","page":"343-347","volume":"475","issue":"7356","abstract":"Peptidoglycan is the major structural constituent of the bacterial cell wall, forming a meshwork outside the cytoplasmic membrane that maintains cell shape and prevents lysis. In Gram-negative bacteria, peptidoglycan is located in the periplasm, where it is protected from exogenous lytic enzymes by the outer membrane. Here we show that the type VI secretion system of Pseudomonas aeruginosa breaches this barrier to deliver two effector proteins, Tse1 and Tse3, to the periplasm of recipient cells. In this compartment, the effectors hydrolyse peptidoglycan, thereby providing a fitness advantage for P. aeruginosa cells in competition with other bacteria. To protect itself from lysis by Tse1 and Tse3, P. aeruginosa uses specific periplasmically localized immunity proteins. The requirement for these immunity proteins depends on intercellular self-intoxication through an active type VI secretion system, indicating a mechanism for export whereby effectors do not access donor cell periplasm in transit.","DOI":"10.1038/nature10244","note":"PMID: 21776080","journalAbbreviation":"Nature","author":[{"family":"Russell","given":"Alistair B"},{"family":"Hood","given":"Rachel D"},{"family":"Bui","given":"Nhat Khai"},{"family":"LeRoux","given":"Michele"},{"family":"Vollmer","given":"Waldemar"},{"family":"Mougous","given":"Joseph D"}],"issued":{"year":2011,"month":7,"day":21},"accessed":{"year":2012,"month":6,"day":19},"page-first":"343"}}],"schema":"https://github.com/citation-style-language/schema/raw/master/csl-citation.json"}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(Russell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2011)</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During early endospore formation, </w:t>
      </w:r>
      <w:r w:rsidRPr="00900361">
        <w:rPr>
          <w:rFonts w:ascii="Times New Roman" w:hAnsi="Times New Roman" w:cs="Times New Roman"/>
          <w:i/>
          <w:color w:val="000000" w:themeColor="text1"/>
          <w:sz w:val="24"/>
          <w:szCs w:val="24"/>
        </w:rPr>
        <w:t>B. subtilis</w:t>
      </w:r>
      <w:r w:rsidRPr="00900361">
        <w:rPr>
          <w:rFonts w:ascii="Times New Roman" w:hAnsi="Times New Roman" w:cs="Times New Roman"/>
          <w:color w:val="000000" w:themeColor="text1"/>
          <w:sz w:val="24"/>
          <w:szCs w:val="24"/>
        </w:rPr>
        <w:t xml:space="preserve"> delay commitment to sporulation by secreting a killing factor, SpdC, that induc</w:t>
      </w:r>
      <w:r>
        <w:rPr>
          <w:rFonts w:ascii="Times New Roman" w:hAnsi="Times New Roman" w:cs="Times New Roman"/>
          <w:color w:val="000000" w:themeColor="text1"/>
          <w:sz w:val="24"/>
          <w:szCs w:val="24"/>
        </w:rPr>
        <w:t>es</w:t>
      </w:r>
      <w:r w:rsidRPr="00900361">
        <w:rPr>
          <w:rFonts w:ascii="Times New Roman" w:hAnsi="Times New Roman" w:cs="Times New Roman"/>
          <w:color w:val="000000" w:themeColor="text1"/>
          <w:sz w:val="24"/>
          <w:szCs w:val="24"/>
        </w:rPr>
        <w:t xml:space="preserve"> autolysis of vegetative sister cells, providing a pool of nutrients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{"citationID":"10jtuanjhn","properties":{"formattedCitation":"{\\rtf (Gonz\\uc0\\u225{}lez-Pastor et al., 2003; Ellermeier et al., 2006)}","plainCitation":"(González-Pastor et al., 2003; Ellermeier et al., 2006)"},"citationItems":[{"id":549,"uris":["http://zotero.org/users/944474/items/E3DTMXFZ"],"uri":["http://zotero.org/users/944474/items/E3DTMXFZ"],"itemData":{"id":549,"type":"article-journal","title":"Cannibalism by sporulating bacteria","container-title":"Science (New York, N.Y.)","page":"510-513","volume":"301","issue":"5632","abstract":"Spore formation by the bacterium Bacillus subtilis is an elaborate developmental process that is triggered by nutrient limitation. Here we report that cells that have entered the pathway to sporulate produce and export a killing factor and a signaling protein that act cooperatively to block sister cells from sporulating and to cause them to lyse. The sporulating cells feed on the nutrients thereby released, which allows them to keep growing rather than to complete morphogenesis. We propose that sporulation is a stress-response pathway of last resort and that B. subtilis delays a commitment to spore formation by cannibalizing its siblings.","DOI":"10.1126/science.1086462","note":"PMID: 12817086","journalAbbreviation":"Science","author":[{"family":"González-Pastor","given":"José E"},{"family":"Hobbs","given":"Errett C"},{"family":"Losick","given":"Richard"}],"issued":{"year":2003,"month":7,"day":25},"accessed":{"year":2012,"month":6,"day":19},"page-first":"510"}},{"id":550,"uris":["http://zotero.org/users/944474/items/PKVIF2S2"],"uri":["http://zotero.org/users/944474/items/PKVIF2S2"],"itemData":{"id":550,"type":"article-journal","title":"A three-protein signaling pathway governing immunity to a bacterial cannibalism toxin","container-title":"Cell","page":"549-559","volume":"124","issue":"3","abstract":"We describe a three-protein signal-transduction pathway that governs immunity to a protein toxin involved in cannibalism by the spore-forming bacterium Bacillus subtilis. Cells of B. subtilis enter the pathway to sporulate under conditions of nutrient limitation but delay becoming committed to spore formation by killing nonsporulating siblings and feeding on the dead cells. Killing is mediated by the exported toxic protein SdpC. We report that extracellular SdpC induces the synthesis of an immunity protein, SdpI, that protects toxin-producing cells from being killed. SdpI, a polytopic membrane protein, is encoded by a two-gene operon under sporulation control that contains the gene for an autorepressor, SdpR. The autorepressor binds to and blocks the promoter for the operon. Evidence indicates that SdpI is also a signal-transduction protein that responds to the SdpC toxin by sequestering the SdpR autorepressor at the membrane. Sequestration relieves repression and stimulates synthesis of immunity protein.","DOI":"10.1016/j.cell.2005.11.041","note":"PMID: 16469701","journalAbbreviation":"Cell","author":[{"family":"Ellermeier","given":"Craig D"},{"family":"Hobbs","given":"Errett C"},{"family":"Gonzalez-Pastor","given":"Jose E"},{"family":"Losick","given":"Richard"}],"issued":{"year":2006,"month":2,"day":10},"accessed":{"year":2012,"month":6,"day":19},"page-first":"549"}}],"schema":"https://github.com/citation-style-language/schema/raw/master/csl-citation.json"}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szCs w:val="24"/>
        </w:rPr>
        <w:t xml:space="preserve">(González-Pastor </w:t>
      </w:r>
      <w:r w:rsidRPr="00C521B3">
        <w:rPr>
          <w:rFonts w:ascii="Times New Roman" w:hAnsi="Times New Roman" w:cs="Times New Roman"/>
          <w:i/>
          <w:color w:val="000000" w:themeColor="text1"/>
          <w:sz w:val="24"/>
          <w:szCs w:val="24"/>
        </w:rPr>
        <w:t>et al</w:t>
      </w:r>
      <w:r w:rsidRPr="00900361">
        <w:rPr>
          <w:rFonts w:ascii="Times New Roman" w:hAnsi="Times New Roman" w:cs="Times New Roman"/>
          <w:color w:val="000000" w:themeColor="text1"/>
          <w:sz w:val="24"/>
          <w:szCs w:val="24"/>
        </w:rPr>
        <w:t xml:space="preserve">., 2003; Ellermeier </w:t>
      </w:r>
      <w:r w:rsidRPr="00C521B3">
        <w:rPr>
          <w:rFonts w:ascii="Times New Roman" w:hAnsi="Times New Roman" w:cs="Times New Roman"/>
          <w:i/>
          <w:color w:val="000000" w:themeColor="text1"/>
          <w:sz w:val="24"/>
          <w:szCs w:val="24"/>
        </w:rPr>
        <w:t>et al</w:t>
      </w:r>
      <w:r w:rsidRPr="00900361">
        <w:rPr>
          <w:rFonts w:ascii="Times New Roman" w:hAnsi="Times New Roman" w:cs="Times New Roman"/>
          <w:color w:val="000000" w:themeColor="text1"/>
          <w:sz w:val="24"/>
          <w:szCs w:val="24"/>
        </w:rPr>
        <w:t>., 2006)</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A similar phenomenon is exhibited by myxobacteria which form fruiting bodies in which the majority of cells undergo autolysis, providing nutrients for the minority of cells that eventually differentiate to myxospores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{"citationID":"1sf78g4745","properties":{"formattedCitation":"(Lewis, 2000)","plainCitation":"(Lewis, 2000)"},"citationItems":[{"id":552,"uris":["http://zotero.org/users/944474/items/AXSANSQ6"],"uri":["http://zotero.org/users/944474/items/AXSANSQ6"],"itemData":{"id":552,"type":"article-journal","title":"Programmed Death in Bacteria","container-title":"Microbiology and Molecular Biology Reviews","page":"503-514","volume":"64","issue":"3","abstract":"Programmed cell death (PCD) in bacteria plays an important role in developmental processes, such as lysis of the mother cell during sporulation of Bacillus subtilis and lysis of vegetative cells in fruiting body formation of Myxococcus xanthus. The signal transduction pathway leading to autolysis of the mother cell includes the terminal sporulation sigma factor EςK, which induces the synthesis of autolysins CwlC and CwlH. An activator of autolysin in this and other PCD processes is yet to be identified. Autolysis plays a role in genetic exchange in Streptococcus pneumoniae, and the gene for the major autolysin, lytA, is located in the same operon with recA. DNA from lysed cells is picked up by their neighbors and recombined into the chromosome by RecA. LytA requires an unknown activator controlled by a sensory kinase, VncS. Deletion of vncS inhibits autolysis and also decreases killing by unrelated antibiotics. This observation suggests that PCD in bacteria serves to eliminate damaged cells, similar to apoptosis of defective cells in metazoa. The presence of genes affecting survival without changing growth sensitivity to antibiotics (vncS, lytA, hipAB, sulA, and mar) indicates that bacteria are able to control their fate. Elimination of defective cells could limit the spread of a viral infection and donate nutrients to healthy kin cells. An altruistic suicide would be challenged by the appearance of asocial mutants without PCD and by the possibility of maladaptive total suicide in response to a uniformly present lethal factor or nutrient depletion. It is proposed that a low rate of mutation serves to decrease the probability that asocial mutants without PCD will take over the population. It is suggested that PCD is disabled in persistors, rare cells that are resistant to killing, to ensure population survival. It is suggested that lack of nutrients leads to the stringent response that suppresses PCD, producing a state of tolerance to antibiotics, allowing cells to discriminate between nutrient deprivation and unrepairable damage. High levels of persistors are apparently responsible for the extraordinary survival properties of bacterial biofilms, and genes affecting persistence appear to be promising targets for development of drugs aimed at eradicating recalcitrant infections. PCD in unicellular eukaryotes is also considered, including aging in Saccharomyces cerevisiae. Apoptosis-like elimination of defective cells in S. cerevisiae and protozoa suggests that all unicellular life forms evolved altruistic programmed death that serves a variety of useful functions.","note":"PMID: 10974124\nPMCID: PMC99002","journalAbbreviation":"Microbiol Mol Biol Rev","author":[{"family":"Lewis","given":"Kim"}],"issued":{"year":2000,"month":9},"page-first":"503"}}],"schema":"https://github.com/citation-style-language/schema/raw/master/csl-citation.json"}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(Lewis, 2000)</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w:t>
      </w:r>
    </w:p>
    <w:p w:rsidR="00BC7652" w:rsidRPr="00900361" w:rsidRDefault="00BC7652" w:rsidP="00BC7652">
      <w:pPr>
        <w:autoSpaceDE w:val="0"/>
        <w:autoSpaceDN w:val="0"/>
        <w:adjustRightInd w:val="0"/>
        <w:spacing w:after="120" w:line="480" w:lineRule="auto"/>
        <w:jc w:val="both"/>
        <w:rPr>
          <w:rFonts w:ascii="Times New Roman" w:hAnsi="Times New Roman" w:cs="Times New Roman"/>
          <w:color w:val="000000" w:themeColor="text1"/>
          <w:sz w:val="24"/>
          <w:szCs w:val="24"/>
        </w:rPr>
      </w:pPr>
    </w:p>
    <w:p w:rsidR="00BC7652" w:rsidRPr="00900361" w:rsidRDefault="00BC7652" w:rsidP="00BC7652">
      <w:pPr>
        <w:tabs>
          <w:tab w:val="left" w:pos="1276"/>
        </w:tabs>
        <w:autoSpaceDE w:val="0"/>
        <w:autoSpaceDN w:val="0"/>
        <w:adjustRightInd w:val="0"/>
        <w:spacing w:after="120" w:line="480" w:lineRule="auto"/>
        <w:jc w:val="both"/>
        <w:rPr>
          <w:rFonts w:ascii="Times New Roman" w:hAnsi="Times New Roman" w:cs="Times New Roman"/>
          <w:color w:val="000000" w:themeColor="text1"/>
          <w:sz w:val="28"/>
          <w:szCs w:val="28"/>
        </w:rPr>
      </w:pPr>
      <w:r w:rsidRPr="00900361">
        <w:rPr>
          <w:rFonts w:ascii="Times New Roman" w:hAnsi="Times New Roman" w:cs="Times New Roman"/>
          <w:color w:val="000000" w:themeColor="text1"/>
          <w:sz w:val="28"/>
          <w:szCs w:val="28"/>
        </w:rPr>
        <w:t>1.7.2.7</w:t>
      </w:r>
      <w:r w:rsidRPr="00900361">
        <w:rPr>
          <w:rFonts w:ascii="Times New Roman" w:hAnsi="Times New Roman" w:cs="Times New Roman"/>
          <w:color w:val="000000" w:themeColor="text1"/>
          <w:sz w:val="28"/>
          <w:szCs w:val="28"/>
        </w:rPr>
        <w:tab/>
        <w:t>Competence</w:t>
      </w:r>
    </w:p>
    <w:p w:rsidR="00BC7652" w:rsidRPr="00900361" w:rsidRDefault="00BC7652" w:rsidP="00BC7652">
      <w:pPr>
        <w:autoSpaceDE w:val="0"/>
        <w:autoSpaceDN w:val="0"/>
        <w:adjustRightInd w:val="0"/>
        <w:spacing w:after="120" w:line="480" w:lineRule="auto"/>
        <w:jc w:val="both"/>
        <w:rPr>
          <w:rFonts w:ascii="Times New Roman" w:hAnsi="Times New Roman" w:cs="Times New Roman"/>
          <w:color w:val="000000" w:themeColor="text1"/>
          <w:sz w:val="24"/>
          <w:szCs w:val="24"/>
        </w:rPr>
      </w:pPr>
      <w:r w:rsidRPr="00900361">
        <w:rPr>
          <w:rFonts w:ascii="Times New Roman" w:hAnsi="Times New Roman" w:cs="Times New Roman"/>
          <w:color w:val="000000" w:themeColor="text1"/>
          <w:sz w:val="24"/>
          <w:szCs w:val="24"/>
        </w:rPr>
        <w:t xml:space="preserve">Peptidoglycan hydrolases are thought to participate in development of bacterial competence. AtlA-deficient </w:t>
      </w:r>
      <w:r w:rsidRPr="00900361">
        <w:rPr>
          <w:rFonts w:ascii="Times New Roman" w:hAnsi="Times New Roman" w:cs="Times New Roman"/>
          <w:i/>
          <w:color w:val="000000" w:themeColor="text1"/>
          <w:sz w:val="24"/>
          <w:szCs w:val="24"/>
        </w:rPr>
        <w:t>Streptococcus mutans</w:t>
      </w:r>
      <w:r w:rsidRPr="00900361">
        <w:rPr>
          <w:rFonts w:ascii="Times New Roman" w:hAnsi="Times New Roman" w:cs="Times New Roman"/>
          <w:color w:val="000000" w:themeColor="text1"/>
          <w:sz w:val="24"/>
          <w:szCs w:val="24"/>
        </w:rPr>
        <w:t xml:space="preserve"> fail to develop competence, whilst liberation of DNA is almost completely abolished in a </w:t>
      </w:r>
      <w:r w:rsidRPr="00900361">
        <w:rPr>
          <w:rFonts w:ascii="Times New Roman" w:hAnsi="Times New Roman" w:cs="Times New Roman"/>
          <w:i/>
          <w:color w:val="000000" w:themeColor="text1"/>
          <w:sz w:val="24"/>
          <w:szCs w:val="24"/>
        </w:rPr>
        <w:t>S. pneumoniae lytA lytC</w:t>
      </w:r>
      <w:r w:rsidRPr="00900361">
        <w:rPr>
          <w:rFonts w:ascii="Times New Roman" w:hAnsi="Times New Roman" w:cs="Times New Roman"/>
          <w:color w:val="000000" w:themeColor="text1"/>
          <w:sz w:val="24"/>
          <w:szCs w:val="24"/>
        </w:rPr>
        <w:t xml:space="preserve"> mutant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{"citationID":"145oihq71c","properties":{"formattedCitation":"(Moscoso and Claverys, 2004; Ahn and Burne, 2006)","plainCitation":"(Moscoso and Claverys, 2004; Ahn and Burne, 2006)"},"citationItems":[{"id":545,"uris":["http://zotero.org/users/944474/items/8HPVBHER"],"uri":["http://zotero.org/users/944474/items/8HPVBHER"],"itemData":{"id":545,"type":"article-journal","title":"Release of DNA into the medium by competent Streptococcus pneumoniae: kinetics, mechanism and stability of the liberated DNA","container-title":"Molecular microbiology","page":"783-794","volume":"54","issue":"3","abstract":"The release of chromosomal DNA into culture media has been reported for several naturally transformable bacterial species, but a direct link between competence development and the liberation of DNA is generally lacking. Based on the analysis of strains with mutations in competence-regulatory genes and the use of conditions favouring or preventing competence, we provide evidence that DNA release is triggered by the induction of competence in Streptococcus pneumoniae. Kinetic analyses revealed that whereas competence was maximal 20 min after addition of competence-stimulating peptide, and then decreased, the amount of liberated DNA continued to increase and reached a maximum in stationary phase, when cells are no longer competent for DNA uptake. These data are not consistent with the proposal that release of DNA by a fraction of the population is coordinated with uptake by the remainder. Moreover, we observed that an unidentified DNase was specifically induced or released in competent cultures, and that together with the major pneumococcal endonuclease, EndA, it could degrade released DNA. Nearby complete abolition of release in a mutant lacking both the major autolysin, LytA, and the autolytic lysozyme, LytC, indicated that DNA liberation occurs by LytA-LytC-dependent cell lysis. These observations suggest that competence-dependent DNA release is one facet of a more general phenomenon of sensitization to autolysis that reaches its maximum in stationary phase.","DOI":"10.1111/j.1365-2958.2004.04305.x","note":"PMID: 15491367","shortTitle":"Release of DNA into the medium by competent Streptococcus pneumoniae","journalAbbreviation":"Mol. Microbiol.","author":[{"family":"Moscoso","given":"Miriam"},{"family":"Claverys","given":"Jean-Pierre"}],"issued":{"year":2004,"month":11},"accessed":{"year":2012,"month":6,"day":19},"page-first":"783"}},{"id":334,"uris":["http://zotero.org/users/944474/items/STMG5S4X"],"uri":["http://zotero.org/users/944474/items/STMG5S4X"],"itemData":{"id":334,"type":"article-journal","title":"The atlA operon of Streptococcus mutans: role in autolysin maturation and cell surface biogenesis","container-title":"Journal of bacteriology","page":"6877-6888","volume":"188","issue":"19","abstract":"The Smu0630 protein (AtlA) was recently shown to be involved in cell separation, biofilm formation, and autolysis. Here, transcriptional studies revealed that atlA is part of a multigene operon under the control of at least three promoters. The morphology and biofilm-forming capacity of a nonpolar altA mutant could be restored to that of the wild-type strain by adding purified AtlA protein to the medium. A series of truncated derivatives of AtlA revealed that full activity required the C terminus and repeat regions. AtlA was cell associated and readily extractable from with sodium dodecyl sulfate. Of particular interest, the surface protein profile of AtlA-deficient strains was dramatically altered compared to the wild-type strain, as was the nature of the association of the multifunctional adhesin P1 with the cell wall. In addition, AtlA-deficient strains failed to develop competence as effectively as the parental strain. Mutation of thmA, which can be cotranscribed with atlA and encodes a putative pore-forming protein, resulted in a phenotype very similar to that of the AtlA-deficient strain. ThmA was also shown to be required for efficient processing of AtlA to its mature form, and treatment of the thmA mutant strain with full-length AtlA protein did not restore normal cell separation and biofilm formation. The effects of mutating other genes in the operon on cell division, biofilm formation, or AtlA biogenesis were not as profound. This study reveals that AtlA is a surface-associated protein that plays a critical role in the network connecting cell surface biogenesis, biofilm formation, genetic competence, and autolysis.","DOI":"10.1128/JB.00536-06","note":"PMID: 16980491","shortTitle":"The atlA operon of Streptococcus mutans","journalAbbreviation":"J. Bacteriol.","author":[{"family":"Ahn","given":"Sang-Joon"},{"family":"Burne","given":"Robert A"}],"issued":{"year":2006,"month":10},"accessed":{"year":2012,"month":6,"day":3},"page-first":"6877"}}],"schema":"https://github.com/citation-style-language/schema/raw/master/csl-citation.json"}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(Moscoso and Claverys, 2004; Ahn and Burne, 2006)</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Uptake of genetic material by competent cells is enhance</w:t>
      </w:r>
      <w:r>
        <w:rPr>
          <w:rFonts w:ascii="Times New Roman" w:hAnsi="Times New Roman" w:cs="Times New Roman"/>
          <w:color w:val="000000" w:themeColor="text1"/>
          <w:sz w:val="24"/>
          <w:szCs w:val="24"/>
        </w:rPr>
        <w:t>d</w:t>
      </w:r>
      <w:r w:rsidRPr="00900361">
        <w:rPr>
          <w:rFonts w:ascii="Times New Roman" w:hAnsi="Times New Roman" w:cs="Times New Roman"/>
          <w:color w:val="000000" w:themeColor="text1"/>
          <w:sz w:val="24"/>
          <w:szCs w:val="24"/>
        </w:rPr>
        <w:t xml:space="preserve"> by fratricidal lysis. A sub-set of cells develop</w:t>
      </w:r>
      <w:r>
        <w:rPr>
          <w:rFonts w:ascii="Times New Roman" w:hAnsi="Times New Roman" w:cs="Times New Roman"/>
          <w:color w:val="000000"/>
          <w:sz w:val="24"/>
          <w:szCs w:val="24"/>
        </w:rPr>
        <w:t xml:space="preserve"> competence and lyse non-competent sister cells or closely related species, ensuring a rich pool of genetic material. In </w:t>
      </w:r>
      <w:r>
        <w:rPr>
          <w:rFonts w:ascii="Times New Roman" w:hAnsi="Times New Roman" w:cs="Times New Roman"/>
          <w:i/>
          <w:color w:val="000000"/>
          <w:sz w:val="24"/>
          <w:szCs w:val="24"/>
        </w:rPr>
        <w:t xml:space="preserve">Streptococcus </w:t>
      </w:r>
      <w:r>
        <w:rPr>
          <w:rFonts w:ascii="Times New Roman" w:hAnsi="Times New Roman" w:cs="Times New Roman"/>
          <w:color w:val="000000"/>
          <w:sz w:val="24"/>
          <w:szCs w:val="24"/>
        </w:rPr>
        <w:t xml:space="preserve">spp. the major putative hydrolase required for </w:t>
      </w:r>
      <w:r w:rsidRPr="00900361">
        <w:rPr>
          <w:rFonts w:ascii="Times New Roman" w:hAnsi="Times New Roman" w:cs="Times New Roman"/>
          <w:color w:val="000000" w:themeColor="text1"/>
          <w:sz w:val="24"/>
          <w:szCs w:val="24"/>
        </w:rPr>
        <w:lastRenderedPageBreak/>
        <w:t xml:space="preserve">bacterial fratricide is CbpD. Fratricidal lysis is greatly enhanced by endogenous expression of LytA and LytC in the non-competent target cell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{"citationID":"1sffs1p7rn","properties":{"formattedCitation":"(Eldholm et al., 2009)","plainCitation":"(Eldholm et al., 2009)"},"citationItems":[{"id":315,"uris":["http://zotero.org/users/944474/items/G9HKD9RG"],"uri":["http://zotero.org/users/944474/items/G9HKD9RG"],"itemData":{"id":315,"type":"article-journal","title":"Fratricide in Streptococcus pneumoniae: contributions and role of the cell wall hydrolases CbpD, LytA and LytC","container-title":"Microbiology (Reading, England)","page":"2223-2234","volume":"155","issue":"Pt 7","abstract":"Pneumococci that have developed the competent state kill and lyse non-competent sister cells and members of closely related species during co-cultivation in vitro. The key component in this process, called fratricide, is the product of the late competence gene cbpD. In addition, the peptidoglycan hydrolases LytA and LytC are required for efficient lysis of target cells. Here, we have investigated the relative contribution and possible role of each of the proteins mentioned above. Previous studies have shown that CbpD is produced exclusively by competent cells, whereas LytA and LytC can be provided by the competent attackers as well as the non-competent target cells. By using an improved assay to compare the effect of cis- versus trans-acting LytA and LytC, we were able to show that target cells are lysed much more efficiently when LytA and LytC are provided in cis, i.e. by the target cells themselves. Western analysis demonstrated that considerable amounts of LytC are present in the growth medium. In contrast, we were not able to detect any extracellular LytA. This finding indicates that LytA- and LytC-mediated fratricide represent different processes. In the absence of LytA and LytC, only a tiny fraction of the target cells were lysed, demonstrating that CbpD does not function efficiently on its own. However, in the presence of 1 mM EDTA, the fraction of target cells lysed directly by CbpD increased dramatically, indicating that divalent cations are involved in the regulation of fratricide under natural conditions.","DOI":"10.1099/mic.0.026328-0","note":"PMID: 19389766","shortTitle":"Fratricide in Streptococcus pneumoniae","journalAbbreviation":"Microbiology (Reading, Engl.)","author":[{"family":"Eldholm","given":"Vegard"},{"family":"Johnsborg","given":"Ola"},{"family":"Haugen","given":"Kristine"},{"family":"Ohnstad","given":"Hilde Solheim"},{"family":"Håvarstein","given":"Leiv Sigve"}],"issued":{"year":2009,"month":7},"accessed":{"year":2012,"month":5,"day":30},"page-first":"2223"}}],"schema":"https://github.com/citation-style-language/schema/raw/master/csl-citation.json"}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(Eldholm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2009)</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w:t>
      </w:r>
    </w:p>
    <w:p w:rsidR="00BC7652" w:rsidRPr="00900361" w:rsidRDefault="00BC7652" w:rsidP="00BC7652">
      <w:pPr>
        <w:autoSpaceDE w:val="0"/>
        <w:autoSpaceDN w:val="0"/>
        <w:adjustRightInd w:val="0"/>
        <w:spacing w:after="120" w:line="480" w:lineRule="auto"/>
        <w:jc w:val="both"/>
        <w:rPr>
          <w:rFonts w:ascii="Times New Roman" w:hAnsi="Times New Roman" w:cs="Times New Roman"/>
          <w:color w:val="000000" w:themeColor="text1"/>
          <w:sz w:val="24"/>
          <w:szCs w:val="24"/>
        </w:rPr>
      </w:pPr>
    </w:p>
    <w:p w:rsidR="00BC7652" w:rsidRPr="00900361" w:rsidRDefault="00BC7652" w:rsidP="00BC7652">
      <w:pPr>
        <w:tabs>
          <w:tab w:val="left" w:pos="1276"/>
        </w:tabs>
        <w:autoSpaceDE w:val="0"/>
        <w:autoSpaceDN w:val="0"/>
        <w:adjustRightInd w:val="0"/>
        <w:spacing w:after="120" w:line="480" w:lineRule="auto"/>
        <w:jc w:val="both"/>
        <w:rPr>
          <w:rFonts w:ascii="Times New Roman" w:hAnsi="Times New Roman" w:cs="Times New Roman"/>
          <w:color w:val="000000" w:themeColor="text1"/>
          <w:sz w:val="28"/>
          <w:szCs w:val="28"/>
        </w:rPr>
      </w:pPr>
      <w:r w:rsidRPr="00900361">
        <w:rPr>
          <w:rFonts w:ascii="Times New Roman" w:hAnsi="Times New Roman" w:cs="Times New Roman"/>
          <w:color w:val="000000" w:themeColor="text1"/>
          <w:sz w:val="28"/>
          <w:szCs w:val="28"/>
        </w:rPr>
        <w:t>1.7.2.8</w:t>
      </w:r>
      <w:r w:rsidRPr="00900361">
        <w:rPr>
          <w:rFonts w:ascii="Times New Roman" w:hAnsi="Times New Roman" w:cs="Times New Roman"/>
          <w:color w:val="000000" w:themeColor="text1"/>
          <w:sz w:val="28"/>
          <w:szCs w:val="28"/>
        </w:rPr>
        <w:tab/>
        <w:t>Biofilm formation</w:t>
      </w:r>
    </w:p>
    <w:p w:rsidR="00BC7652" w:rsidRPr="00900361" w:rsidRDefault="00BC7652" w:rsidP="00BC7652">
      <w:pPr>
        <w:autoSpaceDE w:val="0"/>
        <w:autoSpaceDN w:val="0"/>
        <w:adjustRightInd w:val="0"/>
        <w:spacing w:after="120" w:line="480" w:lineRule="auto"/>
        <w:jc w:val="both"/>
        <w:rPr>
          <w:rFonts w:ascii="Times New Roman" w:hAnsi="Times New Roman" w:cs="Times New Roman"/>
          <w:color w:val="000000" w:themeColor="text1"/>
          <w:sz w:val="24"/>
          <w:szCs w:val="24"/>
        </w:rPr>
      </w:pPr>
      <w:r w:rsidRPr="00900361">
        <w:rPr>
          <w:rFonts w:ascii="Times New Roman" w:hAnsi="Times New Roman" w:cs="Times New Roman"/>
          <w:color w:val="000000" w:themeColor="text1"/>
          <w:sz w:val="24"/>
          <w:szCs w:val="24"/>
        </w:rPr>
        <w:t xml:space="preserve">Peptidoglycan hydrolase activity is important for biofilm formation. Single autolysin mutants impaired for surface attachement and/or biofilm production have been reported in </w:t>
      </w:r>
      <w:r w:rsidRPr="00900361">
        <w:rPr>
          <w:rFonts w:ascii="Times New Roman" w:hAnsi="Times New Roman" w:cs="Times New Roman"/>
          <w:i/>
          <w:color w:val="000000" w:themeColor="text1"/>
          <w:sz w:val="24"/>
          <w:szCs w:val="24"/>
        </w:rPr>
        <w:t>Streptococcus suis</w:t>
      </w:r>
      <w:r w:rsidRPr="00900361">
        <w:rPr>
          <w:rFonts w:ascii="Times New Roman" w:hAnsi="Times New Roman" w:cs="Times New Roman"/>
          <w:color w:val="000000" w:themeColor="text1"/>
          <w:sz w:val="24"/>
          <w:szCs w:val="24"/>
        </w:rPr>
        <w:t xml:space="preserve"> (Atl)</w:t>
      </w:r>
      <w:r w:rsidRPr="00900361">
        <w:rPr>
          <w:rFonts w:ascii="Times New Roman" w:hAnsi="Times New Roman" w:cs="Times New Roman"/>
          <w:i/>
          <w:color w:val="000000" w:themeColor="text1"/>
          <w:sz w:val="24"/>
          <w:szCs w:val="24"/>
        </w:rPr>
        <w:t xml:space="preserve">, Streptococcus mutants </w:t>
      </w:r>
      <w:r w:rsidRPr="00900361">
        <w:rPr>
          <w:rFonts w:ascii="Times New Roman" w:hAnsi="Times New Roman" w:cs="Times New Roman"/>
          <w:color w:val="000000" w:themeColor="text1"/>
          <w:sz w:val="24"/>
          <w:szCs w:val="24"/>
        </w:rPr>
        <w:t>(AtlA)</w:t>
      </w:r>
      <w:r w:rsidRPr="00900361">
        <w:rPr>
          <w:rFonts w:ascii="Times New Roman" w:hAnsi="Times New Roman" w:cs="Times New Roman"/>
          <w:i/>
          <w:color w:val="000000" w:themeColor="text1"/>
          <w:sz w:val="24"/>
          <w:szCs w:val="24"/>
        </w:rPr>
        <w:t>, Streptococcus gordonii</w:t>
      </w:r>
      <w:r w:rsidRPr="00900361">
        <w:rPr>
          <w:rFonts w:ascii="Times New Roman" w:hAnsi="Times New Roman" w:cs="Times New Roman"/>
          <w:color w:val="000000" w:themeColor="text1"/>
          <w:sz w:val="24"/>
          <w:szCs w:val="24"/>
        </w:rPr>
        <w:t xml:space="preserve"> (AtlS)</w:t>
      </w:r>
      <w:r w:rsidRPr="00900361">
        <w:rPr>
          <w:rFonts w:ascii="Times New Roman" w:hAnsi="Times New Roman" w:cs="Times New Roman"/>
          <w:i/>
          <w:color w:val="000000" w:themeColor="text1"/>
          <w:sz w:val="24"/>
          <w:szCs w:val="24"/>
        </w:rPr>
        <w:t>, Staphylococcus epidermidis</w:t>
      </w:r>
      <w:r w:rsidRPr="00900361">
        <w:rPr>
          <w:rFonts w:ascii="Times New Roman" w:hAnsi="Times New Roman" w:cs="Times New Roman"/>
          <w:color w:val="000000" w:themeColor="text1"/>
          <w:sz w:val="24"/>
          <w:szCs w:val="24"/>
        </w:rPr>
        <w:t xml:space="preserve"> (AtlE)</w:t>
      </w:r>
      <w:r w:rsidRPr="00900361">
        <w:rPr>
          <w:rFonts w:ascii="Times New Roman" w:hAnsi="Times New Roman" w:cs="Times New Roman"/>
          <w:i/>
          <w:color w:val="000000" w:themeColor="text1"/>
          <w:sz w:val="24"/>
          <w:szCs w:val="24"/>
        </w:rPr>
        <w:t xml:space="preserve"> and Lactococcus lactis</w:t>
      </w:r>
      <w:r w:rsidRPr="00900361">
        <w:rPr>
          <w:rFonts w:ascii="Times New Roman" w:hAnsi="Times New Roman" w:cs="Times New Roman"/>
          <w:color w:val="000000" w:themeColor="text1"/>
          <w:sz w:val="24"/>
          <w:szCs w:val="24"/>
        </w:rPr>
        <w:t xml:space="preserve"> (AcmA)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{"citationID":"1b989vo9gg","properties":{"formattedCitation":"(Heilmann et al., 1997; Mercier et al., 2002; Ahn and Burne, 2006; Liu and Burne, 2011; Ju et al., 2012)","plainCitation":"(Heilmann et al., 1997; Mercier et al., 2002; Ahn and Burne, 2006; Liu and Burne, 2011; Ju et al., 2012)"},"citationItems":[{"id":335,"uris":["http://zotero.org/users/944474/items/DF7QRQBH"],"uri":["http://zotero.org/users/944474/items/DF7QRQBH"],"itemData":{"id":335,"type":"article-journal","title":"Evidence for autolysin-mediated primary attachment of Staphylococcus epidermidis to a polystyrene surface","container-title":"Molecular microbiology","page":"1013-1024","volume":"24","issue":"5","abstract":"Biofilm formation on a polymer surface which involves initial attachment and accumulation in multilayered cell clusters (intercellular adhesion) is proposed to be the major pathogenicity factor in Staphylococcus epidermidis foreign-body-associated infections. We have characterized two distinct classes of biofilm-negative Tn917 mutants in S. epidermidis affected in initial attachment (class A) or intercellular adhesion (class B). mut1 (class A mutant) lacks five surface-associated proteins with molecular masses of 120, 60, 52, 45 and 38 kDa and could be complemented by transformation with a 16.4 kb wild-type DNA fragment. The complemented mutant was able to attach to a polystyrene surface, to form a biofilm, and produced all of the proteins missing from mut1. Subcloning experiments revealed that the 60 kDa protein is sufficient for initial attachment. Immunofluorescence microscopy using an antiserum raised against the 60 kDa protein showed that this protein is located at the cell surface. DNA-sequence analysis of the complementing region revealed a single open reading frame which consists of 4005 nucleotides and encodes a deduced protein of 1335 amino acids with a predicted molecular mass of 148kDa. The amino acid sequence exhibits a high similarity (61% identical amino acids) to the atl gene product of Staphylococcus aureus, which represents the major autolysin; therefore the open reading frame was designated atlE. By analogy with the S. aureus autolysin, AtlE is composed of two bacteriolytically active domains, a 60 kDa amidase and a 52 kDa glucosaminidase domain, generated by proteolytic processing. The 120 kDa protein missing from mut1 presumably represents the unprocessed amidase and glucosaminidase domain after proteolytic cleavage of the signal- and propeptide. The 45 and 38kDa proteins are probably the degradation products of the 60 and 52 kDa proteins, respectively. Additionally, AtlE was found to exhibit vitronectin-binding activity, indicating that AtlE plays a role in binding of the cells not only to a naked polystyrene surface during early stages of adherence, but also to plasma protein-coated polymer surfaces during later stages of adherence. Our findings provide evidence for a new function of an autolysin (AtlE) in mediating the attachment of bacterial cells to a polymer surface, representing the prerequisite for biofilm formation.","note":"PMID: 9220008","journalAbbreviation":"Mol. Microbiol.","author":[{"family":"Heilmann","given":"C"},{"family":"Hussain","given":"M"},{"family":"Peters","given":"G"},{"family":"Götz","given":"F"}],"issued":{"year":1997,"month":6},"accessed":{"year":2012,"month":6,"day":3},"page-first":"1013"}},{"id":336,"uris":["http://zotero.org/users/944474/items/QAKMZFNN"],"uri":["http://zotero.org/users/944474/items/QAKMZFNN"],"itemData":{"id":336,"type":"article-journal","title":"Positive role of peptidoglycan breaks in lactococcal biofilm formation","container-title":"Molecular microbiology","page":"235-243","volume":"46","issue":"1","abstract":"Bacterial attachment to solid matrices depends on adhesive molecules present on the cell surface. Here we establish a positive correlation between peptidoglycan (PG) breaks, rather than particular molecules, and biofilm-forming capacity in the Gram-positive bacterium Lactococcus lactis. The L. lactis acmA strain, which is defective in PG hydrolase, adhered less efficiently than the wild-type (wt) strain to different solid surfaces and was unable to form biofilms. These phenotypes were abolished by addition of lysozyme, a PG hydrolytic enzyme. Thus, the presence of PG breaks introduced by PG hydrolase, and not the AcmA protein itself, appears to be responsible for biofilm formation. Two different genetic screens confirmed the importance of PG breaks in L. lactis biofilm formation. Using the chain-forming ability of the acmA strain as a phenotypic indicator of PG integrity, we selected for insertional mutants generating short chains. Five independent mutants were all mapped to ponA, which encodes the PG synthesis enzyme PBP1A. Double acmA ponA mutants displayed increased adhesion and biofilm-forming capacity. Direct selection for strains with increased biofilm-forming capacity resulted in the isolation of another five mutations in ponA. Based on these results, we conclude that PG breaks are important for both adhesion and biofilm formation in L. lactis.","note":"PMID: 12366846","journalAbbreviation":"Mol. Microbiol.","author":[{"family":"Mercier","given":"Carine"},{"family":"Durrieu","given":"Christele"},{"family":"Briandet","given":"Romain"},{"family":"Domakova","given":"Elena"},{"family":"Tremblay","given":"Josselyne"},{"family":"Buist","given":"Girbe"},{"family":"Kulakauskas","given":"Saulius"}],"issued":{"year":2002,"month":10},"accessed":{"year":2012,"month":6,"day":3},"page-first":"235"}},{"id":334,"uris":["http://zotero.org/users/944474/items/STMG5S4X"],"uri":["http://zotero.org/users/944474/items/STMG5S4X"],"itemData":{"id":334,"type":"article-journal","title":"The atlA operon of Streptococcus mutans: role in autolysin maturation and cell surface biogenesis","container-title":"Journal of bacteriology","page":"6877-6888","volume":"188","issue":"19","abstract":"The Smu0630 protein (AtlA) was recently shown to be involved in cell separation, biofilm formation, and autolysis. Here, transcriptional studies revealed that atlA is part of a multigene operon under the control of at least three promoters. The morphology and biofilm-forming capacity of a nonpolar altA mutant could be restored to that of the wild-type strain by adding purified AtlA protein to the medium. A series of truncated derivatives of AtlA revealed that full activity required the C terminus and repeat regions. AtlA was cell associated and readily extractable from with sodium dodecyl sulfate. Of particular interest, the surface protein profile of AtlA-deficient strains was dramatically altered compared to the wild-type strain, as was the nature of the association of the multifunctional adhesin P1 with the cell wall. In addition, AtlA-deficient strains failed to develop competence as effectively as the parental strain. Mutation of thmA, which can be cotranscribed with atlA and encodes a putative pore-forming protein, resulted in a phenotype very similar to that of the AtlA-deficient strain. ThmA was also shown to be required for efficient processing of AtlA to its mature form, and treatment of the thmA mutant strain with full-length AtlA protein did not restore normal cell separation and biofilm formation. The effects of mutating other genes in the operon on cell division, biofilm formation, or AtlA biogenesis were not as profound. This study reveals that AtlA is a surface-associated protein that plays a critical role in the network connecting cell surface biogenesis, biofilm formation, genetic competence, and autolysis.","DOI":"10.1128/JB.00536-06","note":"PMID: 16980491","shortTitle":"The atlA operon of Streptococcus mutans","journalAbbreviation":"J. Bacteriol.","author":[{"family":"Ahn","given":"Sang-Joon"},{"family":"Burne","given":"Robert A"}],"issued":{"year":2006,"month":10},"accessed":{"year":2012,"month":6,"day":3},"page-first":"6877"}},{"id":638,"uris":["http://zotero.org/users/944474/items/D5FX7TTP"],"uri":["http://zotero.org/users/944474/items/D5FX7TTP"],"itemData":{"id":638,"type":"article-journal","title":"The Major Autolysin of Streptococcus gordonii Is Subject to Complex Regulation and Modulates Stress Tolerance, Biofilm Formation, and Extracellular-DNA Release</w:instrText>
      </w:r>
      <w:r w:rsidRPr="00900361">
        <w:rPr>
          <w:rFonts w:ascii="MS Mincho" w:eastAsia="MS Mincho" w:hAnsi="MS Mincho" w:cs="MS Mincho" w:hint="eastAsia"/>
          <w:color w:val="000000" w:themeColor="text1"/>
          <w:sz w:val="24"/>
          <w:szCs w:val="24"/>
        </w:rPr>
        <w:instrText>▿</w:instrText>
      </w:r>
      <w:r w:rsidRPr="00900361">
        <w:rPr>
          <w:rFonts w:ascii="Times New Roman" w:hAnsi="Times New Roman" w:cs="Times New Roman"/>
          <w:color w:val="000000" w:themeColor="text1"/>
          <w:sz w:val="24"/>
          <w:szCs w:val="24"/>
        </w:rPr>
        <w:instrText xml:space="preserve">","container-title":"Journal of Bacteriology","page":"2826-2837","volume":"193","issue":"11","abstract":"A gene, designated atlS, encoding a major autolysin from Streptococcus gordonii, was identified and characterized. The predicted AtlS protein is 1,160 amino acids and 127 kDa and has a conserved β1,4-N-acetylmuramidase domain. Zymographic analysis of wild-type S. gordonii revealed peptidoglycan hydrolase activities with molecular masses of 130 and 90 kDa that were absent in an atlS deletion mutant. Western blotting revealed that the 90-kDa band was derived from the 130-kDa protein. Inactivation of atlS resulted in formation of long chains by the cells, markedly decreased autolytic capacity, poor biofilm formation, diminished tolerance of acid and oxidative stress, and decreased production of extracellular DNA (eDNA). The biofilm-forming capacity of the atlS mutant could be almost completely restored to that of the wild-type strain by adding purified recombinant AtlA autolysin of S. mutans but was only partially restored by addition of eDNA. Autolysis, eDNA release, and atlS expression increased sharply when cells entered stationary phase and were greatly enhanced in cells growing with aeration. The LytST and VicRK two-component systems were both required for the induction of atlS by aeration, and purified LytT was able to bind to the promoter region of atlS in vitro. Thus, AtlS and its associated regulatory cascade dominantly control phenotypes of S. gordonii that are critical to colonization, persistence, and competition with other commensal and pathogenic oral bacteria in response to the redox environment and growth domain.","DOI":"10.1128/JB.00056-11","note":"PMID: 21478346\nPMCID: PMC3133117","journalAbbreviation":"J Bacteriol","author":[{"family":"Liu","given":"Yaling"},{"family":"Burne","given":"Robert A."}],"issued":{"year":2011,"month":6},"accessed":{"year":2012,"month":6,"day":28},"page-first":"2826"}},{"id":636,"uris":["http://zotero.org/users/944474/items/UUQSKEIT"],"uri":["http://zotero.org/users/944474/items/UUQSKEIT"],"itemData":{"id":636,"type":"article-journal","title":"Characterization and functional analysis of atl, a novel gene encoding autolysin in Streptococcus suis","container-title":"Journal of bacteriology","page":"1464-1473","volume":"194","issue":"6","abstract":"Streptococcus suis serotype 2 (S. suis 2) is an important swine and human pathogen responsible for septicemia and meningitis. A novel gene, designated atl and encoding a major autolysin of S. suis 2 virulent strain HA9801, was identified and characterized in this study. The Atl protein contains 1,025 amino acids with a predicted molecular mass of 113 kDa and has a conserved N-acetylmuramoyl-l-alanine amidase domain. Recombinant Atl was expressed in Escherichia coli, and its bacteriolytic and fibronectin-binding activities were confirmed by zymography and Western affinity blotting. Two bacteriolytic bands were shown in the sodium dodecyl sulfate extracts of HA9801, while both were absent from the atl inactivated mutant. Cell chains of the mutant strain became longer than that of the parental strain. In the autolysis assay, HA9801 decreased to 20% of the initial optical density (OD) value, while the mutant strain had almost no autolytic activity. The biofilm capacity of the atl mutant was reduced </w:instrText>
      </w:r>
      <w:r w:rsidRPr="00900361">
        <w:rPr>
          <w:rFonts w:ascii="Cambria Math" w:hAnsi="Cambria Math" w:cs="Cambria Math"/>
          <w:color w:val="000000" w:themeColor="text1"/>
          <w:sz w:val="24"/>
          <w:szCs w:val="24"/>
        </w:rPr>
        <w:instrText>∼</w:instrText>
      </w:r>
      <w:r w:rsidRPr="00900361">
        <w:rPr>
          <w:rFonts w:ascii="Times New Roman" w:hAnsi="Times New Roman" w:cs="Times New Roman"/>
          <w:color w:val="000000" w:themeColor="text1"/>
          <w:sz w:val="24"/>
          <w:szCs w:val="24"/>
        </w:rPr>
        <w:instrText xml:space="preserve">30% compared to the parental strain. In the zebrafish infection model, the 50% lethal dose of the mutant strain was increased up to 5-fold. Furthermore, the adherence to HEp-2 cells of the atl mutant was 50% less than that of the parental strain. Based on the functional analysis of the recombinant Atl and observed effects of atl inactivation on HA9801, we conclude that Atl is a major autolysin of HA9801. It takes part in cell autolysis, separation of daughter cells, biofilm formation, fibronectin-binding activity, cell adhesion, and pathogenesis of HA9801.","DOI":"10.1128/JB.06231-11","note":"PMID: 22228730","journalAbbreviation":"J. Bacteriol.","author":[{"family":"Ju","given":"Cun-Xiang"},{"family":"Gu","given":"Hong-Wei"},{"family":"Lu","given":"Cheng-Ping"}],"issued":{"year":2012,"month":3},"accessed":{"year":2012,"month":6,"day":28},"page-first":"1464"}}],"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(Heilmann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xml:space="preserve">., 1997; Mercier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xml:space="preserve">., 2002; Ahn and Burne, 2006; Liu and Burne, 2011; Ju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2012)</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The addition of exogenous </w:t>
      </w:r>
      <w:r w:rsidRPr="00900361">
        <w:rPr>
          <w:rFonts w:ascii="Times New Roman" w:hAnsi="Times New Roman" w:cs="Times New Roman"/>
          <w:i/>
          <w:color w:val="000000" w:themeColor="text1"/>
          <w:sz w:val="24"/>
          <w:szCs w:val="24"/>
        </w:rPr>
        <w:t xml:space="preserve">S. pneumoniae </w:t>
      </w:r>
      <w:r w:rsidRPr="00900361">
        <w:rPr>
          <w:rFonts w:ascii="Times New Roman" w:hAnsi="Times New Roman" w:cs="Times New Roman"/>
          <w:color w:val="000000" w:themeColor="text1"/>
          <w:sz w:val="24"/>
          <w:szCs w:val="24"/>
        </w:rPr>
        <w:t xml:space="preserve">LytA led to ~80% loss of </w:t>
      </w:r>
      <w:r w:rsidRPr="00900361">
        <w:rPr>
          <w:rFonts w:ascii="Times New Roman" w:hAnsi="Times New Roman" w:cs="Times New Roman"/>
          <w:i/>
          <w:color w:val="000000" w:themeColor="text1"/>
          <w:sz w:val="24"/>
          <w:szCs w:val="24"/>
        </w:rPr>
        <w:t xml:space="preserve">S. pneumoniae </w:t>
      </w:r>
      <w:r w:rsidRPr="00900361">
        <w:rPr>
          <w:rFonts w:ascii="Times New Roman" w:hAnsi="Times New Roman" w:cs="Times New Roman"/>
          <w:color w:val="000000" w:themeColor="text1"/>
          <w:sz w:val="24"/>
          <w:szCs w:val="24"/>
        </w:rPr>
        <w:t xml:space="preserve">biofilm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{"citationID":"1soqignlbm","properties":{"formattedCitation":"(Domenech et al., 2011)","plainCitation":"(Domenech et al., 2011)"},"citationItems":[{"id":637,"uris":["http://zotero.org/users/944474/items/PSU64PZM"],"uri":["http://zotero.org/users/944474/items/PSU64PZM"],"itemData":{"id":637,"type":"article-journal","title":"In vitro destruction of Streptococcus pneumoniae biofilms with bacterial and phage peptidoglycan hydrolases","container-title":"Antimicrobial agents and chemotherapy","page":"4144-4148","volume":"55","issue":"9","abstract":"Host- and phage-coded cell wall hydrolases have been used to fight Streptococcus pneumoniae growing as planktonic cells in vitro as well as in animal models. Until now, however, the usefulness of these enzymes in biofilm-grown pneumococci has gone untested. The antipneumococcal activity of different cell wall hydrolases produced by S. pneumoniae and a number of its phages was examined in an in vitro biofilm model. The major pneumococcal autolysin LytA, an N-acetylmuramoyl-l-alanine amidase, showed the greatest efficiency in disintegrating S. pneumoniae biofilms. The phage-encoded lysozymes Cpl-1 and Cpl-7 were also very efficient. Biofilms formed by the close pneumococcal relatives Streptococcus pseudopneumoniae and Streptococcus oralis were also destroyed by the phage endolysins but not by the S. pneumoniae autolysin LytA. A cooperative effect of LytA and Cpl-1 in the disintegration of S. pneumoniae biofilms was recorded.","DOI":"10.1128/AAC.00492-11","note":"PMID: 21746941","journalAbbreviation":"Antimicrob. Agents Chemother.","author":[{"family":"Domenech","given":"Mirian"},{"family":"García","given":"Ernesto"},{"family":"Moscoso","given":"Miriam"}],"issued":{"year":2011,"month":9},"accessed":{"year":2012,"month":6,"day":28},"page-first":"4144"}}],"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(Domenech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2011)</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The contribution of peptidoglycan hydrolases to biofilm formation is poorly understood. Suggested mechanisms include binding to host ligands, exposing cellular adhesins or alteration of the surface charge to initiate surface adherence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{"citationID":"2dcap5scro","properties":{"formattedCitation":"(Vollmer et al., 2008)","plainCitation":"(Vollmer et al., 2008)"},"citationItems":[{"id":36,"uris":["http://zotero.org/users/944474/items/GNMZZW6M"],"uri":["http://zotero.org/users/944474/items/GNMZZW6M"],"itemData":{"id":36,"type":"article-journal","title":"Bacterial peptidoglycan (murein) hydrolases","container-title":"FEMS Microbiology Reviews","page":"259-286","volume":"32","issue":"2","DOI":"10.1111/j.1574-6976.2007.00099.x","author":[{"family":"Vollmer","given":"Waldemar"},{"family":"Joris","given":"Bernard"},{"family":"Charlier","given":"Paulette"},{"family":"Foster","given":"Simon"}],"issued":{"year":2008,"month":3},"accessed":{"year":2012,"month":3,"day":6},"page-first":"259"}}],"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(Vollmer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2008)</w:t>
      </w:r>
      <w:r w:rsidRPr="00900361">
        <w:rPr>
          <w:rFonts w:ascii="Times New Roman" w:hAnsi="Times New Roman" w:cs="Times New Roman"/>
          <w:color w:val="000000" w:themeColor="text1"/>
          <w:sz w:val="24"/>
          <w:szCs w:val="24"/>
        </w:rPr>
        <w:fldChar w:fldCharType="end"/>
      </w:r>
    </w:p>
    <w:p w:rsidR="00BC7652" w:rsidRPr="00794FB2" w:rsidRDefault="00BC7652" w:rsidP="00BC7652">
      <w:pPr>
        <w:autoSpaceDE w:val="0"/>
        <w:autoSpaceDN w:val="0"/>
        <w:adjustRightInd w:val="0"/>
        <w:spacing w:after="120" w:line="480" w:lineRule="auto"/>
        <w:jc w:val="both"/>
        <w:rPr>
          <w:rFonts w:ascii="Times New Roman" w:hAnsi="Times New Roman" w:cs="Times New Roman"/>
          <w:sz w:val="24"/>
          <w:szCs w:val="24"/>
        </w:rPr>
      </w:pPr>
    </w:p>
    <w:p w:rsidR="00BC7652" w:rsidRDefault="00BC7652" w:rsidP="00BC7652">
      <w:pPr>
        <w:tabs>
          <w:tab w:val="left" w:pos="1276"/>
        </w:tabs>
        <w:autoSpaceDE w:val="0"/>
        <w:autoSpaceDN w:val="0"/>
        <w:adjustRightInd w:val="0"/>
        <w:spacing w:after="120" w:line="480" w:lineRule="auto"/>
        <w:jc w:val="both"/>
        <w:rPr>
          <w:rFonts w:ascii="Times New Roman" w:hAnsi="Times New Roman" w:cs="Times New Roman"/>
          <w:color w:val="000000"/>
          <w:sz w:val="28"/>
          <w:szCs w:val="28"/>
        </w:rPr>
      </w:pPr>
      <w:r w:rsidRPr="002C5F23">
        <w:rPr>
          <w:rFonts w:ascii="Times New Roman" w:hAnsi="Times New Roman" w:cs="Times New Roman"/>
          <w:color w:val="000000"/>
          <w:sz w:val="28"/>
          <w:szCs w:val="28"/>
        </w:rPr>
        <w:t>1.</w:t>
      </w:r>
      <w:r>
        <w:rPr>
          <w:rFonts w:ascii="Times New Roman" w:hAnsi="Times New Roman" w:cs="Times New Roman"/>
          <w:color w:val="000000"/>
          <w:sz w:val="28"/>
          <w:szCs w:val="28"/>
        </w:rPr>
        <w:t>7.3</w:t>
      </w:r>
      <w:r w:rsidRPr="002C5F23">
        <w:rPr>
          <w:rFonts w:ascii="Times New Roman" w:hAnsi="Times New Roman" w:cs="Times New Roman"/>
          <w:color w:val="000000"/>
          <w:sz w:val="28"/>
          <w:szCs w:val="28"/>
        </w:rPr>
        <w:tab/>
      </w:r>
      <w:r w:rsidRPr="002C5F23">
        <w:rPr>
          <w:rFonts w:ascii="Times New Roman" w:hAnsi="Times New Roman" w:cs="Times New Roman"/>
          <w:color w:val="000000"/>
          <w:sz w:val="28"/>
          <w:szCs w:val="28"/>
        </w:rPr>
        <w:tab/>
        <w:t>Regulation of peptidoglycan hydrolases</w:t>
      </w:r>
    </w:p>
    <w:p w:rsidR="00BC7652" w:rsidRPr="00555FAA" w:rsidRDefault="00BC7652" w:rsidP="00BC7652">
      <w:pPr>
        <w:autoSpaceDE w:val="0"/>
        <w:autoSpaceDN w:val="0"/>
        <w:adjustRightInd w:val="0"/>
        <w:spacing w:after="12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Peptidoglycan hydrolases are potentially lethal for the producing </w:t>
      </w:r>
      <w:proofErr w:type="gramStart"/>
      <w:r>
        <w:rPr>
          <w:rFonts w:ascii="Times New Roman" w:hAnsi="Times New Roman" w:cs="Times New Roman"/>
          <w:color w:val="000000"/>
          <w:sz w:val="24"/>
          <w:szCs w:val="24"/>
        </w:rPr>
        <w:t>bacterium,</w:t>
      </w:r>
      <w:proofErr w:type="gramEnd"/>
      <w:r>
        <w:rPr>
          <w:rFonts w:ascii="Times New Roman" w:hAnsi="Times New Roman" w:cs="Times New Roman"/>
          <w:color w:val="000000"/>
          <w:sz w:val="24"/>
          <w:szCs w:val="24"/>
        </w:rPr>
        <w:t xml:space="preserve"> therefore the activity of these enzymes is tightly controlled. </w:t>
      </w:r>
      <w:r w:rsidRPr="00555FAA">
        <w:rPr>
          <w:rFonts w:ascii="Times New Roman" w:hAnsi="Times New Roman" w:cs="Times New Roman"/>
          <w:color w:val="000000"/>
          <w:sz w:val="24"/>
          <w:szCs w:val="24"/>
        </w:rPr>
        <w:t>Regulation occur</w:t>
      </w:r>
      <w:r>
        <w:rPr>
          <w:rFonts w:ascii="Times New Roman" w:hAnsi="Times New Roman" w:cs="Times New Roman"/>
          <w:color w:val="000000"/>
          <w:sz w:val="24"/>
          <w:szCs w:val="24"/>
        </w:rPr>
        <w:t>s</w:t>
      </w:r>
      <w:r w:rsidRPr="00555FAA">
        <w:rPr>
          <w:rFonts w:ascii="Times New Roman" w:hAnsi="Times New Roman" w:cs="Times New Roman"/>
          <w:color w:val="000000"/>
          <w:sz w:val="24"/>
          <w:szCs w:val="24"/>
        </w:rPr>
        <w:t xml:space="preserve"> </w:t>
      </w:r>
      <w:r>
        <w:rPr>
          <w:rFonts w:ascii="Times New Roman" w:hAnsi="Times New Roman" w:cs="Times New Roman"/>
          <w:color w:val="000000"/>
          <w:sz w:val="24"/>
          <w:szCs w:val="24"/>
        </w:rPr>
        <w:t>at the t</w:t>
      </w:r>
      <w:r w:rsidRPr="00555FAA">
        <w:rPr>
          <w:rFonts w:ascii="Times New Roman" w:hAnsi="Times New Roman" w:cs="Times New Roman"/>
          <w:color w:val="000000"/>
          <w:sz w:val="24"/>
          <w:szCs w:val="24"/>
        </w:rPr>
        <w:t>ranscription</w:t>
      </w:r>
      <w:r>
        <w:rPr>
          <w:rFonts w:ascii="Times New Roman" w:hAnsi="Times New Roman" w:cs="Times New Roman"/>
          <w:color w:val="000000"/>
          <w:sz w:val="24"/>
          <w:szCs w:val="24"/>
        </w:rPr>
        <w:t>al level or post-</w:t>
      </w:r>
      <w:r w:rsidRPr="00555FAA">
        <w:rPr>
          <w:rFonts w:ascii="Times New Roman" w:hAnsi="Times New Roman" w:cs="Times New Roman"/>
          <w:color w:val="000000"/>
          <w:sz w:val="24"/>
          <w:szCs w:val="24"/>
        </w:rPr>
        <w:t>translationally via protein-protein intera</w:t>
      </w:r>
      <w:r>
        <w:rPr>
          <w:rFonts w:ascii="Times New Roman" w:hAnsi="Times New Roman" w:cs="Times New Roman"/>
          <w:color w:val="000000"/>
          <w:sz w:val="24"/>
          <w:szCs w:val="24"/>
        </w:rPr>
        <w:t xml:space="preserve">ctions, proteolytic processing, </w:t>
      </w:r>
      <w:proofErr w:type="gramStart"/>
      <w:r>
        <w:rPr>
          <w:rFonts w:ascii="Times New Roman" w:hAnsi="Times New Roman" w:cs="Times New Roman"/>
          <w:color w:val="000000"/>
          <w:sz w:val="24"/>
          <w:szCs w:val="24"/>
        </w:rPr>
        <w:t>regulation</w:t>
      </w:r>
      <w:proofErr w:type="gramEnd"/>
      <w:r>
        <w:rPr>
          <w:rFonts w:ascii="Times New Roman" w:hAnsi="Times New Roman" w:cs="Times New Roman"/>
          <w:color w:val="000000"/>
          <w:sz w:val="24"/>
          <w:szCs w:val="24"/>
        </w:rPr>
        <w:t xml:space="preserve"> by </w:t>
      </w:r>
      <w:r w:rsidRPr="00555FAA">
        <w:rPr>
          <w:rFonts w:ascii="Times New Roman" w:hAnsi="Times New Roman" w:cs="Times New Roman"/>
          <w:color w:val="000000"/>
          <w:sz w:val="24"/>
          <w:szCs w:val="24"/>
        </w:rPr>
        <w:t>secondary wall polymers and substrate availability.</w:t>
      </w:r>
    </w:p>
    <w:p w:rsidR="00BC7652" w:rsidRDefault="00BC7652" w:rsidP="00BC7652">
      <w:pPr>
        <w:rPr>
          <w:rFonts w:ascii="Times New Roman" w:hAnsi="Times New Roman" w:cs="Times New Roman"/>
          <w:color w:val="000000"/>
          <w:sz w:val="24"/>
          <w:szCs w:val="24"/>
        </w:rPr>
      </w:pPr>
      <w:r>
        <w:rPr>
          <w:rFonts w:ascii="Times New Roman" w:hAnsi="Times New Roman" w:cs="Times New Roman"/>
          <w:color w:val="000000"/>
          <w:sz w:val="24"/>
          <w:szCs w:val="24"/>
        </w:rPr>
        <w:br w:type="page"/>
      </w:r>
    </w:p>
    <w:p w:rsidR="00BC7652" w:rsidRDefault="00BC7652" w:rsidP="00BC7652">
      <w:pPr>
        <w:tabs>
          <w:tab w:val="left" w:pos="1276"/>
        </w:tabs>
        <w:autoSpaceDE w:val="0"/>
        <w:autoSpaceDN w:val="0"/>
        <w:adjustRightInd w:val="0"/>
        <w:spacing w:after="120" w:line="480" w:lineRule="auto"/>
        <w:jc w:val="both"/>
        <w:rPr>
          <w:rFonts w:ascii="Times New Roman" w:hAnsi="Times New Roman" w:cs="Times New Roman"/>
          <w:color w:val="000000"/>
          <w:sz w:val="28"/>
          <w:szCs w:val="28"/>
        </w:rPr>
      </w:pPr>
      <w:r w:rsidRPr="002C5F23">
        <w:rPr>
          <w:rFonts w:ascii="Times New Roman" w:hAnsi="Times New Roman" w:cs="Times New Roman"/>
          <w:color w:val="000000"/>
          <w:sz w:val="28"/>
          <w:szCs w:val="28"/>
        </w:rPr>
        <w:lastRenderedPageBreak/>
        <w:t>1.</w:t>
      </w:r>
      <w:r>
        <w:rPr>
          <w:rFonts w:ascii="Times New Roman" w:hAnsi="Times New Roman" w:cs="Times New Roman"/>
          <w:color w:val="000000"/>
          <w:sz w:val="28"/>
          <w:szCs w:val="28"/>
        </w:rPr>
        <w:t>7.3.1</w:t>
      </w:r>
      <w:r>
        <w:rPr>
          <w:rFonts w:ascii="Times New Roman" w:hAnsi="Times New Roman" w:cs="Times New Roman"/>
          <w:color w:val="000000"/>
          <w:sz w:val="28"/>
          <w:szCs w:val="28"/>
        </w:rPr>
        <w:tab/>
        <w:t>Transcriptional regulation of peptidoglycan hydrolases</w:t>
      </w:r>
    </w:p>
    <w:p w:rsidR="00BC7652" w:rsidRDefault="00BC7652" w:rsidP="00BC7652">
      <w:pPr>
        <w:tabs>
          <w:tab w:val="left" w:pos="1276"/>
        </w:tabs>
        <w:autoSpaceDE w:val="0"/>
        <w:autoSpaceDN w:val="0"/>
        <w:adjustRightInd w:val="0"/>
        <w:spacing w:after="120" w:line="48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1.7.3.1.1</w:t>
      </w:r>
      <w:r>
        <w:rPr>
          <w:rFonts w:ascii="Times New Roman" w:hAnsi="Times New Roman" w:cs="Times New Roman"/>
          <w:color w:val="000000"/>
          <w:sz w:val="28"/>
          <w:szCs w:val="28"/>
        </w:rPr>
        <w:tab/>
        <w:t>Sigma factors</w:t>
      </w:r>
    </w:p>
    <w:p w:rsidR="00BC7652" w:rsidRPr="00900361" w:rsidRDefault="00BC7652" w:rsidP="00BC7652">
      <w:pPr>
        <w:autoSpaceDE w:val="0"/>
        <w:autoSpaceDN w:val="0"/>
        <w:adjustRightInd w:val="0"/>
        <w:spacing w:after="12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sz w:val="24"/>
          <w:szCs w:val="24"/>
        </w:rPr>
        <w:t>Regulation by sigma</w:t>
      </w:r>
      <w:r w:rsidRPr="00555FAA">
        <w:rPr>
          <w:rFonts w:ascii="Times New Roman" w:hAnsi="Times New Roman" w:cs="Times New Roman"/>
          <w:color w:val="000000"/>
          <w:sz w:val="24"/>
          <w:szCs w:val="24"/>
        </w:rPr>
        <w:t xml:space="preserve"> factors facilitates differential expression of peptidoglycan hydrolases</w:t>
      </w:r>
      <w:r>
        <w:rPr>
          <w:rFonts w:ascii="Times New Roman" w:hAnsi="Times New Roman" w:cs="Times New Roman"/>
          <w:color w:val="000000"/>
          <w:sz w:val="24"/>
          <w:szCs w:val="24"/>
        </w:rPr>
        <w:t xml:space="preserve">. </w:t>
      </w:r>
      <w:r w:rsidRPr="00555FAA">
        <w:rPr>
          <w:rFonts w:ascii="Times New Roman" w:hAnsi="Times New Roman" w:cs="Times New Roman"/>
          <w:i/>
          <w:color w:val="000000"/>
          <w:sz w:val="24"/>
          <w:szCs w:val="24"/>
        </w:rPr>
        <w:t xml:space="preserve">B. subtilis </w:t>
      </w:r>
      <w:r>
        <w:rPr>
          <w:rFonts w:ascii="Times New Roman" w:hAnsi="Times New Roman" w:cs="Times New Roman"/>
          <w:color w:val="000000"/>
          <w:sz w:val="24"/>
          <w:szCs w:val="24"/>
        </w:rPr>
        <w:t>glucosaminidases</w:t>
      </w:r>
      <w:r w:rsidRPr="00555FAA">
        <w:rPr>
          <w:rFonts w:ascii="Times New Roman" w:hAnsi="Times New Roman" w:cs="Times New Roman"/>
          <w:color w:val="000000"/>
          <w:sz w:val="24"/>
          <w:szCs w:val="24"/>
        </w:rPr>
        <w:t xml:space="preserve"> LytD and LytG </w:t>
      </w:r>
      <w:r>
        <w:rPr>
          <w:rFonts w:ascii="Times New Roman" w:hAnsi="Times New Roman" w:cs="Times New Roman"/>
          <w:color w:val="000000"/>
          <w:sz w:val="24"/>
          <w:szCs w:val="24"/>
        </w:rPr>
        <w:t xml:space="preserve">are </w:t>
      </w:r>
      <w:r w:rsidRPr="00555FAA">
        <w:rPr>
          <w:rFonts w:ascii="Times New Roman" w:hAnsi="Times New Roman" w:cs="Times New Roman"/>
          <w:color w:val="000000"/>
          <w:sz w:val="24"/>
          <w:szCs w:val="24"/>
        </w:rPr>
        <w:t>expressed during vegetative growth</w:t>
      </w:r>
      <w:r>
        <w:rPr>
          <w:rFonts w:ascii="Times New Roman" w:hAnsi="Times New Roman" w:cs="Times New Roman"/>
          <w:color w:val="000000"/>
          <w:sz w:val="24"/>
          <w:szCs w:val="24"/>
        </w:rPr>
        <w:t>.</w:t>
      </w:r>
      <w:r w:rsidRPr="00555FAA">
        <w:rPr>
          <w:rFonts w:ascii="Times New Roman" w:hAnsi="Times New Roman" w:cs="Times New Roman"/>
          <w:color w:val="000000"/>
          <w:sz w:val="24"/>
          <w:szCs w:val="24"/>
        </w:rPr>
        <w:t xml:space="preserve"> Whilst </w:t>
      </w:r>
      <w:r w:rsidRPr="00555FAA">
        <w:rPr>
          <w:rFonts w:ascii="Times New Roman" w:hAnsi="Times New Roman" w:cs="Times New Roman"/>
          <w:i/>
          <w:color w:val="000000"/>
          <w:sz w:val="24"/>
          <w:szCs w:val="24"/>
        </w:rPr>
        <w:t>lytG</w:t>
      </w:r>
      <w:r w:rsidRPr="00555FAA">
        <w:rPr>
          <w:rFonts w:ascii="Times New Roman" w:hAnsi="Times New Roman" w:cs="Times New Roman"/>
          <w:color w:val="000000"/>
          <w:sz w:val="24"/>
          <w:szCs w:val="24"/>
        </w:rPr>
        <w:t xml:space="preserve"> expression is </w:t>
      </w:r>
      <w:r>
        <w:rPr>
          <w:rFonts w:ascii="Times New Roman" w:hAnsi="Times New Roman" w:cs="Times New Roman"/>
          <w:color w:val="000000"/>
          <w:sz w:val="24"/>
          <w:szCs w:val="24"/>
        </w:rPr>
        <w:t xml:space="preserve">controlled by the </w:t>
      </w:r>
      <w:r w:rsidRPr="00555FAA">
        <w:rPr>
          <w:rFonts w:ascii="Times New Roman" w:hAnsi="Times New Roman" w:cs="Times New Roman"/>
          <w:color w:val="000000"/>
          <w:sz w:val="24"/>
          <w:szCs w:val="24"/>
        </w:rPr>
        <w:t xml:space="preserve">major housekeeping sigma factor, </w:t>
      </w:r>
      <w:r w:rsidRPr="00555FAA">
        <w:rPr>
          <w:rFonts w:ascii="Times New Roman" w:hAnsi="Times New Roman" w:cs="Times New Roman"/>
          <w:i/>
          <w:color w:val="000000"/>
          <w:sz w:val="24"/>
          <w:szCs w:val="24"/>
        </w:rPr>
        <w:t>sigA</w:t>
      </w:r>
      <w:r w:rsidRPr="00555FAA">
        <w:rPr>
          <w:rFonts w:ascii="Times New Roman" w:hAnsi="Times New Roman" w:cs="Times New Roman"/>
          <w:color w:val="000000"/>
          <w:sz w:val="24"/>
          <w:szCs w:val="24"/>
        </w:rPr>
        <w:t xml:space="preserve">, the </w:t>
      </w:r>
      <w:r w:rsidRPr="00900361">
        <w:rPr>
          <w:rFonts w:ascii="Times New Roman" w:hAnsi="Times New Roman" w:cs="Times New Roman"/>
          <w:color w:val="000000" w:themeColor="text1"/>
          <w:sz w:val="24"/>
          <w:szCs w:val="24"/>
        </w:rPr>
        <w:t xml:space="preserve">majority (95%) of </w:t>
      </w:r>
      <w:r w:rsidRPr="00900361">
        <w:rPr>
          <w:rFonts w:ascii="Times New Roman" w:hAnsi="Times New Roman" w:cs="Times New Roman"/>
          <w:i/>
          <w:color w:val="000000" w:themeColor="text1"/>
          <w:sz w:val="24"/>
          <w:szCs w:val="24"/>
        </w:rPr>
        <w:t>lytD</w:t>
      </w:r>
      <w:r w:rsidRPr="00900361">
        <w:rPr>
          <w:rFonts w:ascii="Times New Roman" w:hAnsi="Times New Roman" w:cs="Times New Roman"/>
          <w:color w:val="000000" w:themeColor="text1"/>
          <w:sz w:val="24"/>
          <w:szCs w:val="24"/>
        </w:rPr>
        <w:t xml:space="preserve"> expression is regulated by the alternative flagellar chemotaxis and motility sigma factor, </w:t>
      </w:r>
      <w:r w:rsidRPr="00900361">
        <w:rPr>
          <w:rFonts w:ascii="Times New Roman" w:hAnsi="Times New Roman" w:cs="Times New Roman"/>
          <w:i/>
          <w:color w:val="000000" w:themeColor="text1"/>
          <w:sz w:val="24"/>
          <w:szCs w:val="24"/>
        </w:rPr>
        <w:t>sigD</w:t>
      </w:r>
      <w:r w:rsidRPr="00900361">
        <w:rPr>
          <w:rFonts w:ascii="Times New Roman" w:hAnsi="Times New Roman" w:cs="Times New Roman"/>
          <w:color w:val="000000" w:themeColor="text1"/>
          <w:sz w:val="24"/>
          <w:szCs w:val="24"/>
        </w:rPr>
        <w:t xml:space="preserve">, along with the major amidase LytC and LytF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{"citationID":"124l3poano","properties":{"formattedCitation":"(Lazarevic et al., 1992; Margot et al., 1994; Ohnishi et al., 1999)","plainCitation":"(Lazarevic et al., 1992; Margot et al., 1994; Ohnishi et al., 1999)"},"citationItems":[{"id":466,"uris":["http://zotero.org/users/944474/items/H8WE5WTJ"],"uri":["http://zotero.org/users/944474/items/H8WE5WTJ"],"itemData":{"id":466,"type":"article-journal","title":"Sequencing and analysis of the Bacillus subtilis lytRABC divergon: a regulatory unit encompassing the structural genes of the N-acetylmuramoyl-L-alanine amidase and its modifier","container-title":"Journal of general microbiology","page":"1949-1961","volume":"138","issue":"9","abstract":"The regulatory unit of Bacillus subtilis strain 168 encompassing the structural genes of the N-acetylmuramoyl-L-alanine amidase and of its modifier has been sequenced, and found to be a divergon consisting of divergently transcribed operons lytABC and lytR. Proteins LytA, LytB and LytC are endowed with export signal peptides. Mature LytA is a 9.4 kDa, highly acidic polypeptide whose deduced amino acid sequence points to a lipoprotein. LytB and LytC, the modifier and the amidase, are highly basic. After cleavage of the signal sequence their molecular masses are 74.1 and 49.9 kDa, respectively. These two proteins share considerable homology in their N-terminal moieties and have three GSNRY consensus motifs, characteristic of nearly all amidases. The C-terminal moiety of LytB exhibits homology to the product of spoIID. LytR is a 35 kDa protein which acts as an attenuator of the expression of both lytABC and lytR operons. Transcription of the lytABC operon proceeds from two promoters: PD, identified as P28-7 (Gilman et al., 1984), and an upstream PA. The former only is subject to LytR attenuation. Translational initiation of lytB and lytC is directed by UUG start codons, suggesting that lytA, B and C undergo coupled translation. Transcription of lytR is initiated at two start sites, one of which corresponds to a highly intense PA promoter whereas the other does not seem to share much homology with any of the known promoter consensus sequences. Both promoters are attenuated by LytR. It is confirmed that the synthesis of the amidase is controlled at least in part by SigD, i.e. that it belongs to the fla regulon and that its activity, or part of it, is co-regulated with flagellar motility. The role of the mutations conferring the Sin, Fla and Ifm phenotypes in the expression of the lytABC operon is discussed.","note":"PMID: 1357079","shortTitle":"Sequencing and analysis of the Bacillus subtilis lytRABC divergon","journalAbbreviation":"J. Gen. Microbiol.","author":[{"family":"Lazarevic","given":"V"},{"family":"Margot","given":"P"},{"family":"Soldo","given":"B"},{"family":"Karamata","given":"D"}],"issued":{"year":1992,"month":9},"accessed":{"year":2012,"month":6,"day":17},"page-first":"1949"}},{"id":314,"uris":["http://zotero.org/users/944474/items/XP2QQSIK"],"uri":["http://zotero.org/users/944474/items/XP2QQSIK"],"itemData":{"id":314,"type":"article-journal","title":"The gene of the N-acetylglucosaminidase, a Bacillus subtilis 168 cell wall hydrolase not involved in vegetative cell autolysis","container-title":"Molecular microbiology","page":"535-545","volume":"12","issue":"4","abstract":"lytD, the structural gene of the Bacillus subtilis 168 N-acetylglucosaminidase was localized at 310 degrees, next to the tagABC operon. Sequence analysis revealed a monocistronic operon encoding a 95.6 kDa protein endowed with an export signal, the cleavage of which yields the monomer polypeptide (92.8 kDa) of the dimeric active form of the enzyme. Transcription is initiated at a sigma-D (sigma D)-dependent promoter and ends at a terminator common to lytD and the divergently transcribed tagABC operon. In addition, we report the sequence of the adjacent upstream ORF, transcribed in the same direction as lytD, which shows significant homology to phosphomannose isomerase-encoding genes. Cell separation, motility, autolysis, cell wall turnover and growth were not affected in strains devoid of the N-acetylglucosaminidase. A mutant deficient in the two most abundant autolysins, i.e. the LytC amidase and the glucosaminidase, exhibited the phenotype of the amidase-deficient strains, revealing their non-requirement for growth. This conclusion raises two fundamental questions: how does the cell undo the highly cross-linked peptidoglycan so as to be able to grow, and what is the role of the considerable amount of autolysin normally present? Possible answers to these questions are discussed.","note":"PMID: 7934877","journalAbbreviation":"Mol. Microbiol.","author":[{"family":"Margot","given":"P"},{"family":"Mauël","given":"C"},{"family":"Karamata","given":"D"}],"issued":{"year":1994,"month":5},"accessed":{"year":2012,"month":5,"day":30},"page-first":"535"}},{"id":463,"uris":["http://zotero.org/users/944474/items/NTK5R7D8"],"uri":["http://zotero.org/users/944474/items/NTK5R7D8"],"itemData":{"id":463,"type":"article-journal","title":"Peptidoglycan hydrolase LytF plays a role in cell separation with CwlF during vegetative growth of Bacillus subtilis","container-title":"Journal of bacteriology","page":"3178-3184","volume":"181","issue":"10","abstract":"Peptidoglycan hydrolase, LytF (CwlE), was determined to be identical to YhdD (deduced cell wall binding protein) by zymography after insertional inactivation of the yhdD gene. YhdD exhibits high sequence similarity with CwlF (PapQ, LytE) and p60 of Listeria monocytogenes. The N-terminal region of YhdD has a signal sequence followed by five tandem repeated regions containing polyserine residues. The C-terminal region corresponds to the catalytic domain, because a truncated protein without the N-terminal region retained cell wall hydrolase activity. The histidine-tagged LytF protein produced in Escherichia coli cells hydrolyzed the linkage of D-gamma-glutamyl-meso-diaminopimelic acid in murein peptides, indicating that it is a D,L-endopeptidase. Northern hybridization and primer extension analyses indicated that the lytF gene was transcribed by EsigmaD RNA polymerase. Disruption of lytF led to slightly filamentous cells, and a lytF cwlF double mutant exhibited extraordinary microfiber formation, which is similar to the cell morphology of the cwlF sigD mutant.","note":"PMID: 10322020","journalAbbreviation":"J. Bacteriol.","author":[{"family":"Ohnishi","given":"R"},{"family":"Ishikawa","given":"S"},{"family":"Sekiguchi","given":"J"}],"issued":{"year":1999,"month":5},"accessed":{"year":2012,"month":6,"day":17},"page-first":"3178"}}],"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(Lazarevic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xml:space="preserve">., 1992; Margot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xml:space="preserve">., 1994; Ohnishi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1999)</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Regulation of daughter cell separation by </w:t>
      </w:r>
      <w:r w:rsidRPr="00900361">
        <w:rPr>
          <w:rFonts w:ascii="Times New Roman" w:hAnsi="Times New Roman" w:cs="Times New Roman"/>
          <w:i/>
          <w:color w:val="000000" w:themeColor="text1"/>
          <w:sz w:val="24"/>
          <w:szCs w:val="24"/>
        </w:rPr>
        <w:t>sigD</w:t>
      </w:r>
      <w:r w:rsidRPr="00900361">
        <w:rPr>
          <w:rFonts w:ascii="Times New Roman" w:hAnsi="Times New Roman" w:cs="Times New Roman"/>
          <w:color w:val="000000" w:themeColor="text1"/>
          <w:sz w:val="24"/>
          <w:szCs w:val="24"/>
        </w:rPr>
        <w:t xml:space="preserve"> ensures efficient motility, as conjoined cells cannot coordinate chemotaxis due to the so-called ‘pushyu-pullmi’ effect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{"citationID":"25l24vl7uh","properties":{"formattedCitation":"(Blackman et al., 1998)","plainCitation":"(Blackman et al., 1998)"},"citationItems":[{"id":467,"uris":["http://zotero.org/users/944474/items/HRXKQURW"],"uri":["http://zotero.org/users/944474/items/HRXKQURW"],"itemData":{"id":467,"type":"article-journal","title":"The role of autolysins during vegetative growth of Bacillus subtilis 168","container-title":"Microbiology (Reading, England)","page":"73-82","volume":"144 ( Pt 1)","abstract":"A set of isogenic mutants of Bacillus subtilis 168, insertionally inactivated in the genes encoding a number of lytic enzymes and a sigma factor (sigma D, which controls the expression of a number of autolysins) was constructed. Phenotypic analysis of the mutants determined the individual and combined roles of the autolysins in vegetative growth. The major vegetative autolysins of B. subtilis, LytC (50 kDa amidase) and LytD (90 kDa glucosaminidase), were shown to have roles in cell separation, cell wall turnover, antibiotic-induced lysis and motility. LytC was also shown to have a role in general cell lysis induced by sodium azide. Renaturing SDS-PAGE of cell-wall-binding protein extracts of the mutant strains revealed the presence of a novel autolysin that was previously masked by LytC. This 49 kDa enzyme was shown to be sigma D-controlled and was identified as a candidate cell separation and cell wall turnover enzyme. A multiple mutant strain, lacking LytC, LytD and the 49 kDa enzyme, retained at least ten bands of autolytic activity. These may correspond to individual or proteolytically processed novel autolysins, the functions of which are unknown. The multiple mutant strains facilitate the study of these, and other lytic enzymes, to determine their cellular functions.","note":"PMID: 9537764","journalAbbreviation":"Microbiology (Reading, Engl.)","author":[{"family":"Blackman","given":"S A"},{"family":"Smith","given":"T J"},{"family":"Foster","given":"S J"}],"issued":{"year":1998,"month":1},"accessed":{"year":2012,"month":6,"day":17},"page-first":"73"}}],"schema":"https://github.com/citation-style-language/schema/raw/master/csl-citation.json"}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szCs w:val="24"/>
        </w:rPr>
        <w:t xml:space="preserve">(Blackman </w:t>
      </w:r>
      <w:r w:rsidRPr="00C521B3">
        <w:rPr>
          <w:rFonts w:ascii="Times New Roman" w:hAnsi="Times New Roman" w:cs="Times New Roman"/>
          <w:i/>
          <w:color w:val="000000" w:themeColor="text1"/>
          <w:sz w:val="24"/>
          <w:szCs w:val="24"/>
        </w:rPr>
        <w:t>et al</w:t>
      </w:r>
      <w:r w:rsidRPr="00900361">
        <w:rPr>
          <w:rFonts w:ascii="Times New Roman" w:hAnsi="Times New Roman" w:cs="Times New Roman"/>
          <w:color w:val="000000" w:themeColor="text1"/>
          <w:sz w:val="24"/>
          <w:szCs w:val="24"/>
        </w:rPr>
        <w:t>., 1998)</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The late mother-cell specific sigma factor of </w:t>
      </w:r>
      <w:r w:rsidRPr="00900361">
        <w:rPr>
          <w:rFonts w:ascii="Times New Roman" w:hAnsi="Times New Roman" w:cs="Times New Roman"/>
          <w:i/>
          <w:color w:val="000000" w:themeColor="text1"/>
          <w:sz w:val="24"/>
          <w:szCs w:val="24"/>
        </w:rPr>
        <w:t>B. subtilis</w:t>
      </w:r>
      <w:r w:rsidRPr="00900361">
        <w:rPr>
          <w:rFonts w:ascii="Times New Roman" w:hAnsi="Times New Roman" w:cs="Times New Roman"/>
          <w:color w:val="000000" w:themeColor="text1"/>
          <w:sz w:val="24"/>
          <w:szCs w:val="24"/>
        </w:rPr>
        <w:t xml:space="preserve">, SigK, regulates transcription of sporulation specific hydrolases including LytH, an endopeptidase involved in maturation of spore cortex peptidoglycan, and two amidases, CwlC and CwlH, required for mother cell lysis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{"citationID":"1lslamv8tk","properties":{"formattedCitation":"(Horsburgh et al., 2003)","plainCitation":"(Horsburgh et al., 2003)"},"citationItems":[{"id":470,"uris":["http://zotero.org/users/944474/items/GPV38C9S"],"uri":["http://zotero.org/users/944474/items/GPV38C9S"],"itemData":{"id":470,"type":"article-journal","title":"Characterization of LytH, a differentiation-associated peptidoglycan hydrolase of Bacillus subtilis involved in endospore cortex maturation","container-title":"Journal of bacteriology","page":"3813-3820","volume":"185","issue":"13","abstract":"The cortex peptidoglycan from endospores of Bacillus subtilis is responsible for the maintenance of dormancy. LytH (YunA) has been identified as a novel sporulation-specific component with a role in cortex structure determination. The lytH gene was expressed only during sporulation, under the control of the mother cell-specific sigma factor sigma(K). Spores of a lytH mutant have slightly reduced heat resistance and altered staining when viewed by electron microscopy. Analysis of the peptidoglycan structure of lytH mutant spores shows the loss of muramic acid residues substituted with L-alanine and a corresponding increase in muramic acid residues substituted with tetrapeptide compared to those in the parent strain. In a lytH cwlD mutant, the lack of muramic acid residues substituted with L-alanine and delta-lactam leaves 97% of residues substituted with tetrapeptide. These results suggest that lytH encodes an L-Ala-D-Glu peptidase involved in production of single L-alanine side chains from tetrapeptides in the spore cortex. The lack of di- or tripeptides in a lytH mutant reveals the enzyme is an endopeptidase.","note":"PMID: 12813075","journalAbbreviation":"J. Bacteriol.","author":[{"family":"Horsburgh","given":"Gavin J"},{"family":"Atrih","given":"Abdelmadjid"},{"family":"Foster","given":"Simon J"}],"issued":{"year":2003,"month":7},"accessed":{"year":2012,"month":6,"day":17},"page-first":"3813"}}],"schema":"https://github.com/citation-style-language/schema/raw/master/csl-citation.json"}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(Horsburgh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2003)</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Dual regulation of </w:t>
      </w:r>
      <w:r w:rsidRPr="00900361">
        <w:rPr>
          <w:rFonts w:ascii="Times New Roman" w:hAnsi="Times New Roman" w:cs="Times New Roman"/>
          <w:i/>
          <w:color w:val="000000" w:themeColor="text1"/>
          <w:sz w:val="24"/>
          <w:szCs w:val="24"/>
        </w:rPr>
        <w:t xml:space="preserve">B. subtilis </w:t>
      </w:r>
      <w:r w:rsidRPr="00900361">
        <w:rPr>
          <w:rFonts w:ascii="Times New Roman" w:hAnsi="Times New Roman" w:cs="Times New Roman"/>
          <w:color w:val="000000" w:themeColor="text1"/>
          <w:sz w:val="24"/>
          <w:szCs w:val="24"/>
        </w:rPr>
        <w:t>endopeptidase LytE by SigA and SigI facilitates differential coordination of a single enzyme. SigA mediates LytE activity during vegetat</w:t>
      </w:r>
      <w:r>
        <w:rPr>
          <w:rFonts w:ascii="Times New Roman" w:hAnsi="Times New Roman" w:cs="Times New Roman"/>
          <w:color w:val="000000" w:themeColor="text1"/>
          <w:sz w:val="24"/>
          <w:szCs w:val="24"/>
        </w:rPr>
        <w:t>iv</w:t>
      </w:r>
      <w:r w:rsidRPr="00900361">
        <w:rPr>
          <w:rFonts w:ascii="Times New Roman" w:hAnsi="Times New Roman" w:cs="Times New Roman"/>
          <w:color w:val="000000" w:themeColor="text1"/>
          <w:sz w:val="24"/>
          <w:szCs w:val="24"/>
        </w:rPr>
        <w:t xml:space="preserve">e growth, but expression of LytE is rapidly upregulated by SigI as an emergency response for survival at high temperatures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{"citationID":"7ginnnd98","properties":{"formattedCitation":"(Zuber et al., 2001; Tseng et al., 2011)","plainCitation":"(Zuber et al., 2001; Tseng et al., 2011)"},"citationItems":[{"id":469,"uris":["http://zotero.org/users/944474/items/AAMR3XBK"],"uri":["http://zotero.org/users/944474/items/AAMR3XBK"],"itemData":{"id":469,"type":"article-journal","title":"Putative sigma factor SigI (YkoZ) of Bacillus subtilis is induced by heat shock","container-title":"Journal of bacteriology","page":"1472-1475","volume":"183","issue":"4","abstract":"A Bacillus subtilis disruption mutant with a mutation in sigI (formerly ykoZ) shows a temperature-sensitive growth on agar plates. The transcription of the sigI gene is heat shock induced in rich medium but not in minimal medium. Proteome studies revealed a reduced amount of GsiB protein in the sigI mutant under heat shock conditions.","DOI":"10.1128/JB.183.4.1472-1475.2001","note":"PMID: 11157964","journalAbbreviation":"J. Bacteriol.","author":[{"family":"Zuber","given":"U"},{"family":"Drzewiecki","given":"K"},{"family":"Hecker","given":"M"}],"issued":{"year":2001,"month":2},"accessed":{"year":2012,"month":6,"day":17},"page-first":"1472"}},{"id":468,"uris":["http://zotero.org/users/944474/items/BMT9S4TA"],"uri":["http://zotero.org/users/944474/items/BMT9S4TA"],"itemData":{"id":468,"type":"article-journal","title":"Genetic evidence for involvement of the alternative sigma factor SigI in controlling expression of the cell wall hydrolase gene lytE and contribution of LytE to heat survival of Bacillus subtilis","container-title":"Archives of microbiology","page":"677-685","volume":"193","issue":"9","abstract":"The Bacillus subtilis cell wall hydrolase LytE is involved in cell wall turnover and cell separation during vegetative growth. lytE transcription is known to be driven by a YycF-activated SigA-dependent promoter. The cell wall regulator SigI is an alternative sigma factor that has been shown to be heat stress-inducible and to be essential for survival of B. subtilis at high temperature. However, none of the previously identified target genes of SigI contribute to heat resistance. We now demonstrate that lytE expression is heat-inducible and that heat induction of lytE expression is strongly dependent on SigI. We have also found that the lytE mutant shows the same growth defect at high temperature as the sigI mutant. Introducing an extra copy of lytE into the sigI mutant could rescue its growth defect. Our data strongly suggest that SigI-dependent lytE expression under heat stress is important for heat survival of B. subtilis.","DOI":"10.1007/s00203-011-0710-0","note":"PMID: 21541672","journalAbbreviation":"Arch. Microbiol.","author":[{"family":"Tseng","given":"Chi-Ling"},{"family":"Chen","given":"Jung-Tze"},{"family":"Lin","given":"Ju-Hui"},{"family":"Huang","given":"Wan-Zhen"},{"family":"Shaw","given":"Gwo-Chyuan"}],"issued":{"year":2011,"month":9},"accessed":{"year":2012,"month":6,"day":17},"page-first":"677"}}],"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szCs w:val="24"/>
        </w:rPr>
        <w:t xml:space="preserve">(Zuber </w:t>
      </w:r>
      <w:r w:rsidRPr="00C521B3">
        <w:rPr>
          <w:rFonts w:ascii="Times New Roman" w:hAnsi="Times New Roman" w:cs="Times New Roman"/>
          <w:i/>
          <w:color w:val="000000" w:themeColor="text1"/>
          <w:sz w:val="24"/>
          <w:szCs w:val="24"/>
        </w:rPr>
        <w:t>et al</w:t>
      </w:r>
      <w:r w:rsidRPr="00900361">
        <w:rPr>
          <w:rFonts w:ascii="Times New Roman" w:hAnsi="Times New Roman" w:cs="Times New Roman"/>
          <w:color w:val="000000" w:themeColor="text1"/>
          <w:sz w:val="24"/>
          <w:szCs w:val="24"/>
        </w:rPr>
        <w:t xml:space="preserve">., 2001; Tseng </w:t>
      </w:r>
      <w:r w:rsidRPr="00C521B3">
        <w:rPr>
          <w:rFonts w:ascii="Times New Roman" w:hAnsi="Times New Roman" w:cs="Times New Roman"/>
          <w:i/>
          <w:color w:val="000000" w:themeColor="text1"/>
          <w:sz w:val="24"/>
          <w:szCs w:val="24"/>
        </w:rPr>
        <w:t>et al</w:t>
      </w:r>
      <w:r w:rsidRPr="00900361">
        <w:rPr>
          <w:rFonts w:ascii="Times New Roman" w:hAnsi="Times New Roman" w:cs="Times New Roman"/>
          <w:color w:val="000000" w:themeColor="text1"/>
          <w:sz w:val="24"/>
          <w:szCs w:val="24"/>
        </w:rPr>
        <w:t>., 2011)</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w:t>
      </w:r>
    </w:p>
    <w:p w:rsidR="00BC7652" w:rsidRDefault="00BC7652" w:rsidP="00BC7652">
      <w:pPr>
        <w:autoSpaceDE w:val="0"/>
        <w:autoSpaceDN w:val="0"/>
        <w:adjustRightInd w:val="0"/>
        <w:spacing w:after="120" w:line="480" w:lineRule="auto"/>
        <w:jc w:val="both"/>
        <w:rPr>
          <w:rFonts w:ascii="Times New Roman" w:hAnsi="Times New Roman" w:cs="Times New Roman"/>
          <w:color w:val="000000"/>
          <w:sz w:val="28"/>
          <w:szCs w:val="28"/>
        </w:rPr>
      </w:pPr>
    </w:p>
    <w:p w:rsidR="00BC7652" w:rsidRDefault="00BC7652" w:rsidP="00BC7652">
      <w:pPr>
        <w:tabs>
          <w:tab w:val="left" w:pos="1276"/>
        </w:tabs>
        <w:autoSpaceDE w:val="0"/>
        <w:autoSpaceDN w:val="0"/>
        <w:adjustRightInd w:val="0"/>
        <w:spacing w:after="120" w:line="48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1.7.3.1.2</w:t>
      </w:r>
      <w:r>
        <w:rPr>
          <w:rFonts w:ascii="Times New Roman" w:hAnsi="Times New Roman" w:cs="Times New Roman"/>
          <w:color w:val="000000"/>
          <w:sz w:val="28"/>
          <w:szCs w:val="28"/>
        </w:rPr>
        <w:tab/>
        <w:t>Two component signal transduction</w:t>
      </w:r>
    </w:p>
    <w:p w:rsidR="00BC7652" w:rsidRDefault="00BC7652" w:rsidP="00BC7652">
      <w:pPr>
        <w:autoSpaceDE w:val="0"/>
        <w:autoSpaceDN w:val="0"/>
        <w:adjustRightInd w:val="0"/>
        <w:spacing w:after="12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Two-</w:t>
      </w:r>
      <w:r w:rsidRPr="00900361">
        <w:rPr>
          <w:rFonts w:ascii="Times New Roman" w:hAnsi="Times New Roman" w:cs="Times New Roman"/>
          <w:color w:val="000000" w:themeColor="text1"/>
          <w:sz w:val="24"/>
          <w:szCs w:val="24"/>
        </w:rPr>
        <w:t>component signal transduction systems (TCS) provide a mechanism for reg</w:t>
      </w:r>
      <w:r>
        <w:rPr>
          <w:rFonts w:ascii="Times New Roman" w:hAnsi="Times New Roman" w:cs="Times New Roman"/>
          <w:color w:val="000000" w:themeColor="text1"/>
          <w:sz w:val="24"/>
          <w:szCs w:val="24"/>
        </w:rPr>
        <w:t>ulating peptidoglycan hydrolase</w:t>
      </w:r>
      <w:r w:rsidRPr="00900361">
        <w:rPr>
          <w:rFonts w:ascii="Times New Roman" w:hAnsi="Times New Roman" w:cs="Times New Roman"/>
          <w:color w:val="000000" w:themeColor="text1"/>
          <w:sz w:val="24"/>
          <w:szCs w:val="24"/>
        </w:rPr>
        <w:t xml:space="preserve"> activity in response to environmental signals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{"citationID":"2mc2r8jijg","properties":{"formattedCitation":"(Fukushima et al., 2008, 2011)","plainCitation":"(Fukushima et al., 2008, 2011)"},"citationItems":[{"id":285,"uris":["http://zotero.org/users/944474/items/F8F9ZDX6"],"uri":["http://zotero.org/users/944474/items/F8F9ZDX6"],"itemData":{"id":285,"type":"article-journal","title":"A sensor histidine kinase co-ordinates cell wall architecture with cell division in Bacillus subtilis","container-title":"Molecular microbiology","page":"621-632","volume":"69","issue":"3","abstract":"The concerted interconnection between processes driving DNA synthesis, division septum formation and cell wall synthesis and remodelling in rapidly growing bacteria requires precise co-ordination by signalling mechanisms that are, for the most part, unknown. The YycG (sensor histidine kinase)-YycF (response regulator/transcription factor) two-component system of Bacillus subtilis controls the synthesis of enzymes and their inhibitors that function in cell wall remodelling and cell separation. Here it is shown that the YycG sensor histidine kinase is a component of the division septum in growing cells. RT-PCR quantification of YycF approximately PO(4)-regulated gene transcription, in wild type and FtsZ-depleted, septum-less cells, indicated that YycG kinase activity on YycF is dependent on YycG localization to a division septum. The data support a model in which the YycG sensor kinase perceives information at the division septum and regulates the reciprocal synthesis of autolysins and autolysin inhibitors to co-ordinate growth and division with cell wall restructuring.","DOI":"10.1111/j.1365-2958.2008.06308.x","note":"PMID: 18573169","journalAbbreviation":"Mol. Microbiol.","author":[{"family":"Fukushima","given":"Tatsuya"},{"family":"Szurmant","given":"Hendrik"},{"family":"Kim","given":"Eun-Ja"},{"family":"Perego","given":"Marta"},{"family":"Hoch","given":"James A"}],"issued":{"year":2008,"month":8},"accessed":{"year":2012,"month":5,"day":26},"page-first":"621"}},{"id":277,"uris":["http://zotero.org/users/944474/items/3HIXXCTG"],"uri":["http://zotero.org/users/944474/items/3HIXXCTG"],"itemData":{"id":277,"type":"article-journal","title":"A role for the essential YycG sensor histidine kinase in sensing cell division","container-title":"Molecular microbiology","page":"503-522","volume":"79","issue":"2","abstract":"The YycG sensor histidine kinase co-ordinates cell wall remodelling with cell division in Gram-positive bacteria by controlling the transcription of genes for autolysins and their inhibitors. Bacillus subtilis YycG senses cell division and is enzymatically activated by associating with the divisome at the division septum. Here it is shown that the cytoplasmic PAS domain of this multi-domain transmembrane kinase is a determining factor translocating the kinase to the division septum. Furthermore, translocation to the division septum, per se, is insufficient to activate YycG, indicating that specific interactions and/or ligands produced there are required to stimulate kinase activity. N-terminal truncations of YycG lose negative regulation of their activity inferring that this regulation is accomplished through its transmembrane and extramembrane domains interacting with the membrane associated YycH and YycI proteins that do not localize to the divisome. The data indicate that YycG activity in non-dividing cells is suppressed by its interaction with YycH and YycI and its activation is co-ordinated to cell division in dividing cells by specific interactions that occur within the divisome.","DOI":"10.1111/j.1365-2958.2010.07464.x","note":"PMID: 21219466","journalAbbreviation":"Mol. Microbiol.","author":[{"family":"Fukushima","given":"Tatsuya"},{"family":"Furihata","given":"Isako"},{"family":"Emmins","given":"Robyn"},{"family":"Daniel","given":"Richard A"},{"family":"Hoch","given":"James A"},{"family":"Szurmant","given":"Hendrik"}],"issued":{"year":2011,"month":1},"accessed":{"year":2012,"month":5,"day":26},"page-first":"503"}}],"schema":"https://github.com/citation-style-language/schema/raw/master/csl-citation.json"}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(Fukushima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2008, 2011)</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WalKR (also called YycFG, VicRK and MicAB) is thought to be essential in </w:t>
      </w:r>
      <w:r w:rsidRPr="00900361">
        <w:rPr>
          <w:rFonts w:ascii="Times New Roman" w:hAnsi="Times New Roman" w:cs="Times New Roman"/>
          <w:i/>
          <w:color w:val="000000" w:themeColor="text1"/>
          <w:sz w:val="24"/>
          <w:szCs w:val="24"/>
        </w:rPr>
        <w:t>B. subtilis</w:t>
      </w:r>
      <w:r w:rsidRPr="00900361">
        <w:rPr>
          <w:rFonts w:ascii="Times New Roman" w:hAnsi="Times New Roman" w:cs="Times New Roman"/>
          <w:color w:val="000000" w:themeColor="text1"/>
          <w:sz w:val="24"/>
          <w:szCs w:val="24"/>
        </w:rPr>
        <w:t xml:space="preserve">, </w:t>
      </w:r>
      <w:r w:rsidRPr="00900361">
        <w:rPr>
          <w:rFonts w:ascii="Times New Roman" w:hAnsi="Times New Roman" w:cs="Times New Roman"/>
          <w:i/>
          <w:color w:val="000000" w:themeColor="text1"/>
          <w:sz w:val="24"/>
          <w:szCs w:val="24"/>
        </w:rPr>
        <w:t>E. faecalis</w:t>
      </w:r>
      <w:r w:rsidRPr="00900361">
        <w:rPr>
          <w:rFonts w:ascii="Times New Roman" w:hAnsi="Times New Roman" w:cs="Times New Roman"/>
          <w:color w:val="000000" w:themeColor="text1"/>
          <w:sz w:val="24"/>
          <w:szCs w:val="24"/>
        </w:rPr>
        <w:t xml:space="preserve">, </w:t>
      </w:r>
      <w:r w:rsidRPr="00900361">
        <w:rPr>
          <w:rFonts w:ascii="Times New Roman" w:hAnsi="Times New Roman" w:cs="Times New Roman"/>
          <w:i/>
          <w:color w:val="000000" w:themeColor="text1"/>
          <w:sz w:val="24"/>
          <w:szCs w:val="24"/>
        </w:rPr>
        <w:t>L. monocytogenes</w:t>
      </w:r>
      <w:r w:rsidRPr="00900361">
        <w:rPr>
          <w:rFonts w:ascii="Times New Roman" w:hAnsi="Times New Roman" w:cs="Times New Roman"/>
          <w:color w:val="000000" w:themeColor="text1"/>
          <w:sz w:val="24"/>
          <w:szCs w:val="24"/>
        </w:rPr>
        <w:t xml:space="preserve">, </w:t>
      </w:r>
      <w:r w:rsidRPr="00900361">
        <w:rPr>
          <w:rFonts w:ascii="Times New Roman" w:hAnsi="Times New Roman" w:cs="Times New Roman"/>
          <w:i/>
          <w:color w:val="000000" w:themeColor="text1"/>
          <w:sz w:val="24"/>
          <w:szCs w:val="24"/>
        </w:rPr>
        <w:t>S. aureus</w:t>
      </w:r>
      <w:r w:rsidRPr="00900361">
        <w:rPr>
          <w:rFonts w:ascii="Times New Roman" w:hAnsi="Times New Roman" w:cs="Times New Roman"/>
          <w:color w:val="000000" w:themeColor="text1"/>
          <w:sz w:val="24"/>
          <w:szCs w:val="24"/>
        </w:rPr>
        <w:t xml:space="preserve">, </w:t>
      </w:r>
      <w:r w:rsidRPr="00900361">
        <w:rPr>
          <w:rFonts w:ascii="Times New Roman" w:hAnsi="Times New Roman" w:cs="Times New Roman"/>
          <w:i/>
          <w:color w:val="000000" w:themeColor="text1"/>
          <w:sz w:val="24"/>
          <w:szCs w:val="24"/>
        </w:rPr>
        <w:t>S. pneumoniae</w:t>
      </w:r>
      <w:r w:rsidRPr="00900361">
        <w:rPr>
          <w:rFonts w:ascii="Times New Roman" w:hAnsi="Times New Roman" w:cs="Times New Roman"/>
          <w:color w:val="000000" w:themeColor="text1"/>
          <w:sz w:val="24"/>
          <w:szCs w:val="24"/>
        </w:rPr>
        <w:t xml:space="preserve"> and </w:t>
      </w:r>
      <w:r w:rsidRPr="00900361">
        <w:rPr>
          <w:rFonts w:ascii="Times New Roman" w:hAnsi="Times New Roman" w:cs="Times New Roman"/>
          <w:i/>
          <w:color w:val="000000" w:themeColor="text1"/>
          <w:sz w:val="24"/>
          <w:szCs w:val="24"/>
        </w:rPr>
        <w:lastRenderedPageBreak/>
        <w:t>S.</w:t>
      </w:r>
      <w:r>
        <w:rPr>
          <w:rFonts w:ascii="Times New Roman" w:hAnsi="Times New Roman" w:cs="Times New Roman"/>
          <w:i/>
          <w:color w:val="000000"/>
          <w:sz w:val="24"/>
          <w:szCs w:val="24"/>
        </w:rPr>
        <w:t> </w:t>
      </w:r>
      <w:r w:rsidRPr="00900361">
        <w:rPr>
          <w:rFonts w:ascii="Times New Roman" w:hAnsi="Times New Roman" w:cs="Times New Roman"/>
          <w:i/>
          <w:color w:val="000000" w:themeColor="text1"/>
          <w:sz w:val="24"/>
          <w:szCs w:val="24"/>
        </w:rPr>
        <w:t>mutans</w:t>
      </w:r>
      <w:r w:rsidRPr="00900361">
        <w:rPr>
          <w:rFonts w:ascii="Times New Roman" w:hAnsi="Times New Roman" w:cs="Times New Roman"/>
          <w:color w:val="000000" w:themeColor="text1"/>
          <w:sz w:val="24"/>
          <w:szCs w:val="24"/>
        </w:rPr>
        <w:t xml:space="preserve">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{"citationID":"vvc5427vi","properties":{"formattedCitation":"(Martin et al., 1999; Kallipolitis and Ingmer, 2001; Howell et al., 2003; Ng et al., 2003; Hancock and Perego, 2004; Senadheera et al., 2005; Dubrac et al., 2007)","plainCitation":"(Martin et al., 1999; Kallipolitis and Ingmer, 2001; Howell et al., 2003; Ng et al., 2003; Hancock and Perego, 2004; Senadheera et al., 2005; Dubrac et al., 2007)"},"citationItems":[{"id":284,"uris":["http://zotero.org/users/944474/items/MFMUZP59"],"uri":["http://zotero.org/users/944474/items/MFMUZP59"],"itemData":{"id":284,"type":"article-journal","title":"Role in cell permeability of an essential two-component system in Staphylococcus aureus","container-title":"Journal of bacteriology","page":"3666-3673","volume":"181","issue":"12","abstract":"A temperature-sensitive lethal mutant of Staphylococcus aureus was found to harbor a mutation in the uncharacterized two-component histidine kinase (HK)-response regulator (RR) pair encoded by yycFG; orthologues of yycFG could be identified in the genomes of Bacillus subtilis and other gram-positive bacteria. Sequence analysis of the mutant revealed a point mutation resulting in a nonconservative change (Glu to Lys) in the regulator domain of the RR at position 63. To confirm that this signal transduction system was essential, a disrupted copy of either the RR (yycF) or the HK (yycG) was constructed with a set of suicide vectors and used to generate tandem duplications in the chromosome. Resolution of the duplications, leaving an insertion in either the yycF or the yycG coding region, was achieved only in the presence of an additional wild-type copy of the two open reading frames. Phenotypic characterization of the conditional lethal mutant showed that at permissive growth conditions, the mutant was hypersusceptible to macrolide and lincosamide antibiotics, even in the presence of the ermB resistance determinant. Other mutant phenotypes, including hypersensitivity to unsaturated long-chain fatty acids and suppression of the conditional lethal phenotype by high sucrose and NaCl concentrations, suggest that the role of the two-component system includes the proper regulation of bacterial cell wall or membrane composition. The effects of this point mutation are strongly bactericidal at the nonpermissive temperature, indicating that this pathway provides an excellent target for the identification of novel antibiotics.","note":"PMID: 10368139","journalAbbreviation":"J. Bacteriol.","author":[{"family":"Martin","given":"P K"},{"family":"Li","given":"T"},{"family":"Sun","given":"D"},{"family":"Biek","given":"D P"},{"family":"Schmid","given":"M B"}],"issued":{"year":1999,"month":6},"accessed":{"year":2012,"month":5,"day":26},"page-first":"3666"}},{"id":282,"uris":["http://zotero.org/users/944474/items/9HBZF9TM"],"uri":["http://zotero.org/users/944474/items/9HBZF9TM"],"itemData":{"id":282,"type":"article-journal","title":"Listeria monocytogenes response regulators important for stress tolerance and pathogenesis","container-title":"FEMS microbiology letters","page":"111-115","volume":"204","issue":"1","abstract":"Environmental sensing by two-component signal transduction systems is likely to play a role for growth and survival of Listeria monocytogenes both during transmission in food products and within a host organism. Two-component systems typically consist of a membrane-associated sensor histidine kinase and a gene regulatory protein, the response regulator (RR). We have identified seven putative RR genes in L. monocytogenes LO28 by PCR using degenerate oligonucleotide primers. By insertional inactivation we obtained data suggesting that three of the putative RRs contribute to the pathogenicity of L. monocytogenes in mice. Strikingly, the mutants that were attenuated in virulence also had a decreased ability to grow in the presence of various stress conditions potentially encountered in an infection process. Thus, our data point to a connection between the ability of the putative two-component systems to sense and respond to certain environmental stimuli, and the virulence of L. monocytogenes.","note":"PMID: 11682188","journalAbbreviation":"FEMS Microbiol. Lett.","author":[{"family":"Kallipolitis","given":"B H"},{"family":"Ingmer","given":"H"}],"issued":{"year":2001,"month":10,"day":16},"accessed":{"year":2012,"month":5,"day":26},"page-first":"111"}},{"id":278,"uris":["http://zotero.org/users/944474/items/KMAMJHQT"],"uri":["http://zotero.org/users/944474/items/KMAMJHQT"],"itemData":{"id":278,"type":"article-journal","title":"Genes controlled by the essential YycG/YycF two-component system of Bacillus subtilis revealed through a novel hybrid regulator approach","container-title":"Molecular microbiology","page":"1639-1655","volume":"49","issue":"6","abstract":"The YycG/YycF two-component system, originally identified in Bacillus subtilis, is very highly conserved and appears to be specific to low G + C Gram-positive bacteria. This system is required for cell viability, although the basis for this and the nature of the YycF regulon remained elusive. Using a combined hybrid regulator/transcriptome approach involving the inducible expression of a PhoP'-'YycF chimerical protein in B. subtilis, we have shown that expression of yocH, which encodes a potential autolysin, is specifically activated by YycF. Gel mobility shift and DNase I footprinting assays were used to show direct binding in vitro of purified YycF to the regulatory regions of yocH as well as ftsAZ, previously reported to be controlled by YycF. Nucleotide sequence analysis and site-directed mutagenesis allowed us to define a potential consensus recognition sequence for the YycF response regulator, composed of two direct repeats: 5'-TGT A/T A A/T/C-N5-TGT A/T A A/T/C-3'. A DNA-motif analysis indicates that there are potentially up to 10 genes within the B. subtilis YycG/YycF regulon, mainly involved in cell wall metabolism and membrane protein synthesis. Among these, YycF was shown to bind directly to the region upstream from the ykvT gene, encoding a potential cell wall hydrolase, and the intergenic region of the tagAB/tagDEF divergon, encoding essential components of teichoic acid biosynthesis. Definition of a potential YycF recognition sequence allowed us to identify likely members of the YycF regulon in other low G + C Gram-positive bacteria, including several pathogens such as Listeria monocytogenes, Staphylococcus aureus and Streptococcus pneumoniae.","note":"PMID: 12950927","journalAbbreviation":"Mol. Microbiol.","author":[{"family":"Howell","given":"Alistair"},{"family":"Dubrac","given":"Sarah"},{"family":"Andersen","given":"Kasper Krogh"},{"family":"Noone","given":"David"},{"family":"Fert","given":"Juliette"},{"family":"Msadek","given":"Tarek"},{"family":"Devine","given":"Kevin"}],"issued":{"year":2003,"month":9},"accessed":{"year":2012,"month":5,"day":26},"page-first":"1639"}},{"id":267,"uris":["http://zotero.org/users/944474/items/PUCH64JH"],"uri":["http://zotero.org/users/944474/items/PUCH64JH"],"itemData":{"id":267,"type":"article-journal","title":"Constitutive expression of PcsB suppresses the requirement for the essential VicR (YycF) response regulator in Streptococcus pneumoniae R6","container-title":"Molecular microbiology","page":"1647-1663","volume":"50","issue":"5","abstract":"We report several new findings about the function of the essential VicRK two-component regulatory system (TCS) in the human pathogen Streptococcus pneumoniae. The vicR-encoded response regulator, vicK-encoded histidine kinase and the protein encoded by the downstream vicX gene are the homologues of the YycF, YycG and YycJ proteins, respectively, studied previously in Bacillus subtilis and Staphylococcus aureus. Using a regulatable promoter, we demonstrated that the VicK histidine kinase is conditionally required for growth of S. pneumoniae. Likewise, we found that the VicX protein is also conditionally required for growth and probably plays a role in the essential signal transduction pathway mediated by VicR and VicK. Recovery of limited substitutions in the conserved aspartate 52 residue (D52) of VicR was consistent with a requirement for phosphorylation of VicR for growth under some conditions. We applied microarrays to characterize the changes in transcription patterns in bacteria depleted for vicRKX operon expression. Our results suggest that the pcsB gene is a target of the VicRK TCS. We present evidence that downregulation of pcsB could account for many of the defects in cell growth, shape, size and morphology observed in bacteria depleted for vicRKX expression. Furthermore, constitutive expression of pcsB+ suppressed the essential requirement for the VicRK TCS and allowed the isolation of vicR null mutants.","note":"PMID: 14651645","journalAbbreviation":"Mol. Microbiol.","author":[{"family":"Ng","given":"Wai-Leung"},{"family":"Robertson","given":"Gregory T"},{"family":"Kazmierczak","given":"Krystyna M"},{"family":"Zhao","given":"Jingyong"},{"family":"Gilmour","given":"Raymond"},{"family":"Winkler","given":"Malcolm E"}],"issued":{"year":2003,"month":12},"accessed":{"year":2012,"month":5,"day":25},"page-first":"1647"}},{"id":281,"uris":["http://zotero.org/users/944474/items/R3JKCAGA"],"uri":["http://zotero.org/users/944474/items/R3JKCAGA"],"itemData":{"id":281,"type":"article-journal","title":"Systematic inactivation and phenotypic characterization of two-component signal transduction systems of Enterococcus faecalis V583","container-title":"Journal of bacteriology","page":"7951-7958","volume":"186","issue":"23","abstract":"The ability of enterococci to adapt and respond to different environmental stimuli, including the host environment, led us to investigate the role of two-component signal transduction in the regulation of Enterococcus faecalis physiology. Using a bioinformatic approach, we previously identified 17 two-component systems (TCS), consisting of a sensory histidine kinase and the cognate response regulator, as well as an additional orphan response regulator (L. E. Hancock and M. Perego, J. Bacteriol. 184:5819-5825, 2002). In an effort to identify the potential function of each TCS in the biology of E. faecalis clinical isolate strain V583, we constructed insertion mutations in each of the response regulators. We were able to inactivate 17 of 18 response regulators, the exception being an ortholog of YycF, previously shown to be essential for viability in a variety of gram-positive microorganisms. The biological effects of the remaining mutations were assessed by using a number of assays, including antibiotic resistance, biofilm formation, and environmental stress. We identified TCS related to antibiotic resistance and environmental stress and found one system which controls the initiation of biofilm development by E. faecalis.","DOI":"10.1128/JB.186.23.7951-7958.2004","note":"PMID: 15547267","journalAbbreviation":"J. Bacteriol.","author":[{"family":"Hancock","given":"Lynn E"},{"family":"Perego","given":"Marta"}],"issued":{"year":2004,"month":12},"accessed":{"year":2012,"month":5,"day":26},"page-first":"7951"}},{"id":283,"uris":["http://zotero.org/users/944474/items/IE76HBE7"],"uri":["http://zotero.org/users/944474/items/IE76HBE7"],"itemData":{"id":283,"type":"article-journal","title":"A VicRK signal transduction system in Streptococcus mutans affects gtfBCD, gbpB, and ftf expression, biofilm formation, and genetic competence development","container-title":"Journal of bacteriology","page":"4064-4076","volume":"187","issue":"12","abstract":"Bacteria exposed to transient host environments can elicit adaptive responses by triggering the differential expression of genes via two-component signal transduction systems. This study describes the vicRK signal transduction system in Streptococcus mutans. A vicK (putative histidine kinase) deletion mutant (SmuvicK) was isolated. However, a vicR (putative response regulator) null mutation was apparently lethal, since the only transformants isolated after attempted mutagenesis overexpressed all three genes in the vicRKX operon (Smuvic+). Compared with the wild-type UA159 strain, both mutants formed aberrant biofilms. Moreover, the vicK mutant biofilm formed in sucrose-supplemented medium was easily detachable relative to that of the parent. The rate of total dextran formation by this mutant was remarkably reduced compared to the wild type, whereas it was increased in Smuvic+. Based on real-time PCR, Smuvic+ showed increased gtfBCD, gbpB, and ftf expression, while a recombinant VicR fusion protein was shown to bind the promoter regions of the gtfB, gtfC, and ftf genes. Also, transformation efficiency in the presence or absence of the S. mutans competence-stimulating peptide was altered for the vic mutants. In vivo studies conducted using SmuvicK in a specific-pathogen-free rat model resulted in significantly increased smooth-surface dental plaque (Pearson-Filon statistic [PF], &lt;0.001). While the absence of vicK did not alter the incidence of caries, a significant reduction in SmuvicK CFU counts was observed in plaque samples relative to that of the parent (PF, &lt;0.001). Taken together, these findings support involvement of the vicRK signal transduction system in regulating several important physiological processes in S. mutans.","DOI":"10.1128/JB.187.12.4064-4076.2005","note":"PMID: 15937169","journalAbbreviation":"J. Bacteriol.","author":[{"family":"Senadheera","given":"M Dilani"},{"family":"Guggenheim","given":"Bernard"},{"family":"Spatafora","given":"Grace A"},{"family":"Huang","given":"Yi-Chen Cathy"},{"family":"Choi","given":"Jison"},{"family":"Hung","given":"David C I"},{"family":"Treglown","given":"Jennifer S"},{"family":"Goodman","given":"Steven D"},{"family":"Ellen","given":"Richard P"},{"family":"Cvitkovitch","given":"Dennis G"}],"issued":{"year":2005,"month":6},"accessed":{"year":2012,"month":5,"day":26},"page-first":"4064"}},{"id":279,"uris":["http://zotero.org/users/944474/items/DGHZ6PAR"],"uri":["http://zotero.org/users/944474/items/DGHZ6PAR"],"itemData":{"id":279,"type":"article-journal","title":"New insights into the WalK/WalR (YycG/YycF) essential signal transduction pathway reveal a major role in controlling cell wall metabolism and biofilm formation in Staphylococcus aureus","container-title":"Journal of bacteriology","page":"8257-8269","volume":"189","issue":"22","abstract":"The highly conserved WalK/WalR (also known as YycG/YycF) two-component system is specific to low-G+C gram-positive bacteria. While this system is essential for cell viability, both the nature of its regulon and its physiological role have remained mostly uncharacterized. We observed that, unexpectedly, Staphylococcus aureus cell death induced by WalKR depletion was not followed by lysis. We show that WalKR positively controls autolytic activity, in particular that of the two major S. aureus autolysins, AtlA and LytM. By using our previously characterized consensus WalR binding site and carefully reexamining the genome annotations, we identified nine genes potentially belonging to the WalKR regulon that appeared to be involved in S. aureus cell wall degradation. Expression of all of these genes was positively controlled by WalKR levels in the cell, leading to high resistance to Triton X-100-induced lysis when the cells were starved for WalKR. Cells lacking WalKR were also more resistant to lysostaphin-induced lysis, suggesting modifications in cell wall structure. Indeed, lowered levels of WalKR led to a significant decrease in peptidoglycan biosynthesis and turnover and to cell wall modifications, which included increased peptidoglycan cross-linking and glycan chain length. We also demonstrated a direct relationship between WalKR levels and the ability to form biofilms. This is the first example in S. aureus of a regulatory system positively controlling autolysin synthesis and biofilm formation. Taken together, our results now define this signal transduction pathway as a master regulatory system for cell wall metabolism, which we have accordingly renamed WalK/WalR to reflect its true function.","DOI":"10.1128/JB.00645-07","note":"PMID: 17827301","journalAbbreviation":"J. Bacteriol.","author":[{"family":"Dubrac","given":"Sarah"},{"family":"Boneca","given":"Ivo Gomperts"},{"family":"Poupel","given":"Olivier"},{"family":"Msadek","given":"Tarek"}],"issued":{"year":2007,"month":11},"accessed":{"year":2012,"month":5,"day":26},"page-first":"8257"}}],"schema":"https://github.com/citation-style-language/schema/raw/master/csl-citation.json"}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(Martin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xml:space="preserve">., 1999; Kallipolitis and Ingmer, 2001; Howell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xml:space="preserve">., 2003; Ng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xml:space="preserve">., 2003; Hancock and Perego, 2004; Senadheera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xml:space="preserve">., 2005; Dubrac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2007)</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In</w:t>
      </w:r>
      <w:r>
        <w:rPr>
          <w:rFonts w:ascii="Times New Roman" w:hAnsi="Times New Roman" w:cs="Times New Roman"/>
          <w:color w:val="000000"/>
          <w:sz w:val="24"/>
          <w:szCs w:val="24"/>
        </w:rPr>
        <w:t xml:space="preserve"> </w:t>
      </w:r>
      <w:r>
        <w:rPr>
          <w:rFonts w:ascii="Times New Roman" w:hAnsi="Times New Roman" w:cs="Times New Roman"/>
          <w:i/>
          <w:color w:val="000000"/>
          <w:sz w:val="24"/>
          <w:szCs w:val="24"/>
        </w:rPr>
        <w:t xml:space="preserve">B. </w:t>
      </w:r>
      <w:r w:rsidRPr="00900361">
        <w:rPr>
          <w:rFonts w:ascii="Times New Roman" w:hAnsi="Times New Roman" w:cs="Times New Roman"/>
          <w:i/>
          <w:color w:val="000000" w:themeColor="text1"/>
          <w:sz w:val="24"/>
          <w:szCs w:val="24"/>
        </w:rPr>
        <w:t>subtilis</w:t>
      </w:r>
      <w:r w:rsidRPr="00900361">
        <w:rPr>
          <w:rFonts w:ascii="Times New Roman" w:hAnsi="Times New Roman" w:cs="Times New Roman"/>
          <w:color w:val="000000" w:themeColor="text1"/>
          <w:sz w:val="24"/>
          <w:szCs w:val="24"/>
        </w:rPr>
        <w:t xml:space="preserve">, WalKR localises to the septum, possibly acting as a sensor for initiation of cell division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{"citationID":"8d10ocv94","properties":{"formattedCitation":"(Fukushima et al., 2008)","plainCitation":"(Fukushima et al., 2008)"},"citationItems":[{"id":285,"uris":["http://zotero.org/users/944474/items/F8F9ZDX6"],"uri":["http://zotero.org/users/944474/items/F8F9ZDX6"],"itemData":{"id":285,"type":"article-journal","title":"A sensor histidine kinase co-ordinates cell wall architecture with cell division in Bacillus subtilis","container-title":"Molecular microbiology","page":"621-632","volume":"69","issue":"3","abstract":"The concerted interconnection between processes driving DNA synthesis, division septum formation and cell wall synthesis and remodelling in rapidly growing bacteria requires precise co-ordination by signalling mechanisms that are, for the most part, unknown. The YycG (sensor histidine kinase)-YycF (response regulator/transcription factor) two-component system of Bacillus subtilis controls the synthesis of enzymes and their inhibitors that function in cell wall remodelling and cell separation. Here it is shown that the YycG sensor histidine kinase is a component of the division septum in growing cells. RT-PCR quantification of YycF approximately PO(4)-regulated gene transcription, in wild type and FtsZ-depleted, septum-less cells, indicated that YycG kinase activity on YycF is dependent on YycG localization to a division septum. The data support a model in which the YycG sensor kinase perceives information at the division septum and regulates the reciprocal synthesis of autolysins and autolysin inhibitors to co-ordinate growth and division with cell wall restructuring.","DOI":"10.1111/j.1365-2958.2008.06308.x","note":"PMID: 18573169","journalAbbreviation":"Mol. Microbiol.","author":[{"family":"Fukushima","given":"Tatsuya"},{"family":"Szurmant","given":"Hendrik"},{"family":"Kim","given":"Eun-Ja"},{"family":"Perego","given":"Marta"},{"family":"Hoch","given":"James A"}],"issued":{"year":2008,"month":8},"accessed":{"year":2012,"month":5,"day":26},"page-first":"621"}}],"schema":"https://github.com/citation-style-language/schema/raw/master/csl-citation.json"}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(Fukushima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2008)</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The WalKR regulon in </w:t>
      </w:r>
      <w:r w:rsidRPr="00900361">
        <w:rPr>
          <w:rFonts w:ascii="Times New Roman" w:hAnsi="Times New Roman" w:cs="Times New Roman"/>
          <w:i/>
          <w:color w:val="000000" w:themeColor="text1"/>
          <w:sz w:val="24"/>
          <w:szCs w:val="24"/>
        </w:rPr>
        <w:t>B. subtilis</w:t>
      </w:r>
      <w:r w:rsidRPr="00900361">
        <w:rPr>
          <w:rFonts w:ascii="Times New Roman" w:hAnsi="Times New Roman" w:cs="Times New Roman"/>
          <w:color w:val="000000" w:themeColor="text1"/>
          <w:sz w:val="24"/>
          <w:szCs w:val="24"/>
        </w:rPr>
        <w:t xml:space="preserve"> includes four peptidoglycan hydrolases, LytE, YocH, YvcE  and YkvT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{"citationID":"pgp0tcto0","properties":{"formattedCitation":"(Howell et al., 2003; Bisicchia et al., 2007; Dubrac et al., 2008)","plainCitation":"(Howell et al., 2003; Bisicchia et al., 2007; Dubrac et al., 2008)"},"citationItems":[{"id":278,"uris":["http://zotero.org/users/944474/items/KMAMJHQT"],"uri":["http://zotero.org/users/944474/items/KMAMJHQT"],"itemData":{"id":278,"type":"article-journal","title":"Genes controlled by the essential YycG/YycF two-component system of Bacillus subtilis revealed through a novel hybrid regulator approach","container-title":"Molecular microbiology","page":"1639-1655","volume":"49","issue":"6","abstract":"The YycG/YycF two-component system, originally identified in Bacillus subtilis, is very highly conserved and appears to be specific to low G + C Gram-positive bacteria. This system is required for cell viability, although the basis for this and the nature of the YycF regulon remained elusive. Using a combined hybrid regulator/transcriptome approach involving the inducible expression of a PhoP'-'YycF chimerical protein in B. subtilis, we have shown that expression of yocH, which encodes a potential autolysin, is specifically activated by YycF. Gel mobility shift and DNase I footprinting assays were used to show direct binding in vitro of purified YycF to the regulatory regions of yocH as well as ftsAZ, previously reported to be controlled by YycF. Nucleotide sequence analysis and site-directed mutagenesis allowed us to define a potential consensus recognition sequence for the YycF response regulator, composed of two direct repeats: 5'-TGT A/T A A/T/C-N5-TGT A/T A A/T/C-3'. A DNA-motif analysis indicates that there are potentially up to 10 genes within the B. subtilis YycG/YycF regulon, mainly involved in cell wall metabolism and membrane protein synthesis. Among these, YycF was shown to bind directly to the region upstream from the ykvT gene, encoding a potential cell wall hydrolase, and the intergenic region of the tagAB/tagDEF divergon, encoding essential components of teichoic acid biosynthesis. Definition of a potential YycF recognition sequence allowed us to identify likely members of the YycF regulon in other low G + C Gram-positive bacteria, including several pathogens such as Listeria monocytogenes, Staphylococcus aureus and Streptococcus pneumoniae.","note":"PMID: 12950927","journalAbbreviation":"Mol. Microbiol.","author":[{"family":"Howell","given":"Alistair"},{"family":"Dubrac","given":"Sarah"},{"family":"Andersen","given":"Kasper Krogh"},{"family":"Noone","given":"David"},{"family":"Fert","given":"Juliette"},{"family":"Msadek","given":"Tarek"},{"family":"Devine","given":"Kevin"}],"issued":{"year":2003,"month":9},"accessed":{"year":2012,"month":5,"day":26},"page-first":"1639"}},{"id":291,"uris":["http://zotero.org/users/944474/items/N3AQSCHG"],"uri":["http://zotero.org/users/944474/items/N3AQSCHG"],"itemData":{"id":291,"type":"article-journal","title":"The essential YycFG two-component system controls cell wall metabolism in Bacillus subtilis","container-title":"Molecular microbiology","page":"180-200","volume":"65","issue":"1","abstract":"Adaptation of bacteria to the prevailing environmental and nutritional conditions is often mediated by two-component signal transduction systems (TCS). The Bacillus subtilis YycFG TCS has attracted special attention as it is essential for viability and its regulon is poorly defined. Here we show that YycFG is a regulator of cell wall metabolism. We have identified five new members of the YycFG regulon: YycF activates expression of yvcE, lytE and ydjM and represses expression of yoeB and yjeA. YvcE(CwlO) and LytE encode endopeptidase-type autolysins that participate in peptidoglycan synthesis and turnover respectively. We show that a yvcE lytE double mutant strain is not viable and that cells lacking LytE and depleted for YvcE exhibit defects in lateral cell wall synthesis and cell elongation. YjeA encodes a peptidoglycan deacetylase that modifies peptidoglycan thereby altering its susceptibility to lysozyme digestion and YdjM is also predicted to have a role in cell wall metabolism. A genetic analysis shows that YycFG essentiality is polygenic in nature, being a manifestation of disrupted cell wall metabolism caused by aberrant expression of a number of YycFG regulon genes.","DOI":"10.1111/j.1365-2958.2007.05782.x","note":"PMID: 17581128","journalAbbreviation":"Mol. Microbiol.","author":[{"family":"Bisicchia","given":"Paola"},{"family":"Noone","given":"David"},{"family":"Lioliou","given":"Efthimia"},{"family":"Howell","given":"Alistair"},{"family":"Quigley","given":"Sarah"},{"family":"Jensen","given":"Thomas"},{"family":"Jarmer","given":"Hanne"},{"family":"Devine","given":"Kevin M"}],"issued":{"year":2007,"month":7},"accessed":{"year":2012,"month":5,"day":27},"page-first":"180"}},{"id":290,"uris":["http://zotero.org/users/944474/items/BJUB828W"],"uri":["http://zotero.org/users/944474/items/BJUB828W"],"itemData":{"id":290,"type":"article-journal","title":"A matter of life and death: cell wall homeostasis and the WalKR (YycGF) essential signal transduction pathway","container-title":"Molecular microbiology","page":"1307-1322","volume":"70","issue":"6","abstract":"The WalK/WalR (aka YycG/YycF) two-component system (TCS), originally identified in Bacillus subtilis, is very highly conserved and specific to low G+C Gram-positive bacteria, including a number of important pathogens. An unusual feature is that this system is essential for viability in most of these bacteria. Recent studies have revealed conserved functions for this system, defining this signal transduction pathway as a crucial regulatory system for cell wall metabolism, that we have accordingly renamed WalK/WalR. Here we review the cellular role of the WalK/WalR TCS in different bacterial species, focusing on the function of genes in its regulon, as well as variations in walRK operon structure and the composition of its regulon. We also discuss the nature of its essentiality and the potential type of signal being sensed. The WalK histidine kinase of B. subtilis has been shown to localize to the divisome and we suggest that the WalKR system acts as an information conduit between extracytoplasmic cellular structures and intracellular processes required for their synthesis, playing a vital role in effectively co-ordinating peptidoglycan plasticity with the cell division process.","DOI":"10.1111/j.1365-2958.2008.06483.x","note":"PMID: 19019149","shortTitle":"A matter of life and death","journalAbbreviation":"Mol. Microbiol.","author":[{"family":"Dubrac","given":"Sarah"},{"family":"Bisicchia","given":"Paola"},{"family":"Devine","given":"Kevin M"},{"family":"Msadek","given":"Tarek"}],"issued":{"year":2008,"month":12},"accessed":{"year":2012,"month":5,"day":27},"page-first":"1307"}}],"schema":"https://github.com/citation-style-language/schema/raw/master/csl-citation.json"}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(Howell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xml:space="preserve">., 2003; Bisicchia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xml:space="preserve">., 2007; Dubrac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2008)</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The </w:t>
      </w:r>
      <w:r w:rsidRPr="00900361">
        <w:rPr>
          <w:rFonts w:ascii="Times New Roman" w:hAnsi="Times New Roman" w:cs="Times New Roman"/>
          <w:i/>
          <w:color w:val="000000" w:themeColor="text1"/>
          <w:sz w:val="24"/>
          <w:szCs w:val="24"/>
        </w:rPr>
        <w:t xml:space="preserve">S. aureus </w:t>
      </w:r>
      <w:r w:rsidRPr="00900361">
        <w:rPr>
          <w:rFonts w:ascii="Times New Roman" w:hAnsi="Times New Roman" w:cs="Times New Roman"/>
          <w:color w:val="000000" w:themeColor="text1"/>
          <w:sz w:val="24"/>
          <w:szCs w:val="24"/>
        </w:rPr>
        <w:t xml:space="preserve">WalKR regulon includes nine peptidoglycan hydrolases. LytB, LytN and PcsB of </w:t>
      </w:r>
      <w:r w:rsidRPr="00900361">
        <w:rPr>
          <w:rFonts w:ascii="Times New Roman" w:hAnsi="Times New Roman" w:cs="Times New Roman"/>
          <w:i/>
          <w:color w:val="000000" w:themeColor="text1"/>
          <w:sz w:val="24"/>
          <w:szCs w:val="24"/>
        </w:rPr>
        <w:t xml:space="preserve">S. pneumoniae </w:t>
      </w:r>
      <w:r w:rsidRPr="00900361">
        <w:rPr>
          <w:rFonts w:ascii="Times New Roman" w:hAnsi="Times New Roman" w:cs="Times New Roman"/>
          <w:color w:val="000000" w:themeColor="text1"/>
          <w:sz w:val="24"/>
          <w:szCs w:val="24"/>
        </w:rPr>
        <w:t xml:space="preserve">are WalKR regulated. The MtrAB TCS is essential in mycobacteria and possibly streptomycetes, but not in corynebacteria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{"citationID":"12j1f3d4uo","properties":{"formattedCitation":"(Hoskisson and Hutchings, 2006)","plainCitation":"(Hoskisson and Hutchings, 2006)"},"citationItems":[{"id":286,"uris":["http://zotero.org/users/944474/items/UNHHK3G7"],"uri":["http://zotero.org/users/944474/items/UNHHK3G7"],"itemData":{"id":286,"type":"article-journal","title":"MtrAB-LpqB: a conserved three-component system in actinobacteria?","container-title":"Trends in microbiology","page":"444-449","volume":"14","issue":"10","abstract":"Streptomyces coelicolor is the model organism for the actinobacteria, a group of high-GC Gram-positive bacteria with members that are notable both for their industrial importance as antibiotic producers and for their pathogenicity. The S. coelicolor genome encodes a subgroup of sensor kinases that is genetically linked to lipoprotein genes, at least one of which functions as an accessory protein to its co-translated kinase. Another member of this subgroup, MtrB, is widely conserved in the actinobacteria, along with its presumed cognate response regulator MtrA and the lipoprotein LpqB. Here, we postulate a possible role for LpqB in the MtrAB signal transduction pathway. We discuss what is known about this pathway in the actinobacteria and offer insights into why an essential response regulator does not necessarily need its cognate sensor kinase for activation.","DOI":"10.1016/j.tim.2006.08.005","note":"PMID: 16934981","shortTitle":"MtrAB-LpqB","journalAbbreviation":"Trends Microbiol.","author":[{"family":"Hoskisson","given":"Paul A"},{"family":"Hutchings","given":"Matthew I"}],"issued":{"year":2006,"month":10},"accessed":{"year":2012,"month":5,"day":26},"page-first":"444"}}],"schema":"https://github.com/citation-style-language/schema/raw/master/csl-citation.json"}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(Hoskisson and Hutchings, 2006)</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The </w:t>
      </w:r>
      <w:r w:rsidRPr="00900361">
        <w:rPr>
          <w:rFonts w:ascii="Times New Roman" w:hAnsi="Times New Roman" w:cs="Times New Roman"/>
          <w:i/>
          <w:color w:val="000000" w:themeColor="text1"/>
          <w:sz w:val="24"/>
          <w:szCs w:val="24"/>
        </w:rPr>
        <w:t>mtrAB</w:t>
      </w:r>
      <w:r w:rsidRPr="00900361">
        <w:rPr>
          <w:rFonts w:ascii="Times New Roman" w:hAnsi="Times New Roman" w:cs="Times New Roman"/>
          <w:color w:val="000000" w:themeColor="text1"/>
          <w:sz w:val="24"/>
          <w:szCs w:val="24"/>
        </w:rPr>
        <w:t xml:space="preserve"> regulon includes a putative endopeptidase, </w:t>
      </w:r>
      <w:r w:rsidRPr="00900361">
        <w:rPr>
          <w:rFonts w:ascii="Times New Roman" w:hAnsi="Times New Roman" w:cs="Times New Roman"/>
          <w:i/>
          <w:color w:val="000000" w:themeColor="text1"/>
          <w:sz w:val="24"/>
          <w:szCs w:val="24"/>
        </w:rPr>
        <w:t>mepA</w:t>
      </w:r>
      <w:r w:rsidRPr="00900361">
        <w:rPr>
          <w:rFonts w:ascii="Times New Roman" w:hAnsi="Times New Roman" w:cs="Times New Roman"/>
          <w:color w:val="000000" w:themeColor="text1"/>
          <w:sz w:val="24"/>
          <w:szCs w:val="24"/>
        </w:rPr>
        <w:t xml:space="preserve">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{"citationID":"kahZQnbT","properties":{"formattedCitation":"{\\rtf (M\\uc0\\u246{}ker et al., 2004)}","plainCitation":"(Möker et al., 2004)"},"citationItems":[{"id":339,"uris":["http://zotero.org/users/944474/items/Q2SAJFB2"],"uri":["http://zotero.org/users/944474/items/Q2SAJFB2"],"itemData":{"id":339,"type":"article-journal","title":"Deletion of the genes encoding the MtrA-MtrB two-component system of Corynebacterium glutamicum has a strong influence on cell morphology, antibiotics susceptibility and expression of genes involved in osmoprotection","container-title":"Molecular microbiology","page":"420-438","volume":"54","issue":"2","abstract":"The MtrAB two-component signal transduction system is highly conserved in sequence and genomic organization in Mycobacterium and Corynebacterium species, but its function is completely unknown. Here, the role of MtrAB was studied with C. glutamicum as model organism. In contrast to M. tuberculosis, it was possible to delete the mtrAB genes in C. glutamicum. The mutant cells showed a radically different cell morphology and were more sensitive to penicillin, vancomycin and lysozyme but more resistant to ethambutol. In order to identify the molecular basis for this pleiotropic phenotype, the mRNA profiles of mutant and wild type were compared with DNA microarrays. Three genes showed a more than threefold increased RNA level in the mutant, i.e. mepA (NCgl2411) encoding a putative secreted metalloprotease, ppmA (NCgl2737 ) encoding a putative membrane-bound protease modulator, and lpqB encoding a putative lipoprotein of unknown function. Expression of plasmid-encoded mepA in Escherichia coli led to elongated cells that were hypersensitive to an osmotic downshift, supporting the idea that peptidoglycan is the target of MepA. The mRNA level of two genes was more than fivefold decreased in the mutant, i.e. betP and proP which encode transporters for the uptake of betaine and proline respectively. The microarray results were confirmed by primer extension and RNA dot blot experiments. In the latter, the transcript level of genes involved in osmoprotection was tested before and after an osmotic upshift. The mRNA level of betP, proP and lcoP was strongly reduced or undetectable in the mutant, whereas that of mscL (mechanosensitive channel) was increased. The changes in cell morphology, antibiotics susceptibility and the mRNA levels of betP, proP, lcoP, mscL and mepA could be reversed by expression of plasmid-encoded copies of mtrAB in the DeltamtrAB mutant, confirming that these changes occurred as a consequence of the mtrAB deletion.","DOI":"10.1111/j.1365-2958.2004.04249.x","note":"PMID: 15469514","journalAbbreviation":"Mol. Microbiol.","author":[{"family":"Möker","given":"Nina"},{"family":"Brocker","given":"Melanie"},{"family":"Schaffer","given":"Steffen"},{"family":"Krämer","given":"Reinhard"},{"family":"Morbach","given":"Susanne"},{"family":"Bott","given":"Michael"}],"issued":{"year":2004,"month":10},"accessed":{"year":2012,"month":6,"day":3},"page-first":"420"}}],"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szCs w:val="24"/>
        </w:rPr>
        <w:t xml:space="preserve">(Möker </w:t>
      </w:r>
      <w:r w:rsidRPr="00C521B3">
        <w:rPr>
          <w:rFonts w:ascii="Times New Roman" w:hAnsi="Times New Roman" w:cs="Times New Roman"/>
          <w:i/>
          <w:color w:val="000000" w:themeColor="text1"/>
          <w:sz w:val="24"/>
          <w:szCs w:val="24"/>
        </w:rPr>
        <w:t>et al</w:t>
      </w:r>
      <w:r w:rsidRPr="00900361">
        <w:rPr>
          <w:rFonts w:ascii="Times New Roman" w:hAnsi="Times New Roman" w:cs="Times New Roman"/>
          <w:color w:val="000000" w:themeColor="text1"/>
          <w:sz w:val="24"/>
          <w:szCs w:val="24"/>
        </w:rPr>
        <w:t>., 2004)</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The </w:t>
      </w:r>
      <w:r w:rsidRPr="00900361">
        <w:rPr>
          <w:rFonts w:ascii="Times New Roman" w:hAnsi="Times New Roman" w:cs="Times New Roman"/>
          <w:i/>
          <w:color w:val="000000" w:themeColor="text1"/>
          <w:sz w:val="24"/>
          <w:szCs w:val="24"/>
        </w:rPr>
        <w:t xml:space="preserve">S. aureus </w:t>
      </w:r>
      <w:r w:rsidRPr="00900361">
        <w:rPr>
          <w:rFonts w:ascii="Times New Roman" w:hAnsi="Times New Roman" w:cs="Times New Roman"/>
          <w:color w:val="000000" w:themeColor="text1"/>
          <w:sz w:val="24"/>
          <w:szCs w:val="24"/>
        </w:rPr>
        <w:t xml:space="preserve">TCS, LytSR, regulates autolysin expression, as a </w:t>
      </w:r>
      <w:r w:rsidRPr="00900361">
        <w:rPr>
          <w:rFonts w:ascii="Times New Roman" w:hAnsi="Times New Roman" w:cs="Times New Roman"/>
          <w:i/>
          <w:color w:val="000000" w:themeColor="text1"/>
          <w:sz w:val="24"/>
          <w:szCs w:val="24"/>
        </w:rPr>
        <w:t>lytS</w:t>
      </w:r>
      <w:r w:rsidRPr="00900361">
        <w:rPr>
          <w:rFonts w:ascii="Times New Roman" w:hAnsi="Times New Roman" w:cs="Times New Roman"/>
          <w:color w:val="000000" w:themeColor="text1"/>
          <w:sz w:val="24"/>
          <w:szCs w:val="24"/>
        </w:rPr>
        <w:t xml:space="preserve"> mutant formed cell aggregates with a rough wall phenotype and increased rate of autolysis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{"citationID":"15lbgn25sr","properties":{"formattedCitation":"(Brunskill and Bayles, 1996)","plainCitation":"(Brunskill and Bayles, 1996)"},"citationItems":[{"id":462,"uris":["http://zotero.org/users/944474/items/DRTDZG7C"],"uri":["http://zotero.org/users/944474/items/DRTDZG7C"],"itemData":{"id":462,"type":"article-journal","title":"Identification and molecular characterization of a putative regulatory locus that affects autolysis in Staphylococcus aureus","container-title":"Journal of bacteriology","page":"611-618","volume":"178","issue":"3","abstract":"Previously in our laboratory, a PCR-based strategy was used to isolate potential sensor gene fragments from the Staphyloccus aureus genome. One DNA fragment was isolated that shared strong sequence similarity to genes encoding bacterial sensor proteins, indicating that it originated from within a potential staphylococcal sensor protein gene. In this study, the DNA surrounding the PCR product origin was cloned and sequenced. This analysis revealed the presence of two genes, termed lytS and lytR, whose deduced amino acid sequences were similar to those of members of the two-component regulatory system family of proteins. S. aureus cells containing an insertional disruption of lytS exhibited a marked propensity to form aggregates in liquid culture, suggesting that alterations in cell surface components exist in this strain. Transmission electron microscopic examination of these cells revealed that the cell surface was rough and diffuse and that a large proportion of the cell population had lysed. The lytS mutant also exhibited increased autolysis and an altered level of murein hydrolase activity produced compared with the parental strain, NCTC 8325-4. These data suggest that the lytS and lytR gene products control the rate of autolysis in S. aureus by affecting the intrinsic murein hydrolase activity associated with the cell.","note":"PMID: 8550490","journalAbbreviation":"J. Bacteriol.","author":[{"family":"Brunskill","given":"E W"},{"family":"Bayles","given":"K W"}],"issued":{"year":1996,"month":2},"accessed":{"year":2012,"month":6,"day":17},"page-first":"611"}}],"schema":"https://github.com/citation-style-language/schema/raw/master/csl-citation.json"}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(Brunskill and Bayles, 1996)</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Zymogram analysis showed increased expression of HMW peptidoglycan hydrolases and</w:t>
      </w:r>
      <w:r>
        <w:rPr>
          <w:rFonts w:ascii="Times New Roman" w:hAnsi="Times New Roman" w:cs="Times New Roman"/>
          <w:color w:val="000000"/>
          <w:sz w:val="24"/>
          <w:szCs w:val="24"/>
        </w:rPr>
        <w:t xml:space="preserve"> decreased expression of LMW peptidoglycan hydrolases, indicating both positive and negative regulation of autolysins by LytSR.</w:t>
      </w:r>
    </w:p>
    <w:p w:rsidR="00BC7652" w:rsidRDefault="00BC7652" w:rsidP="00BC7652">
      <w:pPr>
        <w:autoSpaceDE w:val="0"/>
        <w:autoSpaceDN w:val="0"/>
        <w:adjustRightInd w:val="0"/>
        <w:spacing w:after="120" w:line="480" w:lineRule="auto"/>
        <w:jc w:val="both"/>
        <w:rPr>
          <w:rFonts w:ascii="Times New Roman" w:hAnsi="Times New Roman" w:cs="Times New Roman"/>
          <w:color w:val="000000"/>
          <w:sz w:val="24"/>
          <w:szCs w:val="24"/>
        </w:rPr>
      </w:pPr>
    </w:p>
    <w:p w:rsidR="00BC7652" w:rsidRPr="0079336C" w:rsidRDefault="00BC7652" w:rsidP="00BC7652">
      <w:pPr>
        <w:tabs>
          <w:tab w:val="left" w:pos="1276"/>
        </w:tabs>
        <w:autoSpaceDE w:val="0"/>
        <w:autoSpaceDN w:val="0"/>
        <w:adjustRightInd w:val="0"/>
        <w:spacing w:after="120" w:line="480" w:lineRule="auto"/>
        <w:jc w:val="both"/>
        <w:rPr>
          <w:rFonts w:ascii="Times New Roman" w:hAnsi="Times New Roman" w:cs="Times New Roman"/>
          <w:color w:val="000000"/>
          <w:sz w:val="24"/>
          <w:szCs w:val="24"/>
        </w:rPr>
      </w:pPr>
      <w:r>
        <w:rPr>
          <w:rFonts w:ascii="Times New Roman" w:hAnsi="Times New Roman" w:cs="Times New Roman"/>
          <w:color w:val="000000"/>
          <w:sz w:val="28"/>
          <w:szCs w:val="28"/>
        </w:rPr>
        <w:t>1.7.3.2</w:t>
      </w:r>
      <w:r>
        <w:rPr>
          <w:rFonts w:ascii="Times New Roman" w:hAnsi="Times New Roman" w:cs="Times New Roman"/>
          <w:color w:val="000000"/>
          <w:sz w:val="28"/>
          <w:szCs w:val="28"/>
        </w:rPr>
        <w:tab/>
      </w:r>
      <w:r w:rsidRPr="00546CF6">
        <w:rPr>
          <w:rFonts w:ascii="Times New Roman" w:hAnsi="Times New Roman" w:cs="Times New Roman"/>
          <w:color w:val="000000"/>
          <w:sz w:val="28"/>
          <w:szCs w:val="28"/>
        </w:rPr>
        <w:t>Post-translational regulation</w:t>
      </w:r>
      <w:r>
        <w:rPr>
          <w:rFonts w:ascii="Times New Roman" w:hAnsi="Times New Roman" w:cs="Times New Roman"/>
          <w:color w:val="000000"/>
          <w:sz w:val="28"/>
          <w:szCs w:val="28"/>
        </w:rPr>
        <w:t xml:space="preserve"> of peptidoglycan hydrolases</w:t>
      </w:r>
    </w:p>
    <w:p w:rsidR="00BC7652" w:rsidRDefault="00BC7652" w:rsidP="00BC7652">
      <w:pPr>
        <w:tabs>
          <w:tab w:val="left" w:pos="1276"/>
        </w:tabs>
        <w:autoSpaceDE w:val="0"/>
        <w:autoSpaceDN w:val="0"/>
        <w:adjustRightInd w:val="0"/>
        <w:spacing w:after="120" w:line="48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1.7.3.2.1</w:t>
      </w:r>
      <w:r>
        <w:rPr>
          <w:rFonts w:ascii="Times New Roman" w:hAnsi="Times New Roman" w:cs="Times New Roman"/>
          <w:color w:val="000000"/>
          <w:sz w:val="28"/>
          <w:szCs w:val="28"/>
        </w:rPr>
        <w:tab/>
        <w:t>Protein-protein interaction</w:t>
      </w:r>
    </w:p>
    <w:p w:rsidR="00BC7652" w:rsidRPr="00900361" w:rsidRDefault="00BC7652" w:rsidP="00BC7652">
      <w:pPr>
        <w:autoSpaceDE w:val="0"/>
        <w:autoSpaceDN w:val="0"/>
        <w:adjustRightInd w:val="0"/>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sz w:val="24"/>
          <w:szCs w:val="24"/>
        </w:rPr>
        <w:t xml:space="preserve">Protein-protein interactions coordinate the activity of peptidoglycan hydrolases. </w:t>
      </w:r>
      <w:r>
        <w:rPr>
          <w:rFonts w:ascii="Times New Roman" w:hAnsi="Times New Roman" w:cs="Times New Roman"/>
          <w:i/>
          <w:color w:val="000000"/>
          <w:sz w:val="24"/>
          <w:szCs w:val="24"/>
        </w:rPr>
        <w:t>R</w:t>
      </w:r>
      <w:r w:rsidRPr="000A0E7D">
        <w:rPr>
          <w:rFonts w:ascii="Times New Roman" w:hAnsi="Times New Roman" w:cs="Times New Roman"/>
          <w:color w:val="000000"/>
          <w:sz w:val="24"/>
          <w:szCs w:val="24"/>
        </w:rPr>
        <w:t>esuscitation-</w:t>
      </w:r>
      <w:r w:rsidRPr="000A0E7D">
        <w:rPr>
          <w:rFonts w:ascii="Times New Roman" w:hAnsi="Times New Roman" w:cs="Times New Roman"/>
          <w:i/>
          <w:color w:val="000000"/>
          <w:sz w:val="24"/>
          <w:szCs w:val="24"/>
        </w:rPr>
        <w:t>p</w:t>
      </w:r>
      <w:r w:rsidRPr="000A0E7D">
        <w:rPr>
          <w:rFonts w:ascii="Times New Roman" w:hAnsi="Times New Roman" w:cs="Times New Roman"/>
          <w:color w:val="000000"/>
          <w:sz w:val="24"/>
          <w:szCs w:val="24"/>
        </w:rPr>
        <w:t xml:space="preserve">romoting </w:t>
      </w:r>
      <w:r w:rsidRPr="000A0E7D">
        <w:rPr>
          <w:rFonts w:ascii="Times New Roman" w:hAnsi="Times New Roman" w:cs="Times New Roman"/>
          <w:i/>
          <w:color w:val="000000"/>
          <w:sz w:val="24"/>
          <w:szCs w:val="24"/>
        </w:rPr>
        <w:t>f</w:t>
      </w:r>
      <w:r w:rsidRPr="000A0E7D">
        <w:rPr>
          <w:rFonts w:ascii="Times New Roman" w:hAnsi="Times New Roman" w:cs="Times New Roman"/>
          <w:color w:val="000000"/>
          <w:sz w:val="24"/>
          <w:szCs w:val="24"/>
        </w:rPr>
        <w:t>actors RpfB and RpfE</w:t>
      </w:r>
      <w:r>
        <w:rPr>
          <w:rFonts w:ascii="Times New Roman" w:hAnsi="Times New Roman" w:cs="Times New Roman"/>
          <w:color w:val="000000"/>
          <w:sz w:val="24"/>
          <w:szCs w:val="24"/>
        </w:rPr>
        <w:t xml:space="preserve"> are</w:t>
      </w:r>
      <w:r w:rsidRPr="000A0E7D">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putative </w:t>
      </w:r>
      <w:r w:rsidRPr="000A0E7D">
        <w:rPr>
          <w:rFonts w:ascii="Times New Roman" w:hAnsi="Times New Roman" w:cs="Times New Roman"/>
          <w:color w:val="000000"/>
          <w:sz w:val="24"/>
          <w:szCs w:val="24"/>
        </w:rPr>
        <w:t xml:space="preserve">lytic transglycosylases </w:t>
      </w:r>
      <w:r w:rsidRPr="00900361">
        <w:rPr>
          <w:rFonts w:ascii="Times New Roman" w:hAnsi="Times New Roman" w:cs="Times New Roman"/>
          <w:color w:val="000000" w:themeColor="text1"/>
          <w:sz w:val="24"/>
          <w:szCs w:val="24"/>
        </w:rPr>
        <w:t xml:space="preserve">required for resuscitation of dormant </w:t>
      </w:r>
      <w:r w:rsidRPr="00900361">
        <w:rPr>
          <w:rFonts w:ascii="Times New Roman" w:hAnsi="Times New Roman" w:cs="Times New Roman"/>
          <w:i/>
          <w:color w:val="000000" w:themeColor="text1"/>
          <w:sz w:val="24"/>
          <w:szCs w:val="24"/>
        </w:rPr>
        <w:t>Mycobacteria</w:t>
      </w:r>
      <w:r w:rsidRPr="00900361">
        <w:rPr>
          <w:rFonts w:ascii="Times New Roman" w:hAnsi="Times New Roman" w:cs="Times New Roman"/>
          <w:color w:val="000000" w:themeColor="text1"/>
          <w:sz w:val="24"/>
          <w:szCs w:val="24"/>
        </w:rPr>
        <w:t xml:space="preserve">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{"citationID":"6ooipfdbg","properties":{"formattedCitation":"(Mukamolova et al., 2006)","plainCitation":"(Mukamolova et al., 2006)"},"citationItems":[{"id":475,"uris":["http://zotero.org/users/944474/items/CTGBQQAD"],"uri":["http://zotero.org/users/944474/items/CTGBQQAD"],"itemData":{"id":475,"type":"article-journal","title":"Muralytic activity of Micrococcus luteus Rpf and its relationship to physiological activity in promoting bacterial growth and resuscitation","container-title":"Molecular microbiology","page":"84-98","volume":"59","issue":"1","abstract":"The culturability of several actinobacteria is controlled by resuscitation-promoting factors (Rpfs). These are proteins containing a c. 70-residue domain that adopts a lysozyme-like fold. The invariant catalytic glutamate residue found in lysozyme and various bacterial lytic transglycosylases is also conserved in the Rpf proteins. Rpf from Micrococcus luteus, the founder member of this protein family, is indeed a muralytic enzyme, as revealed by its activity in zymograms containing M. luteus cell walls and its ability to (i) cause lysis of Escherichia coli when expressed and secreted into the periplasm; (ii) release fluorescent material from fluorescamine-labelled cell walls of M. luteus; and (iii) hydrolyse the artificial lysozyme substrate, 4-methylumbelliferyl-beta-D-N,N',N''-triacetylchitotrioside. Rpf activity was reduced but not completely abolished when the invariant glutamate residue was altered. Moreover, none of the other acidic residues in the Rpf domain was absolutely required for muralytic activity. Replacement of one or both of the cysteine residues that probably form a disulphide bridge within Rpf impaired but did not completely abolish muralytic activity. The muralytic activities of the Rpf mutants were correlated with their abilities to stimulate bacterial culturability and resuscitation, consistent with the view that the biological activity of Rpf results directly or indirectly from its ability to cleave bonds in bacterial peptidoglycan.","DOI":"10.1111/j.1365-2958.2005.04930.x","note":"PMID: 16359320","journalAbbreviation":"Mol. Microbiol.","author":[{"family":"Mukamolova","given":"Galina V"},{"family":"Murzin","given":"Alexey G"},{"family":"Salina","given":"Elena G"},{"family":"Demina","given":"Galina R"},{"family":"Kell","given":"Douglas B"},{"family":"Kaprelyants","given":"Arseny S"},{"family":"Young","given":"Michael"}],"issued":{"year":2006,"month":1},"accessed":{"year":2012,"month":6,"day":18},"page-first":"84"}}],"schema":"https://github.com/citation-style-language/schema/raw/master/csl-citation.json"}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(Mukamolova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2006)</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w:t>
      </w:r>
      <w:r w:rsidRPr="00900361">
        <w:rPr>
          <w:rFonts w:ascii="Times New Roman" w:hAnsi="Times New Roman" w:cs="Times New Roman"/>
          <w:i/>
          <w:color w:val="000000" w:themeColor="text1"/>
          <w:sz w:val="24"/>
          <w:szCs w:val="24"/>
        </w:rPr>
        <w:t xml:space="preserve"> </w:t>
      </w:r>
      <w:r w:rsidRPr="00900361">
        <w:rPr>
          <w:rFonts w:ascii="Times New Roman" w:hAnsi="Times New Roman" w:cs="Times New Roman"/>
          <w:color w:val="000000" w:themeColor="text1"/>
          <w:sz w:val="24"/>
          <w:szCs w:val="24"/>
        </w:rPr>
        <w:t>Interaction of the endopeptidase RipA (</w:t>
      </w:r>
      <w:r w:rsidRPr="00900361">
        <w:rPr>
          <w:rFonts w:ascii="Times New Roman" w:hAnsi="Times New Roman" w:cs="Times New Roman"/>
          <w:i/>
          <w:color w:val="000000" w:themeColor="text1"/>
          <w:sz w:val="24"/>
          <w:szCs w:val="24"/>
        </w:rPr>
        <w:t>R</w:t>
      </w:r>
      <w:r w:rsidRPr="00900361">
        <w:rPr>
          <w:rFonts w:ascii="Times New Roman" w:hAnsi="Times New Roman" w:cs="Times New Roman"/>
          <w:color w:val="000000" w:themeColor="text1"/>
          <w:sz w:val="24"/>
          <w:szCs w:val="24"/>
        </w:rPr>
        <w:t xml:space="preserve">pf </w:t>
      </w:r>
      <w:r w:rsidRPr="00900361">
        <w:rPr>
          <w:rFonts w:ascii="Times New Roman" w:hAnsi="Times New Roman" w:cs="Times New Roman"/>
          <w:i/>
          <w:color w:val="000000" w:themeColor="text1"/>
          <w:sz w:val="24"/>
          <w:szCs w:val="24"/>
        </w:rPr>
        <w:t>i</w:t>
      </w:r>
      <w:r w:rsidRPr="00900361">
        <w:rPr>
          <w:rFonts w:ascii="Times New Roman" w:hAnsi="Times New Roman" w:cs="Times New Roman"/>
          <w:color w:val="000000" w:themeColor="text1"/>
          <w:sz w:val="24"/>
          <w:szCs w:val="24"/>
        </w:rPr>
        <w:t xml:space="preserve">nteracting </w:t>
      </w:r>
      <w:r w:rsidRPr="00900361">
        <w:rPr>
          <w:rFonts w:ascii="Times New Roman" w:hAnsi="Times New Roman" w:cs="Times New Roman"/>
          <w:i/>
          <w:color w:val="000000" w:themeColor="text1"/>
          <w:sz w:val="24"/>
          <w:szCs w:val="24"/>
        </w:rPr>
        <w:t>p</w:t>
      </w:r>
      <w:r w:rsidRPr="00900361">
        <w:rPr>
          <w:rFonts w:ascii="Times New Roman" w:hAnsi="Times New Roman" w:cs="Times New Roman"/>
          <w:color w:val="000000" w:themeColor="text1"/>
          <w:sz w:val="24"/>
          <w:szCs w:val="24"/>
        </w:rPr>
        <w:t xml:space="preserve">rotein) with RpfB has a synergistic effect on the rate of autolysis </w:t>
      </w:r>
      <w:r w:rsidRPr="00900361">
        <w:rPr>
          <w:rFonts w:ascii="Times New Roman" w:hAnsi="Times New Roman" w:cs="Times New Roman"/>
          <w:i/>
          <w:color w:val="000000" w:themeColor="text1"/>
          <w:sz w:val="24"/>
          <w:szCs w:val="24"/>
        </w:rPr>
        <w:t>in vitro</w:t>
      </w:r>
      <w:r w:rsidRPr="00900361">
        <w:rPr>
          <w:rFonts w:ascii="Times New Roman" w:hAnsi="Times New Roman" w:cs="Times New Roman"/>
          <w:color w:val="000000" w:themeColor="text1"/>
          <w:sz w:val="24"/>
          <w:szCs w:val="24"/>
        </w:rPr>
        <w:t xml:space="preserve">, but is inhibited by incubation with PBP1B, through a RipA-dependent interaction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{"citationID":"d1qd17btp","properties":{"formattedCitation":"(Hett et al., 2007, 2008, 2010)","plainCitation":"(Hett et al., 2007, 2008, 2010)"},"citationItems":[{"id":472,"uris":["http://zotero.org/users/944474/items/83RT2A2D"],"uri":["http://zotero.org/users/944474/items/83RT2A2D"],"itemData":{"id":472,"type":"article-journal","title":"A partner for the resuscitation-promoting factors of Mycobacterium tuberculosis","container-title":"Molecular microbiology","page":"658-668","volume":"66","issue":"3","abstract":"Many cases of active tuberculosis are thought to result from the reactivation of dormant Mycobacterium tuberculosis from a prior infection, yet remarkably little is known about the mechanism by which these non-sporulating bacteria reactivate. A family of extracellular bacterial proteins, known as resuscitation-promoting factors (Rpfs), has previously been shown to stimulate growth of dormant mycobacteria. While Rpf proteins are clearly peptidoglycan glycosidases, the mechanism and role of Rpf in mediating reactivation remains unclear. Here we use a yeast two-hybrid screen to identify potential binding partners of RpfB and report the interaction between RpfB and a putative mycobacterial endopeptidase, which we named Rpf-interacting protein A (RipA). This interaction was confirmed by in vitro and in vivo co-precipitation assays. The interacting domains map to the C-termini of both proteins, near predicted enzymatic domains. We show that RipA is a secreted, cell-associated protein, found in the same cellular compartment as RpfB. Both RipA and RpfB localize to the septa of actively growing bacteria by fluorescence microscopy. Finally, we demonstrate that RipA is capable of digesting cell wall material and is indeed a peptidoglycan hydrolase. The interaction between these two peptidoglycan hydrolases at the septum suggests a role for the complex in cell division, possibly during reactivation.","DOI":"10.1111/j.1365-2958.2007.05945.x","note":"PMID: 17919286","journalAbbreviation":"Mol. Microbiol.","author":[{"family":"Hett","given":"Erik C"},{"family":"Chao","given":"Michael C"},{"family":"Steyn","given":"Adrie J"},{"family":"Fortune","given":"Sarah M"},{"family":"Deng","given":"Lynn L"},{"family":"Rubin","given":"Eric J"}],"issued":{"year":2007,"month":11},"accessed":{"year":2012,"month":6,"day":18},"page-first":"658"}},{"id":474,"uris":["http://zotero.org/users/944474/items/DKZZCI4Q"],"uri":["http://zotero.org/users/944474/items/DKZZCI4Q"],"itemData":{"id":474,"type":"article-journal","title":"A mycobacterial enzyme essential for cell division synergizes with resuscitation-promoting factor","container-title":"PLoS pathogens","page":"e1000001","volume":"4","issue":"2","abstract":"The final stage of bacterial cell division requires the activity of one or more enzymes capable of degrading the layers of peptidoglycan connecting two recently developed daughter cells. Although this is a key step in cell division and is required by all peptidoglycan-containing bacteria, little is known about how these potentially lethal enzymes are regulated. It is likely that regulation is mediated, at least partly, through protein-protein interactions. Two lytic transglycosylases of mycobacteria, known as resuscitation-promoting factor B and E (RpfB and RpfE), have previously been shown to interact with the peptidoglycan-hydrolyzing endopeptidase, Rpf-interacting protein A (RipA). These proteins may form a complex at the septum of dividing bacteria. To investigate the function of this potential complex, we generated depletion strains in M. smegmatis. Here we show that, while depletion of rpfB has no effect on viability or morphology, ripA depletion results in a marked decrease in growth and formation of long, branched chains. These growth and morphological defects could be functionally complemented by the M. tuberculosis ripA orthologue (rv1477), but not by another ripA-like orthologue (rv1478). Depletion of ripA also resulted in increased susceptibility to the cell wall-targeting beta-lactams. Furthermore, we demonstrate that RipA has hydrolytic activity towards several cell wall substrates and synergizes with RpfB. These data reveal the unusual essentiality of a peptidoglycan hydrolase and suggest a novel protein-protein interaction as one way of regulating its activity.","DOI":"10.1371/journal.ppat.1000001","note":"PMID: 18463693","journalAbbreviation":"PLoS Pathog.","author":[{"family":"Hett","given":"Erik C"},{"family":"Chao","given":"Michael C"},{"family":"Deng","given":"Lynn L"},{"family":"Rubin","given":"Eric J"}],"issued":{"year":2008,"month":2,"day":15},"accessed":{"year":2012,"month":6,"day":18},"page-first":"e1000001"}},{"id":476,"uris":["http://zotero.org/users/944474/items/7JPUJWPP"],"uri":["http://zotero.org/users/944474/items/7JPUJWPP"],"itemData":{"id":476,"type":"article-journal","title":"Interaction and modulation of two antagonistic cell wall enzymes of mycobacteria","container-title":"PLoS pathogens","page":"e1001020","volume":"6","issue":"7","abstract":"Bacterial cell growth and division require coordinated cell wall hydrolysis and synthesis, allowing for the removal and expansion of cell wall material. Without proper coordination, unchecked hydrolysis can result in cell lysis. How these opposing activities are simultaneously regulated is poorly understood. In Mycobacterium tuberculosis, the resuscitation-promoting factor B (RpfB), a lytic transglycosylase, interacts and synergizes with Rpf-interacting protein A (RipA), an endopeptidase, to hydrolyze peptidoglycan. However, it remains unclear what governs this synergy and how it is coordinated with cell wall synthesis. Here we identify the bifunctional peptidoglycan-synthesizing enzyme, penicillin binding protein 1 (PBP1), as a RipA-interacting protein. PBP1, like RipA, localizes both at the poles and septa of dividing cells. Depletion of the ponA1 gene, encoding PBP1 in M. smegmatis, results in a severe growth defect and abnormally shaped cells, indicating that PBP1 is necessary for viability and cell wall stability. Finally, PBP1 inhibits the synergistic hydrolysis of peptidoglycan by the RipA-RpfB complex in vitro. These data reveal a post-translational mechanism for regulating cell wall hydrolysis and synthesis through protein-protein interactions between enzymes with antagonistic functions.","DOI":"10.1371/journal.ppat.1001020","note":"PMID: 20686708","journalAbbreviation":"PLoS Pathog.","author":[{"family":"Hett","given":"Erik C"},{"family":"Chao","given":"Michael C"},{"family":"Rubin","given":"Eric J"}],"issued":{"year":2010},"accessed":{"year":2012,"month":6,"day":18},"page-first":"e1001020"}}],"schema":"https://github.com/citation-style-language/schema/raw/master/csl-citation.json"}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(Hett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2007, 2008, 2010)</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The </w:t>
      </w:r>
      <w:r w:rsidRPr="00900361">
        <w:rPr>
          <w:rFonts w:ascii="Times New Roman" w:hAnsi="Times New Roman" w:cs="Times New Roman"/>
          <w:color w:val="000000" w:themeColor="text1"/>
          <w:sz w:val="24"/>
          <w:szCs w:val="24"/>
        </w:rPr>
        <w:lastRenderedPageBreak/>
        <w:t xml:space="preserve">authors proposed a model in which PBP1B interaction with RipA inhibits cell wall hydrolysis until septum formation is completed, at which point RipA interacts synergistically with RpfB for efficient daughter cell separation. </w:t>
      </w:r>
    </w:p>
    <w:p w:rsidR="00BC7652" w:rsidRPr="00900361" w:rsidRDefault="00BC7652" w:rsidP="00BC7652">
      <w:pPr>
        <w:autoSpaceDE w:val="0"/>
        <w:autoSpaceDN w:val="0"/>
        <w:adjustRightInd w:val="0"/>
        <w:spacing w:line="480" w:lineRule="auto"/>
        <w:jc w:val="both"/>
        <w:rPr>
          <w:rFonts w:ascii="Times New Roman" w:hAnsi="Times New Roman" w:cs="Times New Roman"/>
          <w:color w:val="000000" w:themeColor="text1"/>
          <w:sz w:val="24"/>
          <w:szCs w:val="24"/>
        </w:rPr>
      </w:pPr>
      <w:r w:rsidRPr="00900361">
        <w:rPr>
          <w:rFonts w:ascii="Times New Roman" w:hAnsi="Times New Roman" w:cs="Times New Roman"/>
          <w:color w:val="000000" w:themeColor="text1"/>
          <w:sz w:val="24"/>
          <w:szCs w:val="24"/>
        </w:rPr>
        <w:t xml:space="preserve">Protein-protein interactions may also coordinate peptidoglycan hydrolase localization. Cylinder wall localisation of </w:t>
      </w:r>
      <w:r w:rsidRPr="00900361">
        <w:rPr>
          <w:rFonts w:ascii="Times New Roman" w:hAnsi="Times New Roman" w:cs="Times New Roman"/>
          <w:i/>
          <w:color w:val="000000" w:themeColor="text1"/>
          <w:sz w:val="24"/>
          <w:szCs w:val="24"/>
        </w:rPr>
        <w:t xml:space="preserve">B. subtilis </w:t>
      </w:r>
      <w:r w:rsidRPr="00900361">
        <w:rPr>
          <w:rFonts w:ascii="Times New Roman" w:hAnsi="Times New Roman" w:cs="Times New Roman"/>
          <w:color w:val="000000" w:themeColor="text1"/>
          <w:sz w:val="24"/>
          <w:szCs w:val="24"/>
        </w:rPr>
        <w:t xml:space="preserve">LytE is MreBH dependent. Yeast two-hybrid analysis suggested a direct interaction between LytE and MreBH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{"citationID":"bataqu7is","properties":{"formattedCitation":"{\\rtf (Carballido-L\\uc0\\u243{}pez et al., 2006)}","plainCitation":"(Carballido-López et al., 2006)"},"citationItems":[{"id":229,"uris":["http://zotero.org/users/944474/items/89TDBDW8"],"uri":["http://zotero.org/users/944474/items/89TDBDW8"],"itemData":{"id":229,"type":"article-journal","title":"Actin homolog MreBH governs cell morphogenesis by localization of the cell wall hydrolase LytE","container-title":"Developmental cell","page":"399-409","volume":"11","issue":"3","abstract":"MreB proteins are bacterial actin homologs involved in cell morphogenesis and various other cellular processes. However, the effector proteins used by MreBs remain largely unknown. Bacillus subtilis has three MreB isoforms. Mbl and possibly MreB have previously been shown to be implicated in cell wall synthesis. We have now found that the third isoform, MreBH, colocalizes with the two other MreB isoforms in B. subtilis and also has an important role in cell morphogenesis. MreBH can physically interact with a cell wall hydrolase, LytE, and is required for its helical pattern of extracellular localization. Moreover, lytE and mreBH mutants exhibit similar cell-wall-related defects. We propose that controlled elongation of rod-shaped B. subtilis depends on the coordination of cell wall synthesis and hydrolysis in helical tracts defined by MreB proteins. Our data also suggest that physical interactions with intracellular actin bundles can influence the later localization pattern of extracellular effectors.","DOI":"10.1016/j.devcel.2006.07.017","note":"PMID: 16950129","journalAbbreviation":"Dev. Cell","author":[{"family":"Carballido-López","given":"Rut"},{"family":"Formstone","given":"Alex"},{"family":"Li","given":"Ying"},{"family":"Ehrlich","given":"S Dusko"},{"family":"Noirot","given":"Philippe"},{"family":"Errington","given":"Jeff"}],"issued":{"year":2006,"month":9},"accessed":{"year":2012,"month":5,"day":18},"page-first":"399"}}],"schema":"https://github.com/citation-style-language/schema/raw/master/csl-citation.json"}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szCs w:val="24"/>
        </w:rPr>
        <w:t xml:space="preserve">(Carballido-López </w:t>
      </w:r>
      <w:r w:rsidRPr="00C521B3">
        <w:rPr>
          <w:rFonts w:ascii="Times New Roman" w:hAnsi="Times New Roman" w:cs="Times New Roman"/>
          <w:i/>
          <w:color w:val="000000" w:themeColor="text1"/>
          <w:sz w:val="24"/>
          <w:szCs w:val="24"/>
        </w:rPr>
        <w:t>et al</w:t>
      </w:r>
      <w:r w:rsidRPr="00900361">
        <w:rPr>
          <w:rFonts w:ascii="Times New Roman" w:hAnsi="Times New Roman" w:cs="Times New Roman"/>
          <w:color w:val="000000" w:themeColor="text1"/>
          <w:sz w:val="24"/>
          <w:szCs w:val="24"/>
        </w:rPr>
        <w:t>., 2006)</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The putative peptidoglycan hydrolase PcsB of </w:t>
      </w:r>
      <w:r w:rsidRPr="00900361">
        <w:rPr>
          <w:rFonts w:ascii="Times New Roman" w:hAnsi="Times New Roman" w:cs="Times New Roman"/>
          <w:i/>
          <w:color w:val="000000" w:themeColor="text1"/>
          <w:sz w:val="24"/>
          <w:szCs w:val="24"/>
        </w:rPr>
        <w:t>S. pneumoniae</w:t>
      </w:r>
      <w:r w:rsidRPr="00900361">
        <w:rPr>
          <w:rFonts w:ascii="Times New Roman" w:hAnsi="Times New Roman" w:cs="Times New Roman"/>
          <w:color w:val="000000" w:themeColor="text1"/>
          <w:sz w:val="24"/>
          <w:szCs w:val="24"/>
        </w:rPr>
        <w:t xml:space="preserve"> localises at the division site via interaction with the extracellular loop of membrane bound FtsX as part of the FtsZ-dependent division complex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{"citationID":"7q4uc7e7s","properties":{"formattedCitation":"(Sham et al., 2011)","plainCitation":"(Sham et al., 2011)"},"citationItems":[{"id":28,"uris":["http://zotero.org/users/944474/items/ZPT5SSIU"],"uri":["http://zotero.org/users/944474/items/ZPT5SSIU"],"itemData":{"id":28,"type":"article-journal","title":"Essential PcsB putative peptidoglycan hydrolase interacts with the essential FtsXSpn cell division protein in Streptococcus pneumoniae D39","container-title":"Proceedings of the National Academy of Sciences of the United States of America","page":"E1061-1069","volume":"108","issue":"45","abstract":"The connection between peptidoglycan remodeling and cell division is poorly understood in ellipsoid-shaped ovococcus bacteria, such as the human respiratory pathogen Streptococcus pneumoniae. In S. pneumoniae, peptidoglycan homeostasis and stress are regulated by the WalRK (VicRK) two-component regulatory system, which positively regulates expression of the essential PcsB cysteine- and histidine-dependent aminohydrolases/peptidases (CHAP)-domain protein. CHAP-domain proteins usually act as peptidoglycan hydrolases, but purified PcsB lacks detectable enzymatic activity. To explore the functions of PcsB, its subcellular localization was determined. Fractionation experiments showed that cell-bound PcsB was located through hydrophobic interactions on the external membrane surface of pneumococcal cells. Immunofluorescent microscopy localized PcsB mainly to the septa and equators of dividing cells. Chemical cross-linking combined with immunoprecipitation showed that PcsB interacts with the cell division complex formed by membrane-bound FtsX(Spn) and cytoplasmic FtsE(Spn) ATPase, which structurally resemble an ABC transporter. Far Western blotting showed that this interaction was likely through the large extracellular loop of FtsX(Spn) and the amino terminal coiled-coil domain of PcsB. Unlike in Bacillus subtilis and Escherichia coli, we show that FtsX(Spn) and FtsE(Spn) are essential in S. pneumoniae. Consistent with an interaction between PcsB and FtsX(Spn), cells depleted of PcsB or FtsX(Spn) had strikingly similar defects in cell division, and depletion of FtsX(Spn) caused mislocalization of PcsB but not the FtsZ(Spn) early-division protein. A model is presented in which the interaction of the FtsEX(Spn) complex with PcsB activates its peptidoglycan hydrolysis activity and couples peptidoglycan remodeling to pneumococcal cell division.","DOI":"10.1073/pnas.1108323108","note":"PMID: 22006325","journalAbbreviation":"Proc. Natl. Acad. Sci. U.S.A.","author":[{"family":"Sham","given":"Lok-To"},{"family":"Barendt","given":"Skye M"},{"family":"Kopecky","given":"Kimberly E"},{"family":"Winkler","given":"Malcolm E"}],"issued":{"year":2011,"month":11,"day":8},"accessed":{"year":2012,"month":3,"day":6},"page-first":"E1061"}}],"schema":"https://github.com/citation-style-language/schema/raw/master/csl-citation.json"}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(Sham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2011)</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Affinity chromatography of </w:t>
      </w:r>
      <w:r w:rsidRPr="00900361">
        <w:rPr>
          <w:rFonts w:ascii="Times New Roman" w:hAnsi="Times New Roman" w:cs="Times New Roman"/>
          <w:i/>
          <w:color w:val="000000" w:themeColor="text1"/>
          <w:sz w:val="24"/>
          <w:szCs w:val="24"/>
        </w:rPr>
        <w:t xml:space="preserve">E. coli </w:t>
      </w:r>
      <w:r w:rsidRPr="00900361">
        <w:rPr>
          <w:rFonts w:ascii="Times New Roman" w:hAnsi="Times New Roman" w:cs="Times New Roman"/>
          <w:color w:val="000000" w:themeColor="text1"/>
          <w:sz w:val="24"/>
          <w:szCs w:val="24"/>
        </w:rPr>
        <w:t xml:space="preserve">cell extracts using the lytic transglycosylase MltA as a ligand revealed specific interactions with three class A PBPs and two class B PBPs, suggesting that MltA functions as part of a multienzyme complex in </w:t>
      </w:r>
      <w:r w:rsidRPr="00900361">
        <w:rPr>
          <w:rFonts w:ascii="Times New Roman" w:hAnsi="Times New Roman" w:cs="Times New Roman"/>
          <w:i/>
          <w:color w:val="000000" w:themeColor="text1"/>
          <w:sz w:val="24"/>
          <w:szCs w:val="24"/>
        </w:rPr>
        <w:t>E. coli</w:t>
      </w:r>
      <w:r w:rsidRPr="00900361">
        <w:rPr>
          <w:rFonts w:ascii="Times New Roman" w:hAnsi="Times New Roman" w:cs="Times New Roman"/>
          <w:color w:val="000000" w:themeColor="text1"/>
          <w:sz w:val="24"/>
          <w:szCs w:val="24"/>
        </w:rPr>
        <w:t xml:space="preserve">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{"citationID":"k00bmm229","properties":{"formattedCitation":"(Vollmer et al., 1999)","plainCitation":"(Vollmer et al., 1999)"},"citationItems":[{"id":479,"uris":["http://zotero.org/users/944474/items/8ITJZ85C"],"uri":["http://zotero.org/users/944474/items/8ITJZ85C"],"itemData":{"id":479,"type":"article-journal","title":"Demonstration of molecular interactions between the murein polymerase PBP1B, the lytic transglycosylase MltA, and the scaffolding protein MipA of Escherichia coli","container-title":"The Journal of biological chemistry","page":"6726-6734","volume":"274","issue":"10","abstract":"Enlargement of the stress-bearing murein sacculus of bacteria depends on the coordinated interaction of murein synthases and hydrolases. To understand the mechanism of interaction of these two classes of proteins affinity chromatography and surface plasmon resonance (SPR) studies were performed. The membrane-bound lytic transglycosylase MltA when covalently linked to CNBr-activated Sepharose specifically retained the penicillin-binding proteins (PBPs) 1B, 1C, 2, and 3 from a crude Triton X-100 membrane extract of Escherichia coli. In the presence of periplasmic proteins also PBP1A was specifically bound. At least five different non-PBPs showed specificity for MltA-Sepharose. The amino-terminal amino acid sequence of one of these proteins could be obtained, and the corresponding gene was mapped at 40 min on the E. coli genome. This MltA-interacting protein, named MipA, in addition binds to PBP1B, a bifunctional murein transglycosylase/transpeptidase. SPR studies with PBP1B immobilized to ampicillin-coated sensor chips showed an oligomerization of PBP1B that may indicate a dimerization. Simultaneous application of MipA and MltA onto a PBP1B sensor chip surface resulted in the formation of a trimeric complex. The dissociation constant was determined to be about 10(-6) M. The formation of a complex between a murein polymerase (PBP1B) and a murein hydrolase (MltA) in the presence of MipA represents a first step in a reconstitution of the hypothetical murein-synthesizing holoenzyme, postulated to be responsible for controlled growth of the stress-bearing sacculus of E. coli.","note":"PMID: 10037771","journalAbbreviation":"J. Biol. Chem.","author":[{"family":"Vollmer","given":"W"},{"family":"von Rechenberg","given":"M"},{"family":"Höltje","given":"J V"}],"issued":{"year":1999,"month":3,"day":5},"accessed":{"year":2012,"month":6,"day":18},"page-first":"6726"}}],"schema":"https://github.com/citation-style-language/schema/raw/master/csl-citation.json"}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(Vollmer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1999)</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A trimeric complex formed </w:t>
      </w:r>
      <w:r w:rsidRPr="00900361">
        <w:rPr>
          <w:rFonts w:ascii="Times New Roman" w:hAnsi="Times New Roman" w:cs="Times New Roman"/>
          <w:i/>
          <w:color w:val="000000" w:themeColor="text1"/>
          <w:sz w:val="24"/>
          <w:szCs w:val="24"/>
        </w:rPr>
        <w:t xml:space="preserve">in vitro </w:t>
      </w:r>
      <w:r w:rsidRPr="00900361">
        <w:rPr>
          <w:rFonts w:ascii="Times New Roman" w:hAnsi="Times New Roman" w:cs="Times New Roman"/>
          <w:color w:val="000000" w:themeColor="text1"/>
          <w:sz w:val="24"/>
          <w:szCs w:val="24"/>
        </w:rPr>
        <w:t>between the inner membrane protein PBP1B and the outer membrane lytic transglycosylase MltA, was dependent on a periplasmic intermediary, MipA (</w:t>
      </w:r>
      <w:r w:rsidRPr="00900361">
        <w:rPr>
          <w:rFonts w:ascii="Times New Roman" w:hAnsi="Times New Roman" w:cs="Times New Roman"/>
          <w:i/>
          <w:color w:val="000000" w:themeColor="text1"/>
          <w:sz w:val="24"/>
          <w:szCs w:val="24"/>
        </w:rPr>
        <w:t>M</w:t>
      </w:r>
      <w:r w:rsidRPr="00900361">
        <w:rPr>
          <w:rFonts w:ascii="Times New Roman" w:hAnsi="Times New Roman" w:cs="Times New Roman"/>
          <w:color w:val="000000" w:themeColor="text1"/>
          <w:sz w:val="24"/>
          <w:szCs w:val="24"/>
        </w:rPr>
        <w:t xml:space="preserve">ltA </w:t>
      </w:r>
      <w:r w:rsidRPr="00900361">
        <w:rPr>
          <w:rFonts w:ascii="Times New Roman" w:hAnsi="Times New Roman" w:cs="Times New Roman"/>
          <w:i/>
          <w:color w:val="000000" w:themeColor="text1"/>
          <w:sz w:val="24"/>
          <w:szCs w:val="24"/>
        </w:rPr>
        <w:t>i</w:t>
      </w:r>
      <w:r w:rsidRPr="00900361">
        <w:rPr>
          <w:rFonts w:ascii="Times New Roman" w:hAnsi="Times New Roman" w:cs="Times New Roman"/>
          <w:color w:val="000000" w:themeColor="text1"/>
          <w:sz w:val="24"/>
          <w:szCs w:val="24"/>
        </w:rPr>
        <w:t xml:space="preserve">nteracting </w:t>
      </w:r>
      <w:r w:rsidRPr="00900361">
        <w:rPr>
          <w:rFonts w:ascii="Times New Roman" w:hAnsi="Times New Roman" w:cs="Times New Roman"/>
          <w:i/>
          <w:color w:val="000000" w:themeColor="text1"/>
          <w:sz w:val="24"/>
          <w:szCs w:val="24"/>
        </w:rPr>
        <w:t>p</w:t>
      </w:r>
      <w:r w:rsidRPr="00900361">
        <w:rPr>
          <w:rFonts w:ascii="Times New Roman" w:hAnsi="Times New Roman" w:cs="Times New Roman"/>
          <w:color w:val="000000" w:themeColor="text1"/>
          <w:sz w:val="24"/>
          <w:szCs w:val="24"/>
        </w:rPr>
        <w:t xml:space="preserve">rotein). Peptidoglycan synthases and hydrolases were also shown to interact by chemical cross-linking of </w:t>
      </w:r>
      <w:r w:rsidRPr="00900361">
        <w:rPr>
          <w:rFonts w:ascii="Times New Roman" w:hAnsi="Times New Roman" w:cs="Times New Roman"/>
          <w:i/>
          <w:color w:val="000000" w:themeColor="text1"/>
          <w:sz w:val="24"/>
          <w:szCs w:val="24"/>
        </w:rPr>
        <w:t>Haemophilus influenzae</w:t>
      </w:r>
      <w:r w:rsidRPr="00900361">
        <w:rPr>
          <w:rFonts w:ascii="Times New Roman" w:hAnsi="Times New Roman" w:cs="Times New Roman"/>
          <w:color w:val="000000" w:themeColor="text1"/>
          <w:sz w:val="24"/>
          <w:szCs w:val="24"/>
        </w:rPr>
        <w:t xml:space="preserve"> PBP complexes formed </w:t>
      </w:r>
      <w:r w:rsidRPr="00900361">
        <w:rPr>
          <w:rFonts w:ascii="Times New Roman" w:hAnsi="Times New Roman" w:cs="Times New Roman"/>
          <w:i/>
          <w:color w:val="000000" w:themeColor="text1"/>
          <w:sz w:val="24"/>
          <w:szCs w:val="24"/>
        </w:rPr>
        <w:t>in vivo</w:t>
      </w:r>
      <w:r w:rsidRPr="00900361">
        <w:rPr>
          <w:rFonts w:ascii="Times New Roman" w:hAnsi="Times New Roman" w:cs="Times New Roman"/>
          <w:color w:val="000000" w:themeColor="text1"/>
          <w:sz w:val="24"/>
          <w:szCs w:val="24"/>
        </w:rPr>
        <w:t xml:space="preserve"> </w:t>
      </w:r>
      <w:r w:rsidRPr="00900361">
        <w:rPr>
          <w:rFonts w:ascii="Times New Roman" w:hAnsi="Times New Roman" w:cs="Times New Roman"/>
          <w:color w:val="000000" w:themeColor="text1"/>
          <w:sz w:val="24"/>
          <w:szCs w:val="24"/>
        </w:rPr>
        <w:fldChar w:fldCharType="begin"/>
      </w:r>
      <w:r w:rsidRPr="00900361">
        <w:rPr>
          <w:rFonts w:ascii="Times New Roman" w:hAnsi="Times New Roman" w:cs="Times New Roman"/>
          <w:color w:val="000000" w:themeColor="text1"/>
          <w:sz w:val="24"/>
          <w:szCs w:val="24"/>
        </w:rPr>
        <w:instrText xml:space="preserve"> ADDIN ZOTERO_ITEM CSL_CITATION {"citationID":"2859iqdoqp","properties":{"formattedCitation":"(Sham et al., 2011)","plainCitation":"(Sham et al., 2011)"},"citationItems":[{"id":28,"uris":["http://zotero.org/users/944474/items/ZPT5SSIU"],"uri":["http://zotero.org/users/944474/items/ZPT5SSIU"],"itemData":{"id":28,"type":"article-journal","title":"Essential PcsB putative peptidoglycan hydrolase interacts with the essential FtsXSpn cell division protein in Streptococcus pneumoniae D39","container-title":"Proceedings of the National Academy of Sciences of the United States of America","page":"E1061-1069","volume":"108","issue":"45","abstract":"The connection between peptidoglycan remodeling and cell division is poorly understood in ellipsoid-shaped ovococcus bacteria, such as the human respiratory pathogen Streptococcus pneumoniae. In S. pneumoniae, peptidoglycan homeostasis and stress are regulated by the WalRK (VicRK) two-component regulatory system, which positively regulates expression of the essential PcsB cysteine- and histidine-dependent aminohydrolases/peptidases (CHAP)-domain protein. CHAP-domain proteins usually act as peptidoglycan hydrolases, but purified PcsB lacks detectable enzymatic activity. To explore the functions of PcsB, its subcellular localization was determined. Fractionation experiments showed that cell-bound PcsB was located through hydrophobic interactions on the external membrane surface of pneumococcal cells. Immunofluorescent microscopy localized PcsB mainly to the septa and equators of dividing cells. Chemical cross-linking combined with immunoprecipitation showed that PcsB interacts with the cell division complex formed by membrane-bound FtsX(Spn) and cytoplasmic FtsE(Spn) ATPase, which structurally resemble an ABC transporter. Far Western blotting showed that this interaction was likely through the large extracellular loop of FtsX(Spn) and the amino terminal coiled-coil domain of PcsB. Unlike in Bacillus subtilis and Escherichia coli, we show that FtsX(Spn) and FtsE(Spn) are essential in S. pneumoniae. Consistent with an interaction between PcsB and FtsX(Spn), cells depleted of PcsB or FtsX(Spn) had strikingly similar defects in cell division, and depletion of FtsX(Spn) caused mislocalization of PcsB but not the FtsZ(Spn) early-division protein. A model is presented in which the interaction of the FtsEX(Spn) complex with PcsB activates its peptidoglycan hydrolysis activity and couples peptidoglycan remodeling to pneumococcal cell division.","DOI":"10.1073/pnas.1108323108","note":"PMID: 22006325","journalAbbreviation":"Proc. Natl. Acad. Sci. U.S.A.","author":[{"family":"Sham","given":"Lok-To"},{"family":"Barendt","given":"Skye M"},{"family":"Kopecky","given":"Kimberly E"},{"family":"Winkler","given":"Malcolm E"}],"issued":{"year":2011,"month":11,"day":8},"accessed":{"year":2012,"month":3,"day":6},"page-first":"E1061"}}],"schema":"https://github.com/citation-style-language/schema/raw/master/csl-citation.json"} </w:instrText>
      </w:r>
      <w:r w:rsidRPr="00900361">
        <w:rPr>
          <w:rFonts w:ascii="Times New Roman" w:hAnsi="Times New Roman" w:cs="Times New Roman"/>
          <w:color w:val="000000" w:themeColor="text1"/>
          <w:sz w:val="24"/>
          <w:szCs w:val="24"/>
        </w:rPr>
        <w:fldChar w:fldCharType="separate"/>
      </w:r>
      <w:r w:rsidRPr="00900361">
        <w:rPr>
          <w:rFonts w:ascii="Times New Roman" w:hAnsi="Times New Roman" w:cs="Times New Roman"/>
          <w:color w:val="000000" w:themeColor="text1"/>
          <w:sz w:val="24"/>
        </w:rPr>
        <w:t xml:space="preserve">(Sham </w:t>
      </w:r>
      <w:r w:rsidRPr="00C521B3">
        <w:rPr>
          <w:rFonts w:ascii="Times New Roman" w:hAnsi="Times New Roman" w:cs="Times New Roman"/>
          <w:i/>
          <w:color w:val="000000" w:themeColor="text1"/>
          <w:sz w:val="24"/>
        </w:rPr>
        <w:t>et al</w:t>
      </w:r>
      <w:r w:rsidRPr="00900361">
        <w:rPr>
          <w:rFonts w:ascii="Times New Roman" w:hAnsi="Times New Roman" w:cs="Times New Roman"/>
          <w:color w:val="000000" w:themeColor="text1"/>
          <w:sz w:val="24"/>
        </w:rPr>
        <w:t>., 2011)</w:t>
      </w:r>
      <w:r w:rsidRPr="00900361">
        <w:rPr>
          <w:rFonts w:ascii="Times New Roman" w:hAnsi="Times New Roman" w:cs="Times New Roman"/>
          <w:color w:val="000000" w:themeColor="text1"/>
          <w:sz w:val="24"/>
          <w:szCs w:val="24"/>
        </w:rPr>
        <w:fldChar w:fldCharType="end"/>
      </w:r>
      <w:r w:rsidRPr="00900361">
        <w:rPr>
          <w:rFonts w:ascii="Times New Roman" w:hAnsi="Times New Roman" w:cs="Times New Roman"/>
          <w:color w:val="000000" w:themeColor="text1"/>
          <w:sz w:val="24"/>
          <w:szCs w:val="24"/>
        </w:rPr>
        <w:t xml:space="preserve">. </w:t>
      </w:r>
    </w:p>
    <w:p w:rsidR="00BC7652" w:rsidRPr="001D380E" w:rsidRDefault="00BC7652" w:rsidP="00BC7652">
      <w:pPr>
        <w:autoSpaceDE w:val="0"/>
        <w:autoSpaceDN w:val="0"/>
        <w:adjustRightInd w:val="0"/>
        <w:spacing w:after="120" w:line="480" w:lineRule="auto"/>
        <w:jc w:val="both"/>
        <w:rPr>
          <w:rFonts w:ascii="Times New Roman" w:hAnsi="Times New Roman" w:cs="Times New Roman"/>
          <w:color w:val="000000"/>
          <w:sz w:val="24"/>
          <w:szCs w:val="24"/>
        </w:rPr>
      </w:pPr>
    </w:p>
    <w:p w:rsidR="00BC7652" w:rsidRPr="002C5F23" w:rsidRDefault="00BC7652" w:rsidP="00BC7652">
      <w:pPr>
        <w:tabs>
          <w:tab w:val="left" w:pos="1276"/>
        </w:tabs>
        <w:autoSpaceDE w:val="0"/>
        <w:autoSpaceDN w:val="0"/>
        <w:adjustRightInd w:val="0"/>
        <w:spacing w:after="120" w:line="48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1.7.3.2.2</w:t>
      </w:r>
      <w:r>
        <w:rPr>
          <w:rFonts w:ascii="Times New Roman" w:hAnsi="Times New Roman" w:cs="Times New Roman"/>
          <w:color w:val="000000"/>
          <w:sz w:val="28"/>
          <w:szCs w:val="28"/>
        </w:rPr>
        <w:tab/>
      </w:r>
      <w:r w:rsidRPr="002C5F23">
        <w:rPr>
          <w:rFonts w:ascii="Times New Roman" w:hAnsi="Times New Roman" w:cs="Times New Roman"/>
          <w:color w:val="000000"/>
          <w:sz w:val="28"/>
          <w:szCs w:val="28"/>
        </w:rPr>
        <w:t>Proteolytic processing</w:t>
      </w:r>
    </w:p>
    <w:p w:rsidR="00BC7652" w:rsidRPr="00321906" w:rsidRDefault="00BC7652" w:rsidP="00BC7652">
      <w:pPr>
        <w:tabs>
          <w:tab w:val="left" w:pos="937"/>
        </w:tabs>
        <w:autoSpaceDE w:val="0"/>
        <w:autoSpaceDN w:val="0"/>
        <w:adjustRightInd w:val="0"/>
        <w:spacing w:after="120" w:line="480" w:lineRule="auto"/>
        <w:jc w:val="both"/>
        <w:rPr>
          <w:rFonts w:ascii="Times New Roman" w:hAnsi="Times New Roman" w:cs="Times New Roman"/>
          <w:color w:val="000000" w:themeColor="text1"/>
          <w:sz w:val="24"/>
          <w:szCs w:val="24"/>
        </w:rPr>
      </w:pPr>
      <w:r w:rsidRPr="00F2016E">
        <w:rPr>
          <w:rFonts w:ascii="Times New Roman" w:hAnsi="Times New Roman" w:cs="Times New Roman"/>
          <w:color w:val="000000"/>
          <w:sz w:val="24"/>
          <w:szCs w:val="24"/>
        </w:rPr>
        <w:t>Proteoly</w:t>
      </w:r>
      <w:r>
        <w:rPr>
          <w:rFonts w:ascii="Times New Roman" w:hAnsi="Times New Roman" w:cs="Times New Roman"/>
          <w:color w:val="000000"/>
          <w:sz w:val="24"/>
          <w:szCs w:val="24"/>
        </w:rPr>
        <w:t xml:space="preserve">tic processing is required for activation and stabilisation of peptidoglycan hydrolase activity. The major bifunctional </w:t>
      </w:r>
      <w:r>
        <w:rPr>
          <w:rFonts w:ascii="Times New Roman" w:hAnsi="Times New Roman" w:cs="Times New Roman"/>
          <w:i/>
          <w:color w:val="000000"/>
          <w:sz w:val="24"/>
          <w:szCs w:val="24"/>
        </w:rPr>
        <w:t xml:space="preserve">S. aureus </w:t>
      </w:r>
      <w:r>
        <w:rPr>
          <w:rFonts w:ascii="Times New Roman" w:hAnsi="Times New Roman" w:cs="Times New Roman"/>
          <w:color w:val="000000"/>
          <w:sz w:val="24"/>
          <w:szCs w:val="24"/>
        </w:rPr>
        <w:t xml:space="preserve">autolysin Atl is synthesised as a single 138 kDa proenzyme, but undergoes multiple rounds of proteolytic cleavage through 115 kDa and 85 kDa intermediate forms to generate two mature enzymes, a 51 </w:t>
      </w:r>
      <w:r w:rsidRPr="00321906">
        <w:rPr>
          <w:rFonts w:ascii="Times New Roman" w:hAnsi="Times New Roman" w:cs="Times New Roman"/>
          <w:color w:val="000000" w:themeColor="text1"/>
          <w:sz w:val="24"/>
          <w:szCs w:val="24"/>
        </w:rPr>
        <w:t xml:space="preserve">kDa glucosaminidase and a 62 kDa muramidase </w:t>
      </w:r>
      <w:r w:rsidRPr="00321906">
        <w:rPr>
          <w:rFonts w:ascii="Times New Roman" w:hAnsi="Times New Roman" w:cs="Times New Roman"/>
          <w:color w:val="000000" w:themeColor="text1"/>
          <w:sz w:val="24"/>
          <w:szCs w:val="24"/>
        </w:rPr>
        <w:fldChar w:fldCharType="begin"/>
      </w:r>
      <w:r w:rsidRPr="00321906">
        <w:rPr>
          <w:rFonts w:ascii="Times New Roman" w:hAnsi="Times New Roman" w:cs="Times New Roman"/>
          <w:color w:val="000000" w:themeColor="text1"/>
          <w:sz w:val="24"/>
          <w:szCs w:val="24"/>
        </w:rPr>
        <w:instrText xml:space="preserve"> ADDIN ZOTERO_ITEM CSL_CITATION {"citationID":"e3l2ll7fa","properties":{"formattedCitation":"(Foster, 1995; Oshida et al., 1995; Komatsuzawa et al., 1997)","plainCitation":"(Foster, 1995; Oshida et al., 1995; Komatsuzawa et al., 1997)"},"citationItems":[{"id":48,"uris":["http://zotero.org/users/944474/items/D8DIGEZA"],"uri":["http://zotero.org/users/944474/items/D8DIGEZA"],"itemData":{"id":48,"type":"article-journal","title":"Molecular characterization and functional analysis of the major autolysin of Staphylococcus aureus 8325/4","container-title":"Journal of Bacteriology","page":"5723-5725","volume":"177","issue":"19","abstract":"The gene encoding the major autolysin of Staphylococcus aureus 8325/4 has been cloned, sequenced, and insertionally inactivated. The three-domain, 137,384-Da protein has a C-terminal glucosaminidase active site and is involved in cell separation, generalized cell lysis, and release of wall material at the cell surface. Expression occurs throughout growth and is stimulated by low temperatures and in the presence of 1 M NaCl.","note":"PMID: 7559367","journalAbbreviation":"J. Bacteriol.","author":[{"family":"Foster","given":"S J"}],"issued":{"year":1995,"month":10},"accessed":{"year":2012,"month":3,"day":6},"page-first":"5723"}},{"id":47,"uris":["http://zotero.org/users/944474/items/47D38V2E"],"uri":["http://zotero.org/users/944474/items/47D38V2E"],"itemData":{"id":47,"type":"article-journal","title":"A Staphylococcus aureus autolysin that has an N-acetylmuramoyl-L-alanine amidase domain and an endo-beta-N-acetylglucosaminidase domain: cloning, sequence analysis, and characterization","container-title":"Proceedings of the National Academy of Sciences of the United States of America","page":"285-289","volume":"92","issue":"1","abstract":"The Tn551 insertion site of the autolysis-deficient Staphylococcus aureus mutant RUSAL2 was cloned and used to identify the autolysis gene atl in the parent strain, RN450. The open reading frame for atl was 3768 bp in length, encoding a deduced protein of 1256 amino acids and molecular size of 137,381 Da. The atl gene product is a bifunctional protein that has an amidase domain and an endo-beta-N-acetylglucosaminidase domain which must undergo proteolytic processing to generate the two extracellular lytic enzymes found in the culture broth of S. aureus.","note":"PMID: 7816834","shortTitle":"A Staphylococcus aureus autolysin that has an N-acetylmuramoyl-L-alanine amidase domain and an endo-beta-N-acetylglucosaminidase domain","journalAbbreviation":"Proc. Natl. Acad. Sci. U.S.A.","author":[{"family":"Oshida","given":"T"},{"family":"Sugai","given":"M"},{"family":"Komatsuzawa","given":"H"},{"family":"Hong","given":"Y M"},{"family":"Suginaka","given":"H"},{"family":"Tomasz","given":"A"}],"issued":{"year":1995,"month":1,"day":3},"accessed":{"year":2012,"month":3,"day":6},"page-first":"285"}},{"id":338,"uris":["http://zotero.org/users/944474/items/5KPXATWT"],"uri":["http://zotero.org/users/944474/items/5KPXATWT"],"itemData":{"id":338,"type":"article-journal","title":"Subcellular localization of the major autolysin, ATL and its processed proteins in Staphylococcus aureus","container-title":"Microbiology and immunology","page":"469-479","volume":"41","issue":"6","abstract":"The Staphylococcus aureus autolysin gene, atl, encodes a unique 138-kDa protein (ATL) with amidase and glucosaminidase domains. ATL has been suggested to undergo proteolytic processing to generate two extracellular peptidoglycan hydrolases, 51-kDa endo-beta-N-acetylglucosaminidase (51-kDa GL) and 62-kDa N-acetylmuramyl-L-alanine amidase (62-kDa AM). To investigate cell-associated bacteriolytic enzymes for atl gene products, proteins were extracted from the cells as follows. The cells were exposed to 3 M LiCl followed by 4% SDS. Thereafter, the cells were disrupted and again extracted with 4% SDS. Whole SDS-stable cell-associated bacteriolytic proteins were extracted without disrupting the cells. Exposure to 3 M LiCl released major 138-, 115-, 85-, 62- and 51-kDa bacteriolytic proteins, and subsequent 4% SDS extraction released major 138- and 115-kDa bacteriolytic proteins. These bacteriolytic proteins were missing in extracts of atl mutant RUSAL2 (S. aureus RN450 atl::Tn551). Immunoblotting studies suggest that these are all atl gene products: the 138-kDa protein is an ATL with a cleaved signal sequence; the 115- and 85-kDa proteins are intermediates; and the 51- and 62-kDa proteins are cell-associated 51-kDa GL and 62-kDa AM, respectively. The trypsin susceptibility of these proteins suggests that they are located outside the cell membrane. Differences in extractability and immunoelectron microscopic studies suggest that atl gene products are associated with cells in two different ways, LiCl extractable and non extractable. We suggest that the 138-kDa ATL undergoes processing through intermediate proteins (115- and 85-kDa proteins) to mature as the active cell cluster-dispersing enzymes 51-kDa GL and 62-kDa AM on the cell surface.","note":"PMID: 9251058","journalAbbreviation":"Microbiol. Immunol.","author":[{"family":"Komatsuzawa","given":"H"},{"family":"Sugai","given":"M"},{"family":"Nakashima","given":"S"},{"family":"Yamada","given":"S"},{"family":"Matsumoto","given":"A"},{"family":"Oshida","given":"T"},{"family":"Suginaka","given":"H"}],"issued":{"year":1997},"accessed":{"year":2012,"month":6,"day":3},"page-first":"469"}}],"schema":"https://github.com/citation-style-language/schema/raw/master/csl-citation.json"} </w:instrText>
      </w:r>
      <w:r w:rsidRPr="00321906">
        <w:rPr>
          <w:rFonts w:ascii="Times New Roman" w:hAnsi="Times New Roman" w:cs="Times New Roman"/>
          <w:color w:val="000000" w:themeColor="text1"/>
          <w:sz w:val="24"/>
          <w:szCs w:val="24"/>
        </w:rPr>
        <w:fldChar w:fldCharType="separate"/>
      </w:r>
      <w:r w:rsidRPr="00321906">
        <w:rPr>
          <w:rFonts w:ascii="Times New Roman" w:hAnsi="Times New Roman" w:cs="Times New Roman"/>
          <w:color w:val="000000" w:themeColor="text1"/>
          <w:sz w:val="24"/>
        </w:rPr>
        <w:t xml:space="preserve">(Foster, 1995; Oshida </w:t>
      </w:r>
      <w:r w:rsidRPr="00C521B3">
        <w:rPr>
          <w:rFonts w:ascii="Times New Roman" w:hAnsi="Times New Roman" w:cs="Times New Roman"/>
          <w:i/>
          <w:color w:val="000000" w:themeColor="text1"/>
          <w:sz w:val="24"/>
        </w:rPr>
        <w:t>et al</w:t>
      </w:r>
      <w:r w:rsidRPr="00321906">
        <w:rPr>
          <w:rFonts w:ascii="Times New Roman" w:hAnsi="Times New Roman" w:cs="Times New Roman"/>
          <w:color w:val="000000" w:themeColor="text1"/>
          <w:sz w:val="24"/>
        </w:rPr>
        <w:t xml:space="preserve">., 1995; </w:t>
      </w:r>
      <w:r w:rsidRPr="00321906">
        <w:rPr>
          <w:rFonts w:ascii="Times New Roman" w:hAnsi="Times New Roman" w:cs="Times New Roman"/>
          <w:color w:val="000000" w:themeColor="text1"/>
          <w:sz w:val="24"/>
        </w:rPr>
        <w:lastRenderedPageBreak/>
        <w:t xml:space="preserve">Komatsuzawa </w:t>
      </w:r>
      <w:r w:rsidRPr="00C521B3">
        <w:rPr>
          <w:rFonts w:ascii="Times New Roman" w:hAnsi="Times New Roman" w:cs="Times New Roman"/>
          <w:i/>
          <w:color w:val="000000" w:themeColor="text1"/>
          <w:sz w:val="24"/>
        </w:rPr>
        <w:t>et al</w:t>
      </w:r>
      <w:r w:rsidRPr="00321906">
        <w:rPr>
          <w:rFonts w:ascii="Times New Roman" w:hAnsi="Times New Roman" w:cs="Times New Roman"/>
          <w:color w:val="000000" w:themeColor="text1"/>
          <w:sz w:val="24"/>
        </w:rPr>
        <w:t>., 1997)</w:t>
      </w:r>
      <w:r w:rsidRPr="00321906">
        <w:rPr>
          <w:rFonts w:ascii="Times New Roman" w:hAnsi="Times New Roman" w:cs="Times New Roman"/>
          <w:color w:val="000000" w:themeColor="text1"/>
          <w:sz w:val="24"/>
          <w:szCs w:val="24"/>
        </w:rPr>
        <w:fldChar w:fldCharType="end"/>
      </w:r>
      <w:r w:rsidRPr="00321906">
        <w:rPr>
          <w:rFonts w:ascii="Times New Roman" w:hAnsi="Times New Roman" w:cs="Times New Roman"/>
          <w:color w:val="000000" w:themeColor="text1"/>
          <w:sz w:val="24"/>
          <w:szCs w:val="24"/>
        </w:rPr>
        <w:t xml:space="preserve">. The glucosaminidase Auto of </w:t>
      </w:r>
      <w:r w:rsidRPr="00321906">
        <w:rPr>
          <w:rFonts w:ascii="Times New Roman" w:hAnsi="Times New Roman" w:cs="Times New Roman"/>
          <w:i/>
          <w:color w:val="000000" w:themeColor="text1"/>
          <w:sz w:val="24"/>
          <w:szCs w:val="24"/>
        </w:rPr>
        <w:t>Listeria monocytogenes</w:t>
      </w:r>
      <w:r w:rsidRPr="00321906">
        <w:rPr>
          <w:rFonts w:ascii="Times New Roman" w:hAnsi="Times New Roman" w:cs="Times New Roman"/>
          <w:color w:val="000000" w:themeColor="text1"/>
          <w:sz w:val="24"/>
          <w:szCs w:val="24"/>
        </w:rPr>
        <w:t xml:space="preserve"> is auto-inhibited via binding of an N-terminal α-helix by the catalytic domain. Auto is activated by proteolytic cleavage which releases the inhibitory α-helix from the substrate binding site </w:t>
      </w:r>
      <w:r w:rsidRPr="00321906">
        <w:rPr>
          <w:rFonts w:ascii="Times New Roman" w:hAnsi="Times New Roman" w:cs="Times New Roman"/>
          <w:color w:val="000000" w:themeColor="text1"/>
          <w:sz w:val="24"/>
          <w:szCs w:val="24"/>
        </w:rPr>
        <w:fldChar w:fldCharType="begin"/>
      </w:r>
      <w:r w:rsidRPr="00321906">
        <w:rPr>
          <w:rFonts w:ascii="Times New Roman" w:hAnsi="Times New Roman" w:cs="Times New Roman"/>
          <w:color w:val="000000" w:themeColor="text1"/>
          <w:sz w:val="24"/>
          <w:szCs w:val="24"/>
        </w:rPr>
        <w:instrText xml:space="preserve"> ADDIN ZOTERO_ITEM CSL_CITATION {"citationID":"1t4n6gp910","properties":{"formattedCitation":"(Bublitz et al., 2009)","plainCitation":"(Bublitz et al., 2009)"},"citationItems":[{"id":480,"uris":["http://zotero.org/users/944474/items/IQF62IZD"],"uri":["http://zotero.org/users/944474/items/IQF62IZD"],"itemData":{"id":480,"type":"article-journal","title":"Structural basis for autoinhibition and activation of Auto, a virulence-associated peptidoglycan hydrolase of Listeria monocytogenes","container-title":"Molecular microbiology","page":"1509-1522","volume":"71","issue":"6","abstract":"During a bacterial infection, each successive step is orchestrated by a dedicated set of virulence factors. In Gram-positive bacteria, the presentation or release of such factors is crucially dependent on the continual remodelling of the cell wall. We have investigated the autolysin or peptidoglycan hydrolase Auto (Lmo1076) from the human pathogen Listeria monocytogenes to structurally and biochemically underpin its role in host cell invasion. We demonstrate that Auto is an N-acetylglucosaminidase, that it is autoinhibited when newly secreted but activated by proteolytic cleavage, that it has an acidic pH optimum and that it preferentially cleaves acetylated over de-acetylated peptidoglycan. The crystal structure of Auto, the first for glycoside hydrolase family 73, and the first for a listerial autolysin, indicates that autoinhibition is due to an N-terminal alpha-helix unique to Auto that physically blocks the substrate-binding cleft. We identify Glu122 and Glu156 as the two catalytically essential carboxylate groups. The physical properties of Auto as well as its localization to lipoteichoic acid by its four C-terminal GW modules imply cell wall degradation by Auto to be highly co-ordinated. Its spatio-temporally controlled activation and localized activity in an acidified environment indicate that it facilitates remodelling of the cell wall and may be involved in co-ordinating the release of virulence factors at specific stages of an infection.","DOI":"10.1111/j.1365-2958.2009.06619.x","note":"PMID: 19210622","journalAbbreviation":"Mol. Microbiol.","author":[{"family":"Bublitz","given":"Maike"},{"family":"Polle","given":"Lilia"},{"family":"Holland","given":"Christin"},{"family":"Heinz","given":"Dirk W"},{"family":"Nimtz","given":"Manfred"},{"family":"Schubert","given":"Wolf-Dieter"}],"issued":{"year":2009,"month":3},"accessed":{"year":2012,"month":6,"day":18},"page-first":"1509"}}],"schema":"https://github.com/citation-style-language/schema/raw/master/csl-citation.json"} </w:instrText>
      </w:r>
      <w:r w:rsidRPr="00321906">
        <w:rPr>
          <w:rFonts w:ascii="Times New Roman" w:hAnsi="Times New Roman" w:cs="Times New Roman"/>
          <w:color w:val="000000" w:themeColor="text1"/>
          <w:sz w:val="24"/>
          <w:szCs w:val="24"/>
        </w:rPr>
        <w:fldChar w:fldCharType="separate"/>
      </w:r>
      <w:r w:rsidRPr="00321906">
        <w:rPr>
          <w:rFonts w:ascii="Times New Roman" w:hAnsi="Times New Roman" w:cs="Times New Roman"/>
          <w:color w:val="000000" w:themeColor="text1"/>
          <w:sz w:val="24"/>
        </w:rPr>
        <w:t xml:space="preserve">(Bublitz </w:t>
      </w:r>
      <w:r w:rsidRPr="00C521B3">
        <w:rPr>
          <w:rFonts w:ascii="Times New Roman" w:hAnsi="Times New Roman" w:cs="Times New Roman"/>
          <w:i/>
          <w:color w:val="000000" w:themeColor="text1"/>
          <w:sz w:val="24"/>
        </w:rPr>
        <w:t>et al</w:t>
      </w:r>
      <w:r w:rsidRPr="00321906">
        <w:rPr>
          <w:rFonts w:ascii="Times New Roman" w:hAnsi="Times New Roman" w:cs="Times New Roman"/>
          <w:color w:val="000000" w:themeColor="text1"/>
          <w:sz w:val="24"/>
        </w:rPr>
        <w:t>., 2009)</w:t>
      </w:r>
      <w:r w:rsidRPr="00321906">
        <w:rPr>
          <w:rFonts w:ascii="Times New Roman" w:hAnsi="Times New Roman" w:cs="Times New Roman"/>
          <w:color w:val="000000" w:themeColor="text1"/>
          <w:sz w:val="24"/>
          <w:szCs w:val="24"/>
        </w:rPr>
        <w:fldChar w:fldCharType="end"/>
      </w:r>
      <w:r w:rsidRPr="00321906">
        <w:rPr>
          <w:rFonts w:ascii="Times New Roman" w:hAnsi="Times New Roman" w:cs="Times New Roman"/>
          <w:color w:val="000000" w:themeColor="text1"/>
          <w:sz w:val="24"/>
          <w:szCs w:val="24"/>
        </w:rPr>
        <w:t xml:space="preserve">. </w:t>
      </w:r>
      <w:r w:rsidRPr="00321906">
        <w:rPr>
          <w:rFonts w:ascii="Times New Roman" w:hAnsi="Times New Roman" w:cs="Times New Roman"/>
          <w:i/>
          <w:color w:val="000000" w:themeColor="text1"/>
          <w:sz w:val="24"/>
          <w:szCs w:val="24"/>
        </w:rPr>
        <w:t xml:space="preserve">E. coli </w:t>
      </w:r>
      <w:r w:rsidRPr="00321906">
        <w:rPr>
          <w:rFonts w:ascii="Times New Roman" w:hAnsi="Times New Roman" w:cs="Times New Roman"/>
          <w:color w:val="000000" w:themeColor="text1"/>
          <w:sz w:val="24"/>
          <w:szCs w:val="24"/>
        </w:rPr>
        <w:t xml:space="preserve">MltB is a lipoprotein which localises on the periplasmic face of the outer membrane. Proteolytic degradation of MltB releases a soluble lytic transglycosylase Slt35, which may have a physiologically significant function </w:t>
      </w:r>
      <w:r w:rsidRPr="00321906">
        <w:rPr>
          <w:rFonts w:ascii="Times New Roman" w:hAnsi="Times New Roman" w:cs="Times New Roman"/>
          <w:color w:val="000000" w:themeColor="text1"/>
          <w:sz w:val="24"/>
          <w:szCs w:val="24"/>
        </w:rPr>
        <w:fldChar w:fldCharType="begin"/>
      </w:r>
      <w:r w:rsidRPr="00321906">
        <w:rPr>
          <w:rFonts w:ascii="Times New Roman" w:hAnsi="Times New Roman" w:cs="Times New Roman"/>
          <w:color w:val="000000" w:themeColor="text1"/>
          <w:sz w:val="24"/>
          <w:szCs w:val="24"/>
        </w:rPr>
        <w:instrText xml:space="preserve"> ADDIN ZOTERO_ITEM CSL_CITATION {"citationID":"233klri629","properties":{"formattedCitation":"(Engel et al., 1992; Ehlert et al., 1995)","plainCitation":"(Engel et al., 1992; Ehlert et al., 1995)"},"citationItems":[{"id":483,"uris":["http://zotero.org/users/944474/items/29JVG7QD"],"uri":["http://zotero.org/users/944474/items/29JVG7QD"],"itemData":{"id":483,"type":"article-journal","title":"Murein-metabolizing enzymes from Escherichia coli: existence of a second lytic transglycosylase","container-title":"Journal of bacteriology","page":"6394-6403","volume":"174","issue":"20","abstract":"In addition to the soluble lytic transglycosylase, a murein-metabolizing enzyme with a molecular mass of 70 kDa (Slt70), Escherichia coli possesses a second lytic transglycosylase, which has been described as a membrane-bound lytic transglycosylase (Mlt; 35 kDa; EC 3.2.1.-). The mlt gene, which supposedly encodes Mlt, was cloned, and the complete nucleotide sequence was determined. The open reading frame, identified on a 1.7-kb SalI-PstI fragment, codes for a protein of 323 amino acids (M(r) = 37,410). Two transmembrane helices and one membrane-associated helix were predicted in the N-terminal half of the protein. Lysine and arginine residues represent up to 15% of the amino acids, resulting in a calculated isoelectric point of 10.0. The deduced primary structure did not show significant sequence similarity to Slt70 from E. coli. High-level expression of the presumed mlt gene was not paralleled by an increase in murein hydrolase activity. To clarify the identity of the second transglycosylase, we purified an enzyme with the specificity of a transglycosylase from an E. coli slt deletion strain. The completely soluble transglycosylase, with a molecular mass of approximately 35 kDa, was designated Slt35. Its determined 26 N-terminal amino acids showed similarity to a segment in the middle of the Slt70 primary structure. Polyclonal anti-Mlt antibodies, which had been used for the isolation of the mlt gene, were found to cross-react with Mlt as well as with Slt35, suggesting that the previously described Mlt preparation was contaminated with Slt35. We conclude that the second transglycosylase of E. coli is not a membrane-bound protein but rather is a soluble protein.","note":"PMID: 1356966","shortTitle":"Murein-metabolizing enzymes from Escherichia coli","journalAbbreviation":"J. Bacteriol.","author":[{"family":"Engel","given":"H"},{"family":"Smink","given":"A J"},{"family":"van Wijngaarden","given":"L"},{"family":"Keck","given":"W"}],"issued":{"year":1992,"month":10},"accessed":{"year":2012,"month":6,"day":18},"page-first":"6394"}},{"id":481,"uris":["http://zotero.org/users/944474/items/INMT5KTU"],"uri":["http://zotero.org/users/944474/items/INMT5KTU"],"itemData":{"id":481,"type":"article-journal","title":"Cloning and expression of a murein hydrolase lipoprotein from Escherichia coli","container-title":"Molecular microbiology","page":"761-768","volume":"16","issue":"4","abstract":"On the basis of the published N-terminal amino acid sequence of the soluble lytic transglycosylase 35 (Slt35) of Escherichia coli, an open reading frame (ORF) was cloned from the 60.8 min region of the E. coli chromosome. The nucleotide sequence of the ORF, containing a putative lipoprotein-processing site, was shown by [3H]-palmitate labelling to encode a lipoprotein with an apparent molecular mass of 36 kDa. A larger protein, presumably the prolipoprotein form, accumulated in the presence of globomycin. Over-expression of the gene, designated mltB (for membrane-bound lytic transglycosylase B), caused a 55-fold increase in murein hydrolase activity in the membrane fraction and resulted in rapid cell lysis. After membrane fractionation by sucrose-density-gradient centrifugation, most of the induced enzyme activity was present in the outer and intermediate membrane fractions. Murein hydrolase activity in the soluble fraction of a homogenate of cells induced for MltB increased with time. This release of enzyme activity into the supernatant could be inhibited by the addition of the serine-protease inhibitor phenylmethylsulphonyl fluoride. It is concluded that the previously isolated Slt35 protein is a proteolytic degradation product of the murein hydrolase lipoprotein MltB. Surprisingly, a deletion in the mltB gene showed no obvious phenotype.","note":"PMID: 7476170","journalAbbreviation":"Mol. Microbiol.","author":[{"family":"Ehlert","given":"K"},{"family":"Höltje","given":"J V"},{"family":"Templin","given":"M F"}],"issued":{"year":1995,"month":5},"accessed":{"year":2012,"month":6,"day":18},"page-first":"761"}}],"schema":"https://github.com/citation-style-language/schema/raw/master/csl-citation.json"} </w:instrText>
      </w:r>
      <w:r w:rsidRPr="00321906">
        <w:rPr>
          <w:rFonts w:ascii="Times New Roman" w:hAnsi="Times New Roman" w:cs="Times New Roman"/>
          <w:color w:val="000000" w:themeColor="text1"/>
          <w:sz w:val="24"/>
          <w:szCs w:val="24"/>
        </w:rPr>
        <w:fldChar w:fldCharType="separate"/>
      </w:r>
      <w:r w:rsidRPr="00321906">
        <w:rPr>
          <w:rFonts w:ascii="Times New Roman" w:hAnsi="Times New Roman" w:cs="Times New Roman"/>
          <w:color w:val="000000" w:themeColor="text1"/>
          <w:sz w:val="24"/>
        </w:rPr>
        <w:t xml:space="preserve">(Engel </w:t>
      </w:r>
      <w:r w:rsidRPr="00C521B3">
        <w:rPr>
          <w:rFonts w:ascii="Times New Roman" w:hAnsi="Times New Roman" w:cs="Times New Roman"/>
          <w:i/>
          <w:color w:val="000000" w:themeColor="text1"/>
          <w:sz w:val="24"/>
        </w:rPr>
        <w:t>et al</w:t>
      </w:r>
      <w:r w:rsidRPr="00321906">
        <w:rPr>
          <w:rFonts w:ascii="Times New Roman" w:hAnsi="Times New Roman" w:cs="Times New Roman"/>
          <w:color w:val="000000" w:themeColor="text1"/>
          <w:sz w:val="24"/>
        </w:rPr>
        <w:t xml:space="preserve">., 1992; Ehlert </w:t>
      </w:r>
      <w:r w:rsidRPr="00C521B3">
        <w:rPr>
          <w:rFonts w:ascii="Times New Roman" w:hAnsi="Times New Roman" w:cs="Times New Roman"/>
          <w:i/>
          <w:color w:val="000000" w:themeColor="text1"/>
          <w:sz w:val="24"/>
        </w:rPr>
        <w:t>et al</w:t>
      </w:r>
      <w:r w:rsidRPr="00321906">
        <w:rPr>
          <w:rFonts w:ascii="Times New Roman" w:hAnsi="Times New Roman" w:cs="Times New Roman"/>
          <w:color w:val="000000" w:themeColor="text1"/>
          <w:sz w:val="24"/>
        </w:rPr>
        <w:t>., 1995)</w:t>
      </w:r>
      <w:r w:rsidRPr="00321906">
        <w:rPr>
          <w:rFonts w:ascii="Times New Roman" w:hAnsi="Times New Roman" w:cs="Times New Roman"/>
          <w:color w:val="000000" w:themeColor="text1"/>
          <w:sz w:val="24"/>
          <w:szCs w:val="24"/>
        </w:rPr>
        <w:fldChar w:fldCharType="end"/>
      </w:r>
      <w:r w:rsidRPr="00321906">
        <w:rPr>
          <w:rFonts w:ascii="Times New Roman" w:hAnsi="Times New Roman" w:cs="Times New Roman"/>
          <w:color w:val="000000" w:themeColor="text1"/>
          <w:sz w:val="24"/>
          <w:szCs w:val="24"/>
        </w:rPr>
        <w:t>. Proteases may also r</w:t>
      </w:r>
      <w:r>
        <w:rPr>
          <w:rFonts w:ascii="Times New Roman" w:hAnsi="Times New Roman" w:cs="Times New Roman"/>
          <w:color w:val="000000" w:themeColor="text1"/>
          <w:sz w:val="24"/>
          <w:szCs w:val="24"/>
        </w:rPr>
        <w:t>egulate peptidoglycan hydrolase</w:t>
      </w:r>
      <w:r w:rsidRPr="00321906">
        <w:rPr>
          <w:rFonts w:ascii="Times New Roman" w:hAnsi="Times New Roman" w:cs="Times New Roman"/>
          <w:color w:val="000000" w:themeColor="text1"/>
          <w:sz w:val="24"/>
          <w:szCs w:val="24"/>
        </w:rPr>
        <w:t xml:space="preserve"> activity by maintaining the balance between synthesis and degradation. </w:t>
      </w:r>
      <w:r w:rsidRPr="00321906">
        <w:rPr>
          <w:rFonts w:ascii="Times New Roman" w:hAnsi="Times New Roman" w:cs="Times New Roman"/>
          <w:i/>
          <w:color w:val="000000" w:themeColor="text1"/>
          <w:sz w:val="24"/>
          <w:szCs w:val="24"/>
        </w:rPr>
        <w:t>B. subtilis</w:t>
      </w:r>
      <w:r w:rsidRPr="00321906">
        <w:rPr>
          <w:rFonts w:ascii="Times New Roman" w:hAnsi="Times New Roman" w:cs="Times New Roman"/>
          <w:color w:val="000000" w:themeColor="text1"/>
          <w:sz w:val="24"/>
          <w:szCs w:val="24"/>
        </w:rPr>
        <w:t xml:space="preserve"> LytF localises to one cell pole in wild type cells, but is present at both poles in a mutant lacking the extracellular proteases WprA and Epr </w:t>
      </w:r>
      <w:r w:rsidRPr="00321906">
        <w:rPr>
          <w:rFonts w:ascii="Times New Roman" w:hAnsi="Times New Roman" w:cs="Times New Roman"/>
          <w:color w:val="000000" w:themeColor="text1"/>
          <w:sz w:val="24"/>
          <w:szCs w:val="24"/>
        </w:rPr>
        <w:fldChar w:fldCharType="begin"/>
      </w:r>
      <w:r w:rsidRPr="00321906">
        <w:rPr>
          <w:rFonts w:ascii="Times New Roman" w:hAnsi="Times New Roman" w:cs="Times New Roman"/>
          <w:color w:val="000000" w:themeColor="text1"/>
          <w:sz w:val="24"/>
          <w:szCs w:val="24"/>
        </w:rPr>
        <w:instrText xml:space="preserve"> ADDIN ZOTERO_ITEM CSL_CITATION {"citationID":"1uvev83f1p","properties":{"formattedCitation":"(Yamamoto et al., 2003)","plainCitation":"(Yamamoto et al., 2003)"},"citationItems":[{"id":337,"uris":["http://zotero.org/users/944474/items/58U6I6WC"],"uri":["http://zotero.org/users/944474/items/58U6I6WC"],"itemData":{"id":337,"type":"article-journal","title":"Localization of the vegetative cell wall hydrolases LytC, LytE, and LytF on the Bacillus subtilis cell surface and stability of these enzymes to cell wall-bound or extracellular proteases","container-title":"Journal of bacteriology","page":"6666-6677","volume":"185","issue":"22","abstract":"LytF, LytE, and LytC are vegetative cell wall hydrolases in Bacillus subtilis. Immunofluorescence microscopy showed that an epitope-tagged LytF fusion protein (LytF-3xFLAG) in the wild-type background strain was localized at cell separation sites and one of the cell poles of rod-shaped cells during vegetative growth. However, in a mutant lacking both the cell surface protease WprA and the extracellular protease Epr, the fusion protein was observed at both cell poles in addition to cell separation sites. This suggests that LytF is potentially localized at cell separation sites and both cell poles during vegetative growth and that WprA and Epr are involved in LytF degradation. The localization pattern of LytE-3xFLAG was very similar to that of LytF-3xFLAG during vegetative growth. However, especially in the early vegetative growth phase, there was a remarkable difference between the shape of cells expressing LytE-3xFLAG and the shape of cells expressing LytF-3xFLAG. In the case of LytF-3xFLAG, it seemed that the signals in normal rod-shaped cells were stronger than those in long-chain cells. In contrast, the reverse was found in the case of LytE-3xFLAG. This difference may reflect the dependence on different sigma factors for gene expression. The results support and extend the previous finding that LytF and LytE are cell-separating enzymes. On the other hand, we observed that cells producing LytC-3xFLAG are uniformly coated with the fusion protein after the middle of the exponential growth phase, which supports the suggestion that LytC is a major autolysin that is not associated with cell separation.","note":"PMID: 14594841","journalAbbreviation":"J. Bacteriol.","author":[{"family":"Yamamoto","given":"Hiroki"},{"family":"Kurosawa","given":"Shin-ichirou"},{"family":"Sekiguchi","given":"Junichi"}],"issued":{"year":2003,"month":11},"accessed":{"year":2012,"month":6,"day":3},"page-first":"6666"}}],"schema":"https://github.com/citation-style-language/schema/raw/master/csl-citation.json"} </w:instrText>
      </w:r>
      <w:r w:rsidRPr="00321906">
        <w:rPr>
          <w:rFonts w:ascii="Times New Roman" w:hAnsi="Times New Roman" w:cs="Times New Roman"/>
          <w:color w:val="000000" w:themeColor="text1"/>
          <w:sz w:val="24"/>
          <w:szCs w:val="24"/>
        </w:rPr>
        <w:fldChar w:fldCharType="separate"/>
      </w:r>
      <w:r w:rsidRPr="00321906">
        <w:rPr>
          <w:rFonts w:ascii="Times New Roman" w:hAnsi="Times New Roman" w:cs="Times New Roman"/>
          <w:color w:val="000000" w:themeColor="text1"/>
          <w:sz w:val="24"/>
        </w:rPr>
        <w:t xml:space="preserve">(Yamamoto </w:t>
      </w:r>
      <w:r w:rsidRPr="00C521B3">
        <w:rPr>
          <w:rFonts w:ascii="Times New Roman" w:hAnsi="Times New Roman" w:cs="Times New Roman"/>
          <w:i/>
          <w:color w:val="000000" w:themeColor="text1"/>
          <w:sz w:val="24"/>
        </w:rPr>
        <w:t>et al</w:t>
      </w:r>
      <w:r w:rsidRPr="00321906">
        <w:rPr>
          <w:rFonts w:ascii="Times New Roman" w:hAnsi="Times New Roman" w:cs="Times New Roman"/>
          <w:color w:val="000000" w:themeColor="text1"/>
          <w:sz w:val="24"/>
        </w:rPr>
        <w:t>., 2003)</w:t>
      </w:r>
      <w:r w:rsidRPr="00321906">
        <w:rPr>
          <w:rFonts w:ascii="Times New Roman" w:hAnsi="Times New Roman" w:cs="Times New Roman"/>
          <w:color w:val="000000" w:themeColor="text1"/>
          <w:sz w:val="24"/>
          <w:szCs w:val="24"/>
        </w:rPr>
        <w:fldChar w:fldCharType="end"/>
      </w:r>
      <w:r w:rsidRPr="00321906">
        <w:rPr>
          <w:rFonts w:ascii="Times New Roman" w:hAnsi="Times New Roman" w:cs="Times New Roman"/>
          <w:color w:val="000000" w:themeColor="text1"/>
          <w:sz w:val="24"/>
          <w:szCs w:val="24"/>
        </w:rPr>
        <w:t xml:space="preserve">. In </w:t>
      </w:r>
      <w:r w:rsidRPr="00321906">
        <w:rPr>
          <w:rFonts w:ascii="Times New Roman" w:hAnsi="Times New Roman" w:cs="Times New Roman"/>
          <w:i/>
          <w:color w:val="000000" w:themeColor="text1"/>
          <w:sz w:val="24"/>
          <w:szCs w:val="24"/>
        </w:rPr>
        <w:t>S. pneumoniae</w:t>
      </w:r>
      <w:r w:rsidRPr="00321906">
        <w:rPr>
          <w:rFonts w:ascii="Times New Roman" w:hAnsi="Times New Roman" w:cs="Times New Roman"/>
          <w:color w:val="000000" w:themeColor="text1"/>
          <w:sz w:val="24"/>
          <w:szCs w:val="24"/>
        </w:rPr>
        <w:t xml:space="preserve"> the SecA transport associated chaperone/protease HtrA may regulate the balance of secreted peptidoglycan hydrolases </w:t>
      </w:r>
      <w:r w:rsidRPr="00321906">
        <w:rPr>
          <w:rFonts w:ascii="Times New Roman" w:hAnsi="Times New Roman" w:cs="Times New Roman"/>
          <w:color w:val="000000" w:themeColor="text1"/>
          <w:sz w:val="24"/>
          <w:szCs w:val="24"/>
        </w:rPr>
        <w:fldChar w:fldCharType="begin"/>
      </w:r>
      <w:r w:rsidRPr="00321906">
        <w:rPr>
          <w:rFonts w:ascii="Times New Roman" w:hAnsi="Times New Roman" w:cs="Times New Roman"/>
          <w:color w:val="000000" w:themeColor="text1"/>
          <w:sz w:val="24"/>
          <w:szCs w:val="24"/>
        </w:rPr>
        <w:instrText xml:space="preserve"> ADDIN ZOTERO_ITEM CSL_CITATION {"citationID":"4fo7g2c88","properties":{"formattedCitation":"(Tsui et al., 2011)","plainCitation":"(Tsui et al., 2011)"},"citationItems":[{"id":484,"uris":["http://zotero.org/users/944474/items/G8G68MUT"],"uri":["http://zotero.org/users/944474/items/G8G68MUT"],"itemData":{"id":484,"type":"article-journal","title":"Dynamic distribution of the SecA and SecY translocase subunits and septal localization of the HtrA surface chaperone/protease during Streptococcus pneumoniae D39 cell division","container-title":"mBio","volume":"2","issue":"5","abstract":"The Sec translocase pathway is the major route for protein transport across and into the cytoplasmic membrane of bacteria. Previous studies reported that the SecA translocase ATP-binding subunit and the cell surface HtrA protease/chaperone formed a single microdomain, termed \"ExPortal,\" in some species of ellipsoidal (ovococcus) Gram-positive bacteria, including Streptococcus pyogenes. To investigate the generality of microdomain formation, we determined the distribution of SecA and SecY by immunofluorescent microscopy in Streptococcus pneumoniae (pneumococcus), which is an ovococcus species evolutionarily distant from S. pyogenes. In the majority (≥ 75%) of exponentially growing cells, S. pneumoniae SecA (SecA (Spn)) and SecY (Spn) located dynamically in cells at different stages of division. In early divisional cells, both Sec subunits concentrated at equators, which are future sites of constriction. Further along in division, SecA(Spn) and SecY(Spn) remained localized at mid-cell septa. In late divisional cells, both Sec subunits were hemispherically distributed in the regions between septa and the future equators of dividing cells. In contrast, the HtrA (Spn) homologue localized to the equators and septa of most (&gt; 90%) dividing cells, whereas the SrtA(Spn) sortase located over the surface of cells in no discernable pattern. This dynamic pattern of Sec distribution was not perturbed by the absence of flotillin family proteins, but was largely absent in most cells in early stationary phase and in cls mutants lacking cardiolipin synthase. These results do not support the existence of an ExPortal microdomain in S. pneumoniae. Instead, the localization of the pneumococcal Sec translocase depends on the stage of cell division and anionic phospholipid content. IMPORTANCE: Two patterns of Sec translocase distribution, an ExPortal microdomain in certain ovococcus-shaped species like Streptococcus pyogenes and a spiral pattern in rod-shaped species like Bacillus subtilis, have been reported for Gram-positive bacteria. This study provides evidence for a third pattern of Sec localization in the ovococcus human pathogen Streptococcus pneumoniae. The SecA motor and SecY channel subunits of the Sec translocase localize dynamically to different places in the mid-cell region during the division cycle of exponentially growing, but not stationary-phase, S. pneumoniae. Unexpectedly, the S. pneumoniae HtrA (HtrA(Spn)) protease/chaperone principally localizes to cell equators and division septa. The coincident localization of SecA(Spn), SecY (Spn), and HtrA (Spn) to regions of peptidoglycan (PG) biosynthesis in unstressed, growing cells suggests that the pneumococcal Sec translocase directs assembly of the PG biosynthesis apparatus to regions where it is needed during division and that HtrA(Spn) may play a general role in quality control of proteins exported by the Sec translocase.","URL":"http://www.ncbi.nlm.nih.gov/pubmed/21990615","DOI":"10.1128/mBio.00202-11","note":"PMID: 21990615","journalAbbreviation":"MBio","author":[{"family":"Tsui","given":"Ho-Ching Tiffany"},{"family":"Keen","given":"Susan K"},{"family":"Sham","given":"Lok-To"},{"family":"Wayne","given":"Kyle J"},{"family":"Winkler","given":"Malcolm E"}],"issued":{"year":2011},"accessed":{"year":2012,"month":6,"day":18}}}],"schema":"https://github.com/citation-style-language/schema/raw/master/csl-citation.json"} </w:instrText>
      </w:r>
      <w:r w:rsidRPr="00321906">
        <w:rPr>
          <w:rFonts w:ascii="Times New Roman" w:hAnsi="Times New Roman" w:cs="Times New Roman"/>
          <w:color w:val="000000" w:themeColor="text1"/>
          <w:sz w:val="24"/>
          <w:szCs w:val="24"/>
        </w:rPr>
        <w:fldChar w:fldCharType="separate"/>
      </w:r>
      <w:r w:rsidRPr="00321906">
        <w:rPr>
          <w:rFonts w:ascii="Times New Roman" w:hAnsi="Times New Roman" w:cs="Times New Roman"/>
          <w:color w:val="000000" w:themeColor="text1"/>
          <w:sz w:val="24"/>
        </w:rPr>
        <w:t xml:space="preserve">(Tsui </w:t>
      </w:r>
      <w:r w:rsidRPr="00C521B3">
        <w:rPr>
          <w:rFonts w:ascii="Times New Roman" w:hAnsi="Times New Roman" w:cs="Times New Roman"/>
          <w:i/>
          <w:color w:val="000000" w:themeColor="text1"/>
          <w:sz w:val="24"/>
        </w:rPr>
        <w:t>et al</w:t>
      </w:r>
      <w:r w:rsidRPr="00321906">
        <w:rPr>
          <w:rFonts w:ascii="Times New Roman" w:hAnsi="Times New Roman" w:cs="Times New Roman"/>
          <w:color w:val="000000" w:themeColor="text1"/>
          <w:sz w:val="24"/>
        </w:rPr>
        <w:t>., 2011)</w:t>
      </w:r>
      <w:r w:rsidRPr="00321906">
        <w:rPr>
          <w:rFonts w:ascii="Times New Roman" w:hAnsi="Times New Roman" w:cs="Times New Roman"/>
          <w:color w:val="000000" w:themeColor="text1"/>
          <w:sz w:val="24"/>
          <w:szCs w:val="24"/>
        </w:rPr>
        <w:fldChar w:fldCharType="end"/>
      </w:r>
      <w:r w:rsidRPr="00321906">
        <w:rPr>
          <w:rFonts w:ascii="Times New Roman" w:hAnsi="Times New Roman" w:cs="Times New Roman"/>
          <w:color w:val="000000" w:themeColor="text1"/>
          <w:sz w:val="24"/>
          <w:szCs w:val="24"/>
        </w:rPr>
        <w:t xml:space="preserve">. </w:t>
      </w:r>
    </w:p>
    <w:p w:rsidR="00BC7652" w:rsidRPr="00321906" w:rsidRDefault="00BC7652" w:rsidP="00BC7652">
      <w:pPr>
        <w:tabs>
          <w:tab w:val="left" w:pos="937"/>
        </w:tabs>
        <w:autoSpaceDE w:val="0"/>
        <w:autoSpaceDN w:val="0"/>
        <w:adjustRightInd w:val="0"/>
        <w:spacing w:after="120" w:line="480" w:lineRule="auto"/>
        <w:jc w:val="both"/>
        <w:rPr>
          <w:rFonts w:ascii="Times New Roman" w:hAnsi="Times New Roman" w:cs="Times New Roman"/>
          <w:color w:val="000000" w:themeColor="text1"/>
          <w:sz w:val="24"/>
          <w:szCs w:val="24"/>
        </w:rPr>
      </w:pPr>
    </w:p>
    <w:p w:rsidR="00BC7652" w:rsidRPr="00321906" w:rsidRDefault="00BC7652" w:rsidP="00BC7652">
      <w:pPr>
        <w:tabs>
          <w:tab w:val="left" w:pos="1276"/>
        </w:tabs>
        <w:autoSpaceDE w:val="0"/>
        <w:autoSpaceDN w:val="0"/>
        <w:adjustRightInd w:val="0"/>
        <w:spacing w:after="120" w:line="480" w:lineRule="auto"/>
        <w:jc w:val="both"/>
        <w:rPr>
          <w:rFonts w:ascii="Times New Roman" w:hAnsi="Times New Roman" w:cs="Times New Roman"/>
          <w:color w:val="000000" w:themeColor="text1"/>
          <w:sz w:val="28"/>
          <w:szCs w:val="28"/>
        </w:rPr>
      </w:pPr>
      <w:r w:rsidRPr="00321906">
        <w:rPr>
          <w:rFonts w:ascii="Times New Roman" w:hAnsi="Times New Roman" w:cs="Times New Roman"/>
          <w:color w:val="000000" w:themeColor="text1"/>
          <w:sz w:val="28"/>
          <w:szCs w:val="28"/>
        </w:rPr>
        <w:t>1.7.3.2.3</w:t>
      </w:r>
      <w:r w:rsidRPr="00321906">
        <w:rPr>
          <w:rFonts w:ascii="Times New Roman" w:hAnsi="Times New Roman" w:cs="Times New Roman"/>
          <w:color w:val="000000" w:themeColor="text1"/>
          <w:sz w:val="28"/>
          <w:szCs w:val="28"/>
        </w:rPr>
        <w:tab/>
        <w:t>Regulation by teichoic acids</w:t>
      </w:r>
    </w:p>
    <w:p w:rsidR="00BC7652" w:rsidRPr="00321906" w:rsidRDefault="00BC7652" w:rsidP="00BC7652">
      <w:pPr>
        <w:autoSpaceDE w:val="0"/>
        <w:autoSpaceDN w:val="0"/>
        <w:adjustRightInd w:val="0"/>
        <w:spacing w:line="480" w:lineRule="auto"/>
        <w:jc w:val="both"/>
        <w:rPr>
          <w:rFonts w:ascii="Times New Roman" w:hAnsi="Times New Roman" w:cs="Times New Roman"/>
          <w:color w:val="000000" w:themeColor="text1"/>
          <w:sz w:val="24"/>
          <w:szCs w:val="24"/>
        </w:rPr>
      </w:pPr>
      <w:r w:rsidRPr="00321906">
        <w:rPr>
          <w:rFonts w:ascii="Times New Roman" w:hAnsi="Times New Roman" w:cs="Times New Roman"/>
          <w:color w:val="000000" w:themeColor="text1"/>
          <w:sz w:val="24"/>
          <w:szCs w:val="24"/>
        </w:rPr>
        <w:t xml:space="preserve">TAs can act as a scaffold for localisation and activation of peptidoglycan hydrolases. Alternatively they can coordinate peptidoglycan hydrolase activity through an avoidance mechanism. </w:t>
      </w:r>
      <w:r w:rsidRPr="00321906">
        <w:rPr>
          <w:rFonts w:ascii="Times New Roman" w:hAnsi="Times New Roman" w:cs="Times New Roman"/>
          <w:i/>
          <w:color w:val="000000" w:themeColor="text1"/>
          <w:sz w:val="24"/>
          <w:szCs w:val="24"/>
        </w:rPr>
        <w:t>L. monocytogenes</w:t>
      </w:r>
      <w:r w:rsidRPr="00321906">
        <w:rPr>
          <w:rFonts w:ascii="Times New Roman" w:hAnsi="Times New Roman" w:cs="Times New Roman"/>
          <w:color w:val="000000" w:themeColor="text1"/>
          <w:sz w:val="24"/>
          <w:szCs w:val="24"/>
        </w:rPr>
        <w:t xml:space="preserve"> Auto and EnlA of enterococci localise to the inner surface of the cell wall by binding perioplasmic LTAs </w:t>
      </w:r>
      <w:r w:rsidRPr="00321906">
        <w:rPr>
          <w:rFonts w:ascii="Times New Roman" w:hAnsi="Times New Roman" w:cs="Times New Roman"/>
          <w:color w:val="000000" w:themeColor="text1"/>
          <w:sz w:val="24"/>
          <w:szCs w:val="24"/>
        </w:rPr>
        <w:fldChar w:fldCharType="begin"/>
      </w:r>
      <w:r w:rsidRPr="00321906">
        <w:rPr>
          <w:rFonts w:ascii="Times New Roman" w:hAnsi="Times New Roman" w:cs="Times New Roman"/>
          <w:color w:val="000000" w:themeColor="text1"/>
          <w:sz w:val="24"/>
          <w:szCs w:val="24"/>
        </w:rPr>
        <w:instrText xml:space="preserve"> ADDIN ZOTERO_ITEM CSL_CITATION {"citationID":"1ahv38c1uh","properties":{"formattedCitation":"(Matias and Beveridge, 2008; Bublitz et al., 2009; Malinicova et al., 2012)","plainCitation":"(Matias and Beveridge, 2008; Bublitz et al., 2009; Malinicova et al., 2012)"},"citationItems":[{"id":486,"uris":["http://zotero.org/users/944474/items/6RBFTGTI"],"uri":["http://zotero.org/users/944474/items/6RBFTGTI"],"itemData":{"id":486,"type":"article-journal","title":"Lipoteichoic acid is a major component of the Bacillus subtilis periplasm","container-title":"Journal of bacteriology","page":"7414-7418","volume":"190","issue":"22","abstract":"Cryo-electron microscopy (cryo-EM) of frozen-hydrated specimens allows high-resolution observation of structures in optimally preserved samples. In gram-positive bacteria, this method reveals the presence of a periplasmic space between the plasma membrane and an often differentiated cell wall matrix. Since virtually nothing is known about the composition of its constituent matter (i.e., the periplasm), it is still unclear what structures (or mechanism) sustain a gram-positive periplasmic space. Here we have used cryo-EM of frozen-hydrated sections in combination with various labels to probe the model gram-positive organism Bacillus subtilis for major periplasmic components. Incubation of cells with positively charged gold nanoparticles showed almost similar levels of gold binding to the periplasm and the cell wall. On cells whose cell walls were enzymatically hydrolyzed (i.e., on protoplasts), a surface diffuse layer extending approximately 30 nm from the membrane was revealed. The thickness and density of this layer were not significantly altered after treatment with a nonspecific protease, whereas it was labeled with anti-lipoteichoic acid (LTA) antibodies conjugated to nanogold. Further, the LTA layer spans most of the thickness of the periplasmic space, which strongly suggests that LTA is a major component of the B. subtilis periplasm.","DOI":"10.1128/JB.00581-08","note":"PMID: 18790869","journalAbbreviation":"J. Bacteriol.","author":[{"family":"Matias","given":"Valério R F"},{"family":"Beveridge","given":"Terry J"}],"issued":{"year":2008,"month":11},"accessed":{"year":2012,"month":6,"day":18},"page-first":"7414"}},{"id":480,"uris":["http://zotero.org/users/944474/items/IQF62IZD"],"uri":["http://zotero.org/users/944474/items/IQF62IZD"],"itemData":{"id":480,"type":"article-journal","title":"Structural basis for autoinhibition and activation of Auto, a virulence-associated peptidoglycan hydrolase of Listeria monocytogenes","container-title":"Molecular microbiology","page":"1509-1522","volume":"71","issue":"6","abstract":"During a bacterial infection, each successive step is orchestrated by a dedicated set of virulence factors. In Gram-positive bacteria, the presentation or release of such factors is crucially dependent on the continual remodelling of the cell wall. We have investigated the autolysin or peptidoglycan hydrolase Auto (Lmo1076) from the human pathogen Listeria monocytogenes to structurally and biochemically underpin its role in host cell invasion. We demonstrate that Auto is an N-acetylglucosaminidase, that it is autoinhibited when newly secreted but activated by proteolytic cleavage, that it has an acidic pH optimum and that it preferentially cleaves acetylated over de-acetylated peptidoglycan. The crystal structure of Auto, the first for glycoside hydrolase family 73, and the first for a listerial autolysin, indicates that autoinhibition is due to an N-terminal alpha-helix unique to Auto that physically blocks the substrate-binding cleft. We identify Glu122 and Glu156 as the two catalytically essential carboxylate groups. The physical properties of Auto as well as its localization to lipoteichoic acid by its four C-terminal GW modules imply cell wall degradation by Auto to be highly co-ordinated. Its spatio-temporally controlled activation and localized activity in an acidified environment indicate that it facilitates remodelling of the cell wall and may be involved in co-ordinating the release of virulence factors at specific stages of an infection.","DOI":"10.1111/j.1365-2958.2009.06619.x","note":"PMID: 19210622","journalAbbreviation":"Mol. Microbiol.","author":[{"family":"Bublitz","given":"Maike"},{"family":"Polle","given":"Lilia"},{"family":"Holland","given":"Christin"},{"family":"Heinz","given":"Dirk W"},{"family":"Nimtz","given":"Manfred"},{"family":"Schubert","given":"Wolf-Dieter"}],"issued":{"year":2009,"month":3},"accessed":{"year":2012,"month":6,"day":18},"page-first":"1509"}},{"id":487,"uris":["http://zotero.org/users/944474/items/7XX5WZ2N"],"uri":["http://zotero.org/users/944474/items/7XX5WZ2N"],"itemData":{"id":487,"type":"article-journal","title":"Peptidoglycan hydrolase enterolysin A recognizes lipoteichoic acid chains in the cell walls of sensitive bacteria","container-title":"Protein and peptide letters","abstract":"C-terminal domain of peptidoglycan hydrolase enterolysin A (EnlA) is involved in specific recognition and binding to the target cell envelopes and represents true cell wall binding (CWB) domain. Sensitivity/resistance to EnlA is dependent on binding ability/disability of its CWB domain. We assume that main mechanism of resistance against EnlA is absence of the specific receptor on the cell surface, which is necessary for binding of the enzyme molecule. Using competitive and enzymatic assays we have uncovered the chemical nature of the EnlA receptor, which is a lipoteichoic acid.","URL":"http://www.ncbi.nlm.nih.gov/pubmed/22486619","note":"PMID: 22486619","author":[{"family":"Malinicova","given":"Lenka"},{"family":"Dubikova","given":"Katarina"},{"family":"Piknova","given":"Maria"},{"family":"Pristas","given":"Peter"},{"family":"Javorsky","given":"Peter"}],"issued":{"year":2012,"month":4,"day":9},"accessed":{"year":2012,"month":6,"day":18}}}],"schema":"https://github.com/citation-style-language/schema/raw/master/csl-citation.json"} </w:instrText>
      </w:r>
      <w:r w:rsidRPr="00321906">
        <w:rPr>
          <w:rFonts w:ascii="Times New Roman" w:hAnsi="Times New Roman" w:cs="Times New Roman"/>
          <w:color w:val="000000" w:themeColor="text1"/>
          <w:sz w:val="24"/>
          <w:szCs w:val="24"/>
        </w:rPr>
        <w:fldChar w:fldCharType="separate"/>
      </w:r>
      <w:r w:rsidRPr="00321906">
        <w:rPr>
          <w:rFonts w:ascii="Times New Roman" w:hAnsi="Times New Roman" w:cs="Times New Roman"/>
          <w:color w:val="000000" w:themeColor="text1"/>
          <w:sz w:val="24"/>
        </w:rPr>
        <w:t xml:space="preserve">(Matias and Beveridge, 2008; Bublitz </w:t>
      </w:r>
      <w:r w:rsidRPr="00C521B3">
        <w:rPr>
          <w:rFonts w:ascii="Times New Roman" w:hAnsi="Times New Roman" w:cs="Times New Roman"/>
          <w:i/>
          <w:color w:val="000000" w:themeColor="text1"/>
          <w:sz w:val="24"/>
        </w:rPr>
        <w:t>et al</w:t>
      </w:r>
      <w:r w:rsidRPr="00321906">
        <w:rPr>
          <w:rFonts w:ascii="Times New Roman" w:hAnsi="Times New Roman" w:cs="Times New Roman"/>
          <w:color w:val="000000" w:themeColor="text1"/>
          <w:sz w:val="24"/>
        </w:rPr>
        <w:t xml:space="preserve">., 2009; Malinicova </w:t>
      </w:r>
      <w:r w:rsidRPr="00C521B3">
        <w:rPr>
          <w:rFonts w:ascii="Times New Roman" w:hAnsi="Times New Roman" w:cs="Times New Roman"/>
          <w:i/>
          <w:color w:val="000000" w:themeColor="text1"/>
          <w:sz w:val="24"/>
        </w:rPr>
        <w:t>et al</w:t>
      </w:r>
      <w:r w:rsidRPr="00321906">
        <w:rPr>
          <w:rFonts w:ascii="Times New Roman" w:hAnsi="Times New Roman" w:cs="Times New Roman"/>
          <w:color w:val="000000" w:themeColor="text1"/>
          <w:sz w:val="24"/>
        </w:rPr>
        <w:t>., 2012)</w:t>
      </w:r>
      <w:r w:rsidRPr="00321906">
        <w:rPr>
          <w:rFonts w:ascii="Times New Roman" w:hAnsi="Times New Roman" w:cs="Times New Roman"/>
          <w:color w:val="000000" w:themeColor="text1"/>
          <w:sz w:val="24"/>
          <w:szCs w:val="24"/>
        </w:rPr>
        <w:fldChar w:fldCharType="end"/>
      </w:r>
      <w:r w:rsidRPr="00321906">
        <w:rPr>
          <w:rFonts w:ascii="Times New Roman" w:hAnsi="Times New Roman" w:cs="Times New Roman"/>
          <w:color w:val="000000" w:themeColor="text1"/>
          <w:sz w:val="24"/>
          <w:szCs w:val="24"/>
        </w:rPr>
        <w:t>. Choline binding</w:t>
      </w:r>
      <w:r>
        <w:rPr>
          <w:rFonts w:ascii="Times New Roman" w:hAnsi="Times New Roman" w:cs="Times New Roman"/>
          <w:color w:val="000000"/>
          <w:sz w:val="24"/>
          <w:szCs w:val="24"/>
        </w:rPr>
        <w:t xml:space="preserve"> domains (ChBD) are common in proteins of Gram-</w:t>
      </w:r>
      <w:r w:rsidRPr="00321906">
        <w:rPr>
          <w:rFonts w:ascii="Times New Roman" w:hAnsi="Times New Roman" w:cs="Times New Roman"/>
          <w:color w:val="000000" w:themeColor="text1"/>
          <w:sz w:val="24"/>
          <w:szCs w:val="24"/>
        </w:rPr>
        <w:t xml:space="preserve">positive bacteria and target proteins to phosphorylcholine moeities present in the TAs of these species </w:t>
      </w:r>
      <w:r w:rsidRPr="00321906">
        <w:rPr>
          <w:rFonts w:ascii="Times New Roman" w:hAnsi="Times New Roman" w:cs="Times New Roman"/>
          <w:color w:val="000000" w:themeColor="text1"/>
          <w:sz w:val="24"/>
          <w:szCs w:val="24"/>
        </w:rPr>
        <w:fldChar w:fldCharType="begin"/>
      </w:r>
      <w:r w:rsidRPr="00321906">
        <w:rPr>
          <w:rFonts w:ascii="Times New Roman" w:hAnsi="Times New Roman" w:cs="Times New Roman"/>
          <w:color w:val="000000" w:themeColor="text1"/>
          <w:sz w:val="24"/>
          <w:szCs w:val="24"/>
        </w:rPr>
        <w:instrText xml:space="preserve"> ADDIN ZOTERO_ITEM CSL_CITATION {"citationID":"mhftmq901","properties":{"formattedCitation":"{\\rtf (Fern\\uc0\\u225{}ndez-Tornero et al., 2001)}","plainCitation":"(Fernández-Tornero et al., 2001)"},"citationItems":[{"id":495,"uris":["http://zotero.org/users/944474/items/2747GVZQ"],"uri":["http://zotero.org/users/944474/items/2747GVZQ"],"itemData":{"id":495,"type":"article-journal","title":"A novel solenoid fold in the cell wall anchoring domain of the pneumococcal virulence factor LytA","container-title":"Nature structural biology","page":"1020-1024","volume":"8","issue":"12","abstract":"Choline binding proteins are virulence determinants present in several Gram-positive bacteria. Because anchorage of these proteins to the cell wall through their choline binding domain is essential for bacterial virulence, their release from the cell surface is considered a powerful target for a weapon against these pathogens. The first crystal structure of a choline binding domain, from the toxin-releasing enzyme pneumococcal major autolysin (LytA), reveals a novel solenoid fold consisting exclusively of beta-hairpins that stack to form a left-handed superhelix. This unique structure is maintained by choline molecules at the hydrophobic interface of consecutive hairpins and may be present in other choline binding proteins that share high homology to the repeated motif of the domain.","DOI":"10.1038/nsb724","note":"PMID: 11694890","journalAbbreviation":"Nat. Struct. Biol.","author":[{"family":"Fernández-Tornero","given":"C"},{"family":"López","given":"R"},{"family":"García","given":"E"},{"family":"Giménez-Gallego","given":"G"},{"family":"Romero","given":"A"}],"issued":{"year":2001,"month":12},"accessed":{"year":2012,"month":6,"day":18},"page-first":"1020"}}],"schema":"https://github.com/citation-style-language/schema/raw/master/csl-citation.json"} </w:instrText>
      </w:r>
      <w:r w:rsidRPr="00321906">
        <w:rPr>
          <w:rFonts w:ascii="Times New Roman" w:hAnsi="Times New Roman" w:cs="Times New Roman"/>
          <w:color w:val="000000" w:themeColor="text1"/>
          <w:sz w:val="24"/>
          <w:szCs w:val="24"/>
        </w:rPr>
        <w:fldChar w:fldCharType="separate"/>
      </w:r>
      <w:r w:rsidRPr="00321906">
        <w:rPr>
          <w:rFonts w:ascii="Times New Roman" w:hAnsi="Times New Roman" w:cs="Times New Roman"/>
          <w:color w:val="000000" w:themeColor="text1"/>
          <w:sz w:val="24"/>
          <w:szCs w:val="24"/>
        </w:rPr>
        <w:t xml:space="preserve">(Fernández-Tornero </w:t>
      </w:r>
      <w:r w:rsidRPr="00C521B3">
        <w:rPr>
          <w:rFonts w:ascii="Times New Roman" w:hAnsi="Times New Roman" w:cs="Times New Roman"/>
          <w:i/>
          <w:color w:val="000000" w:themeColor="text1"/>
          <w:sz w:val="24"/>
          <w:szCs w:val="24"/>
        </w:rPr>
        <w:t>et al</w:t>
      </w:r>
      <w:r w:rsidRPr="00321906">
        <w:rPr>
          <w:rFonts w:ascii="Times New Roman" w:hAnsi="Times New Roman" w:cs="Times New Roman"/>
          <w:color w:val="000000" w:themeColor="text1"/>
          <w:sz w:val="24"/>
          <w:szCs w:val="24"/>
        </w:rPr>
        <w:t>., 2001)</w:t>
      </w:r>
      <w:r w:rsidRPr="00321906">
        <w:rPr>
          <w:rFonts w:ascii="Times New Roman" w:hAnsi="Times New Roman" w:cs="Times New Roman"/>
          <w:color w:val="000000" w:themeColor="text1"/>
          <w:sz w:val="24"/>
          <w:szCs w:val="24"/>
        </w:rPr>
        <w:fldChar w:fldCharType="end"/>
      </w:r>
      <w:r w:rsidRPr="00321906">
        <w:rPr>
          <w:rFonts w:ascii="Times New Roman" w:hAnsi="Times New Roman" w:cs="Times New Roman"/>
          <w:color w:val="000000" w:themeColor="text1"/>
          <w:sz w:val="24"/>
          <w:szCs w:val="24"/>
        </w:rPr>
        <w:t xml:space="preserve"> </w:t>
      </w:r>
      <w:r w:rsidRPr="00321906">
        <w:rPr>
          <w:rFonts w:ascii="Times New Roman" w:hAnsi="Times New Roman" w:cs="Times New Roman"/>
          <w:i/>
          <w:color w:val="000000" w:themeColor="text1"/>
          <w:sz w:val="24"/>
          <w:szCs w:val="24"/>
        </w:rPr>
        <w:t>S. pneumoniae</w:t>
      </w:r>
      <w:r w:rsidRPr="00321906">
        <w:rPr>
          <w:rFonts w:ascii="Times New Roman" w:hAnsi="Times New Roman" w:cs="Times New Roman"/>
          <w:color w:val="000000" w:themeColor="text1"/>
          <w:sz w:val="24"/>
          <w:szCs w:val="24"/>
        </w:rPr>
        <w:t xml:space="preserve"> autolysins containing ChBDs include LytA, LytB, LytC, CbpD and Pce </w:t>
      </w:r>
      <w:r w:rsidRPr="00321906">
        <w:rPr>
          <w:rFonts w:ascii="Times New Roman" w:hAnsi="Times New Roman" w:cs="Times New Roman"/>
          <w:color w:val="000000" w:themeColor="text1"/>
          <w:sz w:val="24"/>
          <w:szCs w:val="24"/>
        </w:rPr>
        <w:fldChar w:fldCharType="begin"/>
      </w:r>
      <w:r w:rsidRPr="00321906">
        <w:rPr>
          <w:rFonts w:ascii="Times New Roman" w:hAnsi="Times New Roman" w:cs="Times New Roman"/>
          <w:color w:val="000000" w:themeColor="text1"/>
          <w:sz w:val="24"/>
          <w:szCs w:val="24"/>
        </w:rPr>
        <w:instrText xml:space="preserve"> ADDIN ZOTERO_ITEM CSL_CITATION {"citationID":"gebks8h6m","properties":{"formattedCitation":"{\\rtf (L\\uc0\\u243{}pez and Garc\\uc0\\u305{}\\uc0\\u769{}a, 2004; Eldholm et al., 2010)}","plainCitation":"(López and Garcı́a, 2004; Eldholm et al., 2010)"},"citationItems":[{"id":500,"uris":["http://zotero.org/users/944474/items/T8E5MHP9"],"uri":["http://zotero.org/users/944474/items/T8E5MHP9"],"itemData":{"id":500,"type":"article-journal","title":"Recent trends on the molecular biology of pneumococcal capsules, lytic enzymes, and bacteriophage","container-title":"FEMS Microbiology Reviews","page":"553-580","volume":"28","issue":"5","abstract":"Streptococcus pneumoniae has re-emerged as a major cause of morbidity and mortality throughout the world and its continuous increase in antimicrobial resistance is rapidly becoming a leading cause of concern for public health. This review is focussed on the analysis of recent insights on the study of capsular polysaccharide biosynthesis, and cell wall (murein) hydrolases, two fundamental pneumococcal virulence factors. Besides, we have also re-evaluated the molecular biology of the pneumococcal phage, their possible role in pathogenicity and in the shaping of natural populations of S. pneumoniae. Precise knowledge of the topics reviewed here should facilitate the rationale to move towards the design of alternative ways to combat pneumococcal disease.","DOI":"10.1016/j.femsre.2004.05.002","author":[{"family":"López","given":"Rubens"},{"family":"Garcı́a","given":"Ernesto"}],"issued":{"year":2004,"month":11},"accessed":{"year":2012,"month":6,"day":18},"page-first":"553"}},{"id":503,"uris":["http://zotero.org/users/944474/items/4VP4WCIS"],"uri":["http://zotero.org/users/944474/items/4VP4WCIS"],"itemData":{"id":503,"type":"article-journal","title":"Pneumococcal CbpD is a murein hydrolase that requires a dual cell envelope binding specificity to kill target cells during fratricide","container-title":"Molecular microbiology","page":"905-917","volume":"76","issue":"4","abstract":"Pneumococci that are competent for natural genetic transformation express a number of proteins involved in binding, uptake, translocation and recombination of DNA. In addition, they attack and lyse non-competent sister cells present in the same environment. This phenomenon has been termed fratricide. The key effector of pneumococcal fratricide is CbpD, a secreted protein encompassing an N-terminal CHAP domain, two SH3b domains and a C-terminal choline-binding domain (CBD). CbpD is believed to degrade the cell wall of target cells, but experimental evidence supporting this hypothesis has been lacking. Here, we show that CbpD indeed has muralytic activity, and that this activity requires functional CBD and SH3b domains. To better understand the critical role played by the non-catalytic C-terminal region of CbpD, various translational fusions were constructed between the CBD and SH3b domains and green fluorescent protein (GFP). The results showed that the SH3b domains specifically recognize and bind peptidoglycan, while the CBD domain functions as a localization signal that directs CbpD to the septal region of the pneumococcal cell. Intriguingly, transmission electron microscopy analysis revealed that target cells attacked by CbpD ruptures at the septal region, in accordance with the binding specificity displayed by the CBD domain.","DOI":"10.1111/j.1365-2958.2010.07143.x","note":"PMID: 20384696","journalAbbreviation":"Mol. Microbiol.","author":[{"family":"Eldholm","given":"Vegard"},{"family":"Johnsborg","given":"Ola"},{"family":"Straume","given":"Daniel"},{"family":"Ohnstad","given":"Hilde Solheim"},{"family":"Berg","given":"Kari Helene"},{"family":"Hermoso","given":"Juan A"},{"family":"Håvarstein","given":"Leiv Sigve"}],"issued":{"year":2010,"month":5},"accessed":{"year":2012,"month":6,"day":18},"page-first":"905"}}],"schema":"https://github.com/citation-style-language/schema/raw/master/csl-citation.json"} </w:instrText>
      </w:r>
      <w:r w:rsidRPr="00321906">
        <w:rPr>
          <w:rFonts w:ascii="Times New Roman" w:hAnsi="Times New Roman" w:cs="Times New Roman"/>
          <w:color w:val="000000" w:themeColor="text1"/>
          <w:sz w:val="24"/>
          <w:szCs w:val="24"/>
        </w:rPr>
        <w:fldChar w:fldCharType="separate"/>
      </w:r>
      <w:r w:rsidRPr="00321906">
        <w:rPr>
          <w:rFonts w:ascii="Times New Roman" w:hAnsi="Times New Roman" w:cs="Times New Roman"/>
          <w:color w:val="000000" w:themeColor="text1"/>
          <w:sz w:val="24"/>
          <w:szCs w:val="24"/>
        </w:rPr>
        <w:t xml:space="preserve">(López and Garcı́a, 2004; Eldholm </w:t>
      </w:r>
      <w:r w:rsidRPr="00C521B3">
        <w:rPr>
          <w:rFonts w:ascii="Times New Roman" w:hAnsi="Times New Roman" w:cs="Times New Roman"/>
          <w:i/>
          <w:color w:val="000000" w:themeColor="text1"/>
          <w:sz w:val="24"/>
          <w:szCs w:val="24"/>
        </w:rPr>
        <w:t>et al</w:t>
      </w:r>
      <w:r w:rsidRPr="00321906">
        <w:rPr>
          <w:rFonts w:ascii="Times New Roman" w:hAnsi="Times New Roman" w:cs="Times New Roman"/>
          <w:color w:val="000000" w:themeColor="text1"/>
          <w:sz w:val="24"/>
          <w:szCs w:val="24"/>
        </w:rPr>
        <w:t>., 2010)</w:t>
      </w:r>
      <w:r w:rsidRPr="00321906">
        <w:rPr>
          <w:rFonts w:ascii="Times New Roman" w:hAnsi="Times New Roman" w:cs="Times New Roman"/>
          <w:color w:val="000000" w:themeColor="text1"/>
          <w:sz w:val="24"/>
          <w:szCs w:val="24"/>
        </w:rPr>
        <w:fldChar w:fldCharType="end"/>
      </w:r>
      <w:r w:rsidRPr="00321906">
        <w:rPr>
          <w:rFonts w:ascii="Times New Roman" w:hAnsi="Times New Roman" w:cs="Times New Roman"/>
          <w:i/>
          <w:color w:val="000000" w:themeColor="text1"/>
          <w:sz w:val="24"/>
          <w:szCs w:val="24"/>
        </w:rPr>
        <w:t xml:space="preserve">. </w:t>
      </w:r>
      <w:r w:rsidRPr="00321906">
        <w:rPr>
          <w:rFonts w:ascii="Times New Roman" w:hAnsi="Times New Roman" w:cs="Times New Roman"/>
          <w:color w:val="000000" w:themeColor="text1"/>
          <w:sz w:val="24"/>
          <w:szCs w:val="24"/>
        </w:rPr>
        <w:t xml:space="preserve">Choline binding may serve a dual function by activating hydrolase activity at the appropriate subcellular </w:t>
      </w:r>
      <w:r w:rsidRPr="00321906">
        <w:rPr>
          <w:rFonts w:ascii="Times New Roman" w:hAnsi="Times New Roman" w:cs="Times New Roman"/>
          <w:color w:val="000000" w:themeColor="text1"/>
          <w:sz w:val="24"/>
          <w:szCs w:val="24"/>
        </w:rPr>
        <w:lastRenderedPageBreak/>
        <w:t xml:space="preserve">localisation. </w:t>
      </w:r>
      <w:r w:rsidRPr="00321906">
        <w:rPr>
          <w:rFonts w:ascii="Times New Roman" w:hAnsi="Times New Roman" w:cs="Times New Roman"/>
          <w:i/>
          <w:color w:val="000000" w:themeColor="text1"/>
          <w:sz w:val="24"/>
          <w:szCs w:val="24"/>
        </w:rPr>
        <w:t xml:space="preserve">S. pneumoniae </w:t>
      </w:r>
      <w:r w:rsidRPr="00321906">
        <w:rPr>
          <w:rFonts w:ascii="Times New Roman" w:hAnsi="Times New Roman" w:cs="Times New Roman"/>
          <w:color w:val="000000" w:themeColor="text1"/>
          <w:sz w:val="24"/>
          <w:szCs w:val="24"/>
        </w:rPr>
        <w:t xml:space="preserve">LytA initiates conversion from a low activity monomer to a highly active ‘boomerang’ conformation dimer </w:t>
      </w:r>
      <w:r w:rsidRPr="00321906">
        <w:rPr>
          <w:rFonts w:ascii="Times New Roman" w:hAnsi="Times New Roman" w:cs="Times New Roman"/>
          <w:color w:val="000000" w:themeColor="text1"/>
          <w:sz w:val="24"/>
          <w:szCs w:val="24"/>
        </w:rPr>
        <w:fldChar w:fldCharType="begin"/>
      </w:r>
      <w:r w:rsidRPr="00321906">
        <w:rPr>
          <w:rFonts w:ascii="Times New Roman" w:hAnsi="Times New Roman" w:cs="Times New Roman"/>
          <w:color w:val="000000" w:themeColor="text1"/>
          <w:sz w:val="24"/>
          <w:szCs w:val="24"/>
        </w:rPr>
        <w:instrText xml:space="preserve"> ADDIN ZOTERO_ITEM CSL_CITATION {"citationID":"24sjn0rhb7","properties":{"formattedCitation":"(Romero et al., 2007)","plainCitation":"(Romero et al., 2007)"},"citationItems":[{"id":496,"uris":["http://zotero.org/users/944474/items/WZVNDZVW"],"uri":["http://zotero.org/users/944474/items/WZVNDZVW"],"itemData":{"id":496,"type":"article-journal","title":"Key role of amino acid residues in the dimerization and catalytic activation of the autolysin LytA, an important virulence factor in Streptococcus pneumoniae","container-title":"The Journal of biological chemistry","page":"17729-17737","volume":"282","issue":"24","abstract":"LytA, the main autolysin of Streptococcus pneumoniae, was the first member of the bacterial N-acetylmuramoyl-l-alanine amidase (NAM-amidase) family of proteins to be well characterized. This autolysin degrades the peptidoglycan bonds of pneumococcal cell walls after anchoring to the choline residues of the cell wall teichoic acids via its choline-binding module (ChBM). The latter is composed of seven repeats (ChBRs) of approximately 20 amino acid residues. The translation product of the lytA gene is the low-activity E-form of LytA (a monomer), which can be \"converted\" (activated) in vitro by choline into the fully active C-form at low temperature. The C-form is a homodimer with a boomerang-like shape. To study the structural requirements for the monomer-to-dimer modification and to clarify whether \"conversion\" is synonymous with dimerization, the biochemical consequences of replacing four key amino acid residues of ChBR6 and ChBR7 (the repeats involved in dimer formation) were determined. The results obtained with a collection of 21 mutated NAM-amidases indicate that Ile-315 is a key amino acid residue in both LytA activity and folding. Amino acids with a marginal position in the solenoid structure of the ChBM were of minor influence in dimer stability; neither the size, polarity, nor aromatic nature of the replacement amino acids affected LytA activity. In contrast, truncated proteins were drastically impaired in their activity and conversion capacity. The results indicate that dimerization and conversion are different processes, but they do not answer the questions of whether conversion can only be achieved after a dimer formation step.","DOI":"10.1074/jbc.M611795200","note":"PMID: 17439951","journalAbbreviation":"J. Biol. Chem.","author":[{"family":"Romero","given":"Patricia"},{"family":"López","given":"Rubens"},{"family":"García","given":"Ernesto"}],"issued":{"year":2007,"month":6,"day":15},"accessed":{"year":2012,"month":6,"day":18},"page-first":"17729"}}],"schema":"https://github.com/citation-style-language/schema/raw/master/csl-citation.json"} </w:instrText>
      </w:r>
      <w:r w:rsidRPr="00321906">
        <w:rPr>
          <w:rFonts w:ascii="Times New Roman" w:hAnsi="Times New Roman" w:cs="Times New Roman"/>
          <w:color w:val="000000" w:themeColor="text1"/>
          <w:sz w:val="24"/>
          <w:szCs w:val="24"/>
        </w:rPr>
        <w:fldChar w:fldCharType="separate"/>
      </w:r>
      <w:r w:rsidRPr="00321906">
        <w:rPr>
          <w:rFonts w:ascii="Times New Roman" w:hAnsi="Times New Roman" w:cs="Times New Roman"/>
          <w:color w:val="000000" w:themeColor="text1"/>
          <w:sz w:val="24"/>
        </w:rPr>
        <w:t xml:space="preserve">(Romero </w:t>
      </w:r>
      <w:r w:rsidRPr="00C521B3">
        <w:rPr>
          <w:rFonts w:ascii="Times New Roman" w:hAnsi="Times New Roman" w:cs="Times New Roman"/>
          <w:i/>
          <w:color w:val="000000" w:themeColor="text1"/>
          <w:sz w:val="24"/>
        </w:rPr>
        <w:t>et al</w:t>
      </w:r>
      <w:r w:rsidRPr="00321906">
        <w:rPr>
          <w:rFonts w:ascii="Times New Roman" w:hAnsi="Times New Roman" w:cs="Times New Roman"/>
          <w:color w:val="000000" w:themeColor="text1"/>
          <w:sz w:val="24"/>
        </w:rPr>
        <w:t>., 2007)</w:t>
      </w:r>
      <w:r w:rsidRPr="00321906">
        <w:rPr>
          <w:rFonts w:ascii="Times New Roman" w:hAnsi="Times New Roman" w:cs="Times New Roman"/>
          <w:color w:val="000000" w:themeColor="text1"/>
          <w:sz w:val="24"/>
          <w:szCs w:val="24"/>
        </w:rPr>
        <w:fldChar w:fldCharType="end"/>
      </w:r>
      <w:r w:rsidRPr="00321906">
        <w:rPr>
          <w:rFonts w:ascii="Times New Roman" w:hAnsi="Times New Roman" w:cs="Times New Roman"/>
          <w:color w:val="000000" w:themeColor="text1"/>
          <w:sz w:val="24"/>
          <w:szCs w:val="24"/>
        </w:rPr>
        <w:t xml:space="preserve">. </w:t>
      </w:r>
    </w:p>
    <w:p w:rsidR="00BC7652" w:rsidRPr="00321906" w:rsidRDefault="00BC7652" w:rsidP="00BC7652">
      <w:pPr>
        <w:autoSpaceDE w:val="0"/>
        <w:autoSpaceDN w:val="0"/>
        <w:adjustRightInd w:val="0"/>
        <w:spacing w:line="480" w:lineRule="auto"/>
        <w:jc w:val="both"/>
        <w:rPr>
          <w:rFonts w:ascii="Times New Roman" w:hAnsi="Times New Roman" w:cs="Times New Roman"/>
          <w:color w:val="000000" w:themeColor="text1"/>
          <w:sz w:val="24"/>
          <w:szCs w:val="24"/>
        </w:rPr>
      </w:pPr>
      <w:r w:rsidRPr="00321906">
        <w:rPr>
          <w:rFonts w:ascii="Times New Roman" w:hAnsi="Times New Roman" w:cs="Times New Roman"/>
          <w:color w:val="000000" w:themeColor="text1"/>
          <w:sz w:val="24"/>
          <w:szCs w:val="24"/>
        </w:rPr>
        <w:t xml:space="preserve">Several peptidoglycan hydrolases of </w:t>
      </w:r>
      <w:r w:rsidRPr="00321906">
        <w:rPr>
          <w:rFonts w:ascii="Times New Roman" w:hAnsi="Times New Roman" w:cs="Times New Roman"/>
          <w:i/>
          <w:color w:val="000000" w:themeColor="text1"/>
          <w:sz w:val="24"/>
          <w:szCs w:val="24"/>
        </w:rPr>
        <w:t>L. lactis</w:t>
      </w:r>
      <w:r w:rsidRPr="00321906">
        <w:rPr>
          <w:rFonts w:ascii="Times New Roman" w:hAnsi="Times New Roman" w:cs="Times New Roman"/>
          <w:color w:val="000000" w:themeColor="text1"/>
          <w:sz w:val="24"/>
          <w:szCs w:val="24"/>
        </w:rPr>
        <w:t>,</w:t>
      </w:r>
      <w:r w:rsidRPr="00321906">
        <w:rPr>
          <w:rFonts w:ascii="Times New Roman" w:hAnsi="Times New Roman" w:cs="Times New Roman"/>
          <w:i/>
          <w:color w:val="000000" w:themeColor="text1"/>
          <w:sz w:val="24"/>
          <w:szCs w:val="24"/>
        </w:rPr>
        <w:t xml:space="preserve"> L. monocytogenes</w:t>
      </w:r>
      <w:r w:rsidRPr="00321906">
        <w:rPr>
          <w:rFonts w:ascii="Times New Roman" w:hAnsi="Times New Roman" w:cs="Times New Roman"/>
          <w:color w:val="000000" w:themeColor="text1"/>
          <w:sz w:val="24"/>
          <w:szCs w:val="24"/>
        </w:rPr>
        <w:t>,</w:t>
      </w:r>
      <w:r w:rsidRPr="00321906">
        <w:rPr>
          <w:rFonts w:ascii="Times New Roman" w:hAnsi="Times New Roman" w:cs="Times New Roman"/>
          <w:i/>
          <w:color w:val="000000" w:themeColor="text1"/>
          <w:sz w:val="24"/>
          <w:szCs w:val="24"/>
        </w:rPr>
        <w:t xml:space="preserve"> E. faecalis</w:t>
      </w:r>
      <w:r w:rsidRPr="00321906">
        <w:rPr>
          <w:rFonts w:ascii="Times New Roman" w:hAnsi="Times New Roman" w:cs="Times New Roman"/>
          <w:color w:val="000000" w:themeColor="text1"/>
          <w:sz w:val="24"/>
          <w:szCs w:val="24"/>
        </w:rPr>
        <w:t xml:space="preserve"> and </w:t>
      </w:r>
      <w:r w:rsidRPr="00321906">
        <w:rPr>
          <w:rFonts w:ascii="Times New Roman" w:hAnsi="Times New Roman" w:cs="Times New Roman"/>
          <w:i/>
          <w:color w:val="000000" w:themeColor="text1"/>
          <w:sz w:val="24"/>
          <w:szCs w:val="24"/>
        </w:rPr>
        <w:t>S. aureus</w:t>
      </w:r>
      <w:r w:rsidRPr="00321906">
        <w:rPr>
          <w:rFonts w:ascii="Times New Roman" w:hAnsi="Times New Roman" w:cs="Times New Roman"/>
          <w:color w:val="000000" w:themeColor="text1"/>
          <w:sz w:val="24"/>
          <w:szCs w:val="24"/>
        </w:rPr>
        <w:t xml:space="preserve"> bind glycan strands via LysM domains. LysM</w:t>
      </w:r>
      <w:r w:rsidRPr="00321906">
        <w:rPr>
          <w:rFonts w:ascii="Times New Roman" w:hAnsi="Times New Roman" w:cs="Times New Roman"/>
          <w:i/>
          <w:color w:val="000000" w:themeColor="text1"/>
          <w:sz w:val="24"/>
          <w:szCs w:val="24"/>
        </w:rPr>
        <w:t xml:space="preserve"> </w:t>
      </w:r>
      <w:r w:rsidRPr="00321906">
        <w:rPr>
          <w:rFonts w:ascii="Times New Roman" w:hAnsi="Times New Roman" w:cs="Times New Roman"/>
          <w:color w:val="000000" w:themeColor="text1"/>
          <w:sz w:val="24"/>
          <w:szCs w:val="24"/>
        </w:rPr>
        <w:t xml:space="preserve">domains of </w:t>
      </w:r>
      <w:r w:rsidRPr="00321906">
        <w:rPr>
          <w:rFonts w:ascii="Times New Roman" w:hAnsi="Times New Roman" w:cs="Times New Roman"/>
          <w:i/>
          <w:color w:val="000000" w:themeColor="text1"/>
          <w:sz w:val="24"/>
          <w:szCs w:val="24"/>
        </w:rPr>
        <w:t xml:space="preserve">S. aureus </w:t>
      </w:r>
      <w:r w:rsidRPr="00321906">
        <w:rPr>
          <w:rFonts w:ascii="Times New Roman" w:hAnsi="Times New Roman" w:cs="Times New Roman"/>
          <w:color w:val="000000" w:themeColor="text1"/>
          <w:sz w:val="24"/>
          <w:szCs w:val="24"/>
        </w:rPr>
        <w:t xml:space="preserve">Sle1 and LytN could not bind peptidoglycan in the presence of WTA, but bound uniformly across the cell wall in the absence of WTAs </w:t>
      </w:r>
      <w:r w:rsidRPr="00321906">
        <w:rPr>
          <w:rFonts w:ascii="Times New Roman" w:hAnsi="Times New Roman" w:cs="Times New Roman"/>
          <w:color w:val="000000" w:themeColor="text1"/>
          <w:sz w:val="24"/>
          <w:szCs w:val="24"/>
        </w:rPr>
        <w:fldChar w:fldCharType="begin"/>
      </w:r>
      <w:r w:rsidRPr="00321906">
        <w:rPr>
          <w:rFonts w:ascii="Times New Roman" w:hAnsi="Times New Roman" w:cs="Times New Roman"/>
          <w:color w:val="000000" w:themeColor="text1"/>
          <w:sz w:val="24"/>
          <w:szCs w:val="24"/>
        </w:rPr>
        <w:instrText xml:space="preserve"> ADDIN ZOTERO_ITEM CSL_CITATION {"citationID":"17fid82ht1","properties":{"formattedCitation":"(Frankel and Schneewind, 2012)","plainCitation":"(Frankel and Schneewind, 2012)"},"citationItems":[{"id":9,"uris":["http://zotero.org/users/944474/items/WG9A4PQS"],"uri":["http://zotero.org/users/944474/items/WG9A4PQS"],"itemData":{"id":9,"type":"article-journal","title":"Determinants of murein hydrolase targeting to the cross wall of Staphylococcus aureus peptidoglycan","container-title":"The Journal of Biological Chemistry","abstract":"Cells of eukaryotic or prokaryotic origin express proteins with LysM domains that associate with the cell wall envelope of bacteria. The molecular properties that enable LysM domains to interact with microbial cell walls are not yet established. Staphylococcus aureus, a spherical microbe, secretes two murein hydrolases with LysM domains, Sle1 and LytN. We show here that the LysM domains of Sle1 and LytN direct murein hydrolases to the staphylococcal envelope in the vicinity of the cross wall, the mid-cell compartment for peptidoglycan synthesis. LysM domains associate with the repeating disaccharide β-N-acetylmuramic acid- (1→4)-β-N-acetylglucosamine of staphylococcal peptidoglycan. Modification of N-acetylmuramic acid with wall teichoic acid (WTA), a ribitol-phosphate polymer tethered to murein linkage units, prevents LysM domain binding to peptidoglycan. The localization of LytN and Sle1 to the cross wall is abolished in staphylococcal tagO mutants, which are defective for WTA synthesis. We propose a model whereby the LysM domain ensures septal localization of LytN and Sle1 followed by processive cleavage of peptidoglycan, thereby exposing new LysM binding sites in the cross wall and separating bacterial cells.","URL":"http://www.ncbi.nlm.nih.gov/pubmed/22303016","DOI":"10.1074/jbc.M111.336404","note":"PMID: 22303016","author":[{"family":"Frankel","given":"Matthew B"},{"family":"Schneewind","given":"Olaf"}],"issued":{"year":2012,"month":2,"day":2},"accessed":{"year":2012,"month":3,"day":6}}}],"schema":"https://github.com/citation-style-language/schema/raw/master/csl-citation.json"} </w:instrText>
      </w:r>
      <w:r w:rsidRPr="00321906">
        <w:rPr>
          <w:rFonts w:ascii="Times New Roman" w:hAnsi="Times New Roman" w:cs="Times New Roman"/>
          <w:color w:val="000000" w:themeColor="text1"/>
          <w:sz w:val="24"/>
          <w:szCs w:val="24"/>
        </w:rPr>
        <w:fldChar w:fldCharType="separate"/>
      </w:r>
      <w:r w:rsidRPr="00321906">
        <w:rPr>
          <w:rFonts w:ascii="Times New Roman" w:hAnsi="Times New Roman" w:cs="Times New Roman"/>
          <w:color w:val="000000" w:themeColor="text1"/>
          <w:sz w:val="24"/>
        </w:rPr>
        <w:t>(Frankel and Schneewind, 2012)</w:t>
      </w:r>
      <w:r w:rsidRPr="00321906">
        <w:rPr>
          <w:rFonts w:ascii="Times New Roman" w:hAnsi="Times New Roman" w:cs="Times New Roman"/>
          <w:color w:val="000000" w:themeColor="text1"/>
          <w:sz w:val="24"/>
          <w:szCs w:val="24"/>
        </w:rPr>
        <w:fldChar w:fldCharType="end"/>
      </w:r>
      <w:r w:rsidRPr="00321906">
        <w:rPr>
          <w:rFonts w:ascii="Times New Roman" w:hAnsi="Times New Roman" w:cs="Times New Roman"/>
          <w:color w:val="000000" w:themeColor="text1"/>
          <w:sz w:val="24"/>
          <w:szCs w:val="24"/>
        </w:rPr>
        <w:t>. Similarly, LysM</w:t>
      </w:r>
      <w:r w:rsidRPr="00321906">
        <w:rPr>
          <w:rFonts w:ascii="Times New Roman" w:hAnsi="Times New Roman" w:cs="Times New Roman"/>
          <w:i/>
          <w:color w:val="000000" w:themeColor="text1"/>
          <w:sz w:val="24"/>
          <w:szCs w:val="24"/>
        </w:rPr>
        <w:t xml:space="preserve"> </w:t>
      </w:r>
      <w:r w:rsidRPr="008A29DC">
        <w:rPr>
          <w:rFonts w:ascii="Times New Roman" w:hAnsi="Times New Roman" w:cs="Times New Roman"/>
          <w:color w:val="000000" w:themeColor="text1"/>
          <w:sz w:val="24"/>
          <w:szCs w:val="24"/>
        </w:rPr>
        <w:t>of</w:t>
      </w:r>
      <w:r w:rsidRPr="00321906">
        <w:rPr>
          <w:rFonts w:ascii="Times New Roman" w:hAnsi="Times New Roman" w:cs="Times New Roman"/>
          <w:i/>
          <w:color w:val="000000" w:themeColor="text1"/>
          <w:sz w:val="24"/>
          <w:szCs w:val="24"/>
        </w:rPr>
        <w:t xml:space="preserve"> L. lactis </w:t>
      </w:r>
      <w:r w:rsidRPr="00321906">
        <w:rPr>
          <w:rFonts w:ascii="Times New Roman" w:hAnsi="Times New Roman" w:cs="Times New Roman"/>
          <w:color w:val="000000" w:themeColor="text1"/>
          <w:sz w:val="24"/>
          <w:szCs w:val="24"/>
        </w:rPr>
        <w:t xml:space="preserve">AmcA did not bind regions containing LTAs, but labelled uniformly across TA extracted cells </w:t>
      </w:r>
      <w:r w:rsidRPr="00321906">
        <w:rPr>
          <w:rFonts w:ascii="Times New Roman" w:hAnsi="Times New Roman" w:cs="Times New Roman"/>
          <w:color w:val="000000" w:themeColor="text1"/>
          <w:sz w:val="24"/>
          <w:szCs w:val="24"/>
        </w:rPr>
        <w:fldChar w:fldCharType="begin"/>
      </w:r>
      <w:r w:rsidRPr="00321906">
        <w:rPr>
          <w:rFonts w:ascii="Times New Roman" w:hAnsi="Times New Roman" w:cs="Times New Roman"/>
          <w:color w:val="000000" w:themeColor="text1"/>
          <w:sz w:val="24"/>
          <w:szCs w:val="24"/>
        </w:rPr>
        <w:instrText xml:space="preserve"> ADDIN ZOTERO_ITEM CSL_CITATION {"citationID":"ji9e363f6","properties":{"formattedCitation":"(Steen et al., 2003)","plainCitation":"(Steen et al., 2003)"},"citationItems":[{"id":493,"uris":["http://zotero.org/users/944474/items/R4HN2WRM"],"uri":["http://zotero.org/users/944474/items/R4HN2WRM"],"itemData":{"id":493,"type":"article-journal","title":"Cell wall attachment of a widely distributed peptidoglycan binding domain is hindered by cell wall constituents","container-title":"The Journal of biological chemistry","page":"23874-23881","volume":"278","issue":"26","abstract":"The C-terminal region (cA) of the major autolysin AcmA of Lactococcus lactis contains three highly similar repeated regions of 45 amino acid residues (LysM domains), which are separated by nonhomologous sequences. The cA domain could be deleted without destroying the cell wall-hydrolyzing activity of the enzyme in vitro. This AcmA derivative was capable neither of binding to lactococcal cells nor of lysing these cells while separation of the producer cells was incomplete. The cA domain and a chimeric protein consisting of cA fused to the C terminus of MSA2, a malaria parasite surface antigen, bound to lactococcal cells specifically via cA. The fusion protein also bound to many other Gram-positive bacteria. By chemical treatment of purified cell walls of L. lactis and Bacillus subtilis, peptidoglycan was identified as the cell wall component interacting with cA. Immunofluorescence studies showed that binding is on specific locations on the surface of L. lactis, Enterococcus faecalis, Streptococcus thermophilus, B. subtilis, Lactobacillus sake, and Lactobacillus casei cells. Based on these studies, we propose that LysM-type repeats bind to peptidoglycan and that binding is hindered by other cell wall constituents, resulting in localized binding of AcmA. Lipoteichoic acid is a candidate hindering component. For L. lactis SK110, it is shown that lipoteichoic acids are not uniformly distributed over the cell surface and are mainly present at sites where no MSA2cA binding is observed.","DOI":"10.1074/jbc.M211055200","note":"PMID: 12684515","journalAbbreviation":"J. Biol. Chem.","author":[{"family":"Steen","given":"Anton"},{"family":"Buist","given":"Girbe"},{"family":"Leenhouts","given":"Kees J"},{"family":"El Khattabi","given":"Mohamed"},{"family":"Grijpstra","given":"Froukje"},{"family":"Zomer","given":"Aldert L"},{"family":"Venema","given":"Gerard"},{"family":"Kuipers","given":"Oscar P"},{"family":"Kok","given":"Jan"}],"issued":{"year":2003,"month":6,"day":27},"accessed":{"year":2012,"month":6,"day":18},"page-first":"23874"}}],"schema":"https://github.com/citation-style-language/schema/raw/master/csl-citation.json"} </w:instrText>
      </w:r>
      <w:r w:rsidRPr="00321906">
        <w:rPr>
          <w:rFonts w:ascii="Times New Roman" w:hAnsi="Times New Roman" w:cs="Times New Roman"/>
          <w:color w:val="000000" w:themeColor="text1"/>
          <w:sz w:val="24"/>
          <w:szCs w:val="24"/>
        </w:rPr>
        <w:fldChar w:fldCharType="separate"/>
      </w:r>
      <w:r w:rsidRPr="00321906">
        <w:rPr>
          <w:rFonts w:ascii="Times New Roman" w:hAnsi="Times New Roman" w:cs="Times New Roman"/>
          <w:color w:val="000000" w:themeColor="text1"/>
          <w:sz w:val="24"/>
        </w:rPr>
        <w:t xml:space="preserve">(Steen </w:t>
      </w:r>
      <w:r w:rsidRPr="00C521B3">
        <w:rPr>
          <w:rFonts w:ascii="Times New Roman" w:hAnsi="Times New Roman" w:cs="Times New Roman"/>
          <w:i/>
          <w:color w:val="000000" w:themeColor="text1"/>
          <w:sz w:val="24"/>
        </w:rPr>
        <w:t>et al</w:t>
      </w:r>
      <w:r w:rsidRPr="00321906">
        <w:rPr>
          <w:rFonts w:ascii="Times New Roman" w:hAnsi="Times New Roman" w:cs="Times New Roman"/>
          <w:color w:val="000000" w:themeColor="text1"/>
          <w:sz w:val="24"/>
        </w:rPr>
        <w:t>., 2003)</w:t>
      </w:r>
      <w:r w:rsidRPr="00321906">
        <w:rPr>
          <w:rFonts w:ascii="Times New Roman" w:hAnsi="Times New Roman" w:cs="Times New Roman"/>
          <w:color w:val="000000" w:themeColor="text1"/>
          <w:sz w:val="24"/>
          <w:szCs w:val="24"/>
        </w:rPr>
        <w:fldChar w:fldCharType="end"/>
      </w:r>
      <w:r w:rsidRPr="00321906">
        <w:rPr>
          <w:rFonts w:ascii="Times New Roman" w:hAnsi="Times New Roman" w:cs="Times New Roman"/>
          <w:color w:val="000000" w:themeColor="text1"/>
          <w:sz w:val="24"/>
          <w:szCs w:val="24"/>
        </w:rPr>
        <w:t xml:space="preserve">. The major autolysins of </w:t>
      </w:r>
      <w:r w:rsidRPr="00321906">
        <w:rPr>
          <w:rFonts w:ascii="Times New Roman" w:hAnsi="Times New Roman" w:cs="Times New Roman"/>
          <w:i/>
          <w:color w:val="000000" w:themeColor="text1"/>
          <w:sz w:val="24"/>
          <w:szCs w:val="24"/>
        </w:rPr>
        <w:t xml:space="preserve">S. aureus </w:t>
      </w:r>
      <w:r w:rsidRPr="00321906">
        <w:rPr>
          <w:rFonts w:ascii="Times New Roman" w:hAnsi="Times New Roman" w:cs="Times New Roman"/>
          <w:color w:val="000000" w:themeColor="text1"/>
          <w:sz w:val="24"/>
          <w:szCs w:val="24"/>
        </w:rPr>
        <w:t xml:space="preserve">and </w:t>
      </w:r>
      <w:r w:rsidRPr="00321906">
        <w:rPr>
          <w:rFonts w:ascii="Times New Roman" w:hAnsi="Times New Roman" w:cs="Times New Roman"/>
          <w:i/>
          <w:color w:val="000000" w:themeColor="text1"/>
          <w:sz w:val="24"/>
          <w:szCs w:val="24"/>
        </w:rPr>
        <w:t>S. epidermidis</w:t>
      </w:r>
      <w:r w:rsidRPr="00321906">
        <w:rPr>
          <w:rFonts w:ascii="Times New Roman" w:hAnsi="Times New Roman" w:cs="Times New Roman"/>
          <w:color w:val="000000" w:themeColor="text1"/>
          <w:sz w:val="24"/>
          <w:szCs w:val="24"/>
        </w:rPr>
        <w:t xml:space="preserve">, Atl and AtlE respectively, contain three direct repeat sequences for localisation and binding of septal peptidoglycan </w:t>
      </w:r>
      <w:r w:rsidRPr="00321906">
        <w:rPr>
          <w:rFonts w:ascii="Times New Roman" w:hAnsi="Times New Roman" w:cs="Times New Roman"/>
          <w:color w:val="000000" w:themeColor="text1"/>
          <w:sz w:val="24"/>
          <w:szCs w:val="24"/>
        </w:rPr>
        <w:fldChar w:fldCharType="begin"/>
      </w:r>
      <w:r w:rsidRPr="00321906">
        <w:rPr>
          <w:rFonts w:ascii="Times New Roman" w:hAnsi="Times New Roman" w:cs="Times New Roman"/>
          <w:color w:val="000000" w:themeColor="text1"/>
          <w:sz w:val="24"/>
          <w:szCs w:val="24"/>
        </w:rPr>
        <w:instrText xml:space="preserve"> ADDIN ZOTERO_ITEM CSL_CITATION {"citationID":"r5rqju3kj","properties":{"formattedCitation":"(Baba and Schneewind, 1998; Schlag et al., 2010)","plainCitation":"(Baba and Schneewind, 1998; Schlag et al., 2010)"},"citationItems":[{"id":505,"uris":["http://zotero.org/users/944474/items/TA8NSSKQ"],"uri":["http://zotero.org/users/944474/items/TA8NSSKQ"],"itemData":{"id":505,"type":"article-journal","title":"Targeting of muralytic enzymes to the cell division site of Gram-positive bacteria: repeat domains direct autolysin to the equatorial surface ring of Staphylococcus aureus","container-title":"The EMBO journal","page":"4639-4646","volume":"17","issue":"16","abstract":"Staphylococcus aureus secretes autolysin (Atl) to complete cell division by hydrolyzing its thick cell wall layer at a designated site, known as the equatorial surface ring. Secreted pro-Atl (1256 amino acids) is cleaved at residues 198 and 775 to generate a pro-peptide, amidase and glucosaminidase, respectively. Here we examined the mechanism that directs amidase and glucosaminidase to the cell division site on the staphylococcal surface. Targeting of pro-Atl to the cell surface occurred prior to its proteolytic processing. Three repeat domains (R1, R2 and R3) located at the center of pro-Atl are necessary and sufficient for the targeting of reporter proteins to the equatorial surface ring. Pro-Atl cleavage at residue 775 separates the polypeptide such that R1 and R2 are linked to the C-terminus of amidase, whereas R3 is located at the N-terminus of glucosaminidase. Thus, it appears that the repeat domains direct pro-Atl, amidase and glucosaminidase to a specific receptor at the equatorial surface ring of staphylococci, thereby allowing localized peptidoglycan hydrolysis and separation of the dividing cells.","DOI":"10.1093/emboj/17.16.4639","note":"PMID: 9707423","shortTitle":"Targeting of muralytic enzymes to the cell division site of Gram-positive bacteria","journalAbbreviation":"EMBO J.","author":[{"family":"Baba","given":"T"},{"family":"Schneewind","given":"O"}],"issued":{"year":1998,"month":8,"day":17},"accessed":{"year":2012,"month":6,"day":18},"page-first":"4639"}},{"id":273,"uris":["http://zotero.org/users/944474/items/JH8P9K6A"],"uri":["http://zotero.org/users/944474/items/JH8P9K6A"],"itemData":{"id":273,"type":"article-journal","title":"Role of staphylococcal wall teichoic acid in targeting the major autolysin Atl","container-title":"Molecular microbiology","page":"864-873","volume":"75","issue":"4","abstract":"Staphylococcal cell separation depends largely on the bifunctional autolysin Atl that is processed to amidase-R(1,2) and R(3)-glucosaminidase. These murein hydrolases are targeted via repeat domains (R) to the septal region of the cell surface, thereby allowing localized peptidoglycan hydrolysis and separation of the dividing cells. Here we show that targeting of the amidase repeats is based on an exclusion strategy mediated by wall teichoic acid (WTA). In Staphylococcus aureus wild-type, externally applied repeats (R(1,2)) or endogenously expressed amidase were localized exclusively at the cross-wall region, while in Delta tagO mutant that lacks WTA binding was evenly distributed on the cell surface, which explains the increased fragility and autolysis susceptibility of the mutant. WTA prevented binding of Atl to the old cell wall but not to the cross-wall region suggesting a lower WTA content. In binding studies with ConcanavalinA-fluorescein (ConA-FITC) conjugate that binds preferentially to teichoic acids, ConA-FITC was bound throughout the cell surface with the exception of the cross wall. ConA binding suggest that either content or polymerization of WTA gradually increases with distance from the cross-wall. By preventing binding of Atl, WTA directs Atl to the cross-wall to perform the last step of cell division, namely separation of the daughter cells.","DOI":"10.1111/j.1365-2958.2009.07007.x","note":"PMID: 20105277","journalAbbreviation":"Mol. Microbiol.","author":[{"family":"Schlag","given":"Martin"},{"family":"Biswas","given":"Raja"},{"family":"Krismer","given":"Bernhard"},{"family":"Kohler","given":"Thomas"},{"family":"Zoll","given":"Sebastian"},{"family":"Yu","given":"Wenqi"},{"family":"Schwarz","given":"Heinz"},{"family":"Peschel","given":"Andreas"},{"family":"Götz","given":"Friedrich"}],"issued":{"year":2010,"month":2},"accessed":{"year":2012,"month":5,"day":26},"page-first":"864"}}],"schema":"https://github.com/citation-style-language/schema/raw/master/csl-citation.json"} </w:instrText>
      </w:r>
      <w:r w:rsidRPr="00321906">
        <w:rPr>
          <w:rFonts w:ascii="Times New Roman" w:hAnsi="Times New Roman" w:cs="Times New Roman"/>
          <w:color w:val="000000" w:themeColor="text1"/>
          <w:sz w:val="24"/>
          <w:szCs w:val="24"/>
        </w:rPr>
        <w:fldChar w:fldCharType="separate"/>
      </w:r>
      <w:r w:rsidRPr="00321906">
        <w:rPr>
          <w:rFonts w:ascii="Times New Roman" w:hAnsi="Times New Roman" w:cs="Times New Roman"/>
          <w:color w:val="000000" w:themeColor="text1"/>
          <w:sz w:val="24"/>
        </w:rPr>
        <w:t xml:space="preserve">(Baba and Schneewind, 1998; Schlag </w:t>
      </w:r>
      <w:r w:rsidRPr="00C521B3">
        <w:rPr>
          <w:rFonts w:ascii="Times New Roman" w:hAnsi="Times New Roman" w:cs="Times New Roman"/>
          <w:i/>
          <w:color w:val="000000" w:themeColor="text1"/>
          <w:sz w:val="24"/>
        </w:rPr>
        <w:t>et al</w:t>
      </w:r>
      <w:r w:rsidRPr="00321906">
        <w:rPr>
          <w:rFonts w:ascii="Times New Roman" w:hAnsi="Times New Roman" w:cs="Times New Roman"/>
          <w:color w:val="000000" w:themeColor="text1"/>
          <w:sz w:val="24"/>
        </w:rPr>
        <w:t>., 2010)</w:t>
      </w:r>
      <w:r w:rsidRPr="00321906">
        <w:rPr>
          <w:rFonts w:ascii="Times New Roman" w:hAnsi="Times New Roman" w:cs="Times New Roman"/>
          <w:color w:val="000000" w:themeColor="text1"/>
          <w:sz w:val="24"/>
          <w:szCs w:val="24"/>
        </w:rPr>
        <w:fldChar w:fldCharType="end"/>
      </w:r>
      <w:r w:rsidRPr="00321906">
        <w:rPr>
          <w:rFonts w:ascii="Times New Roman" w:hAnsi="Times New Roman" w:cs="Times New Roman"/>
          <w:color w:val="000000" w:themeColor="text1"/>
          <w:sz w:val="24"/>
          <w:szCs w:val="24"/>
        </w:rPr>
        <w:t>. Exogenous A</w:t>
      </w:r>
      <w:r>
        <w:rPr>
          <w:rFonts w:ascii="Times New Roman" w:hAnsi="Times New Roman" w:cs="Times New Roman"/>
          <w:color w:val="000000" w:themeColor="text1"/>
          <w:sz w:val="24"/>
          <w:szCs w:val="24"/>
        </w:rPr>
        <w:t>t</w:t>
      </w:r>
      <w:r w:rsidRPr="00321906">
        <w:rPr>
          <w:rFonts w:ascii="Times New Roman" w:hAnsi="Times New Roman" w:cs="Times New Roman"/>
          <w:color w:val="000000" w:themeColor="text1"/>
          <w:sz w:val="24"/>
          <w:szCs w:val="24"/>
        </w:rPr>
        <w:t xml:space="preserve">l repeat domains localised separately from WTAs </w:t>
      </w:r>
      <w:r w:rsidRPr="00321906">
        <w:rPr>
          <w:rFonts w:ascii="Times New Roman" w:hAnsi="Times New Roman" w:cs="Times New Roman"/>
          <w:i/>
          <w:color w:val="000000" w:themeColor="text1"/>
          <w:sz w:val="24"/>
          <w:szCs w:val="24"/>
        </w:rPr>
        <w:t>in vitro</w:t>
      </w:r>
      <w:r w:rsidRPr="00321906">
        <w:rPr>
          <w:rFonts w:ascii="Times New Roman" w:hAnsi="Times New Roman" w:cs="Times New Roman"/>
          <w:color w:val="000000" w:themeColor="text1"/>
          <w:sz w:val="24"/>
          <w:szCs w:val="24"/>
        </w:rPr>
        <w:t xml:space="preserve">, but bound uniformly in a WTA deficient </w:t>
      </w:r>
      <w:r w:rsidRPr="00321906">
        <w:rPr>
          <w:rFonts w:ascii="Times New Roman" w:hAnsi="Times New Roman" w:cs="Times New Roman"/>
          <w:i/>
          <w:color w:val="000000" w:themeColor="text1"/>
          <w:sz w:val="24"/>
          <w:szCs w:val="24"/>
        </w:rPr>
        <w:t>S. aureus tagO</w:t>
      </w:r>
      <w:r w:rsidRPr="00321906">
        <w:rPr>
          <w:rFonts w:ascii="Times New Roman" w:hAnsi="Times New Roman" w:cs="Times New Roman"/>
          <w:color w:val="000000" w:themeColor="text1"/>
          <w:sz w:val="24"/>
          <w:szCs w:val="24"/>
        </w:rPr>
        <w:t xml:space="preserve"> mutant </w:t>
      </w:r>
      <w:r w:rsidRPr="00321906">
        <w:rPr>
          <w:rFonts w:ascii="Times New Roman" w:hAnsi="Times New Roman" w:cs="Times New Roman"/>
          <w:color w:val="000000" w:themeColor="text1"/>
          <w:sz w:val="24"/>
          <w:szCs w:val="24"/>
        </w:rPr>
        <w:fldChar w:fldCharType="begin"/>
      </w:r>
      <w:r w:rsidRPr="00321906">
        <w:rPr>
          <w:rFonts w:ascii="Times New Roman" w:hAnsi="Times New Roman" w:cs="Times New Roman"/>
          <w:color w:val="000000" w:themeColor="text1"/>
          <w:sz w:val="24"/>
          <w:szCs w:val="24"/>
        </w:rPr>
        <w:instrText xml:space="preserve"> ADDIN ZOTERO_ITEM CSL_CITATION {"citationID":"e14e7f0mj","properties":{"formattedCitation":"(Schlag et al., 2010)","plainCitation":"(Schlag et al., 2010)"},"citationItems":[{"id":273,"uris":["http://zotero.org/users/944474/items/JH8P9K6A"],"uri":["http://zotero.org/users/944474/items/JH8P9K6A"],"itemData":{"id":273,"type":"article-journal","title":"Role of staphylococcal wall teichoic acid in targeting the major autolysin Atl","container-title":"Molecular microbiology","page":"864-873","volume":"75","issue":"4","abstract":"Staphylococcal cell separation depends largely on the bifunctional autolysin Atl that is processed to amidase-R(1,2) and R(3)-glucosaminidase. These murein hydrolases are targeted via repeat domains (R) to the septal region of the cell surface, thereby allowing localized peptidoglycan hydrolysis and separation of the dividing cells. Here we show that targeting of the amidase repeats is based on an exclusion strategy mediated by wall teichoic acid (WTA). In Staphylococcus aureus wild-type, externally applied repeats (R(1,2)) or endogenously expressed amidase were localized exclusively at the cross-wall region, while in Delta tagO mutant that lacks WTA binding was evenly distributed on the cell surface, which explains the increased fragility and autolysis susceptibility of the mutant. WTA prevented binding of Atl to the old cell wall but not to the cross-wall region suggesting a lower WTA content. In binding studies with ConcanavalinA-fluorescein (ConA-FITC) conjugate that binds preferentially to teichoic acids, ConA-FITC was bound throughout the cell surface with the exception of the cross wall. ConA binding suggest that either content or polymerization of WTA gradually increases with distance from the cross-wall. By preventing binding of Atl, WTA directs Atl to the cross-wall to perform the last step of cell division, namely separation of the daughter cells.","DOI":"10.1111/j.1365-2958.2009.07007.x","note":"PMID: 20105277","journalAbbreviation":"Mol. Microbiol.","author":[{"family":"Schlag","given":"Martin"},{"family":"Biswas","given":"Raja"},{"family":"Krismer","given":"Bernhard"},{"family":"Kohler","given":"Thomas"},{"family":"Zoll","given":"Sebastian"},{"family":"Yu","given":"Wenqi"},{"family":"Schwarz","given":"Heinz"},{"family":"Peschel","given":"Andreas"},{"family":"Götz","given":"Friedrich"}],"issued":{"year":2010,"month":2},"accessed":{"year":2012,"month":5,"day":26},"page-first":"864"}}],"schema":"https://github.com/citation-style-language/schema/raw/master/csl-citation.json"} </w:instrText>
      </w:r>
      <w:r w:rsidRPr="00321906">
        <w:rPr>
          <w:rFonts w:ascii="Times New Roman" w:hAnsi="Times New Roman" w:cs="Times New Roman"/>
          <w:color w:val="000000" w:themeColor="text1"/>
          <w:sz w:val="24"/>
          <w:szCs w:val="24"/>
        </w:rPr>
        <w:fldChar w:fldCharType="separate"/>
      </w:r>
      <w:r w:rsidRPr="00321906">
        <w:rPr>
          <w:rFonts w:ascii="Times New Roman" w:hAnsi="Times New Roman" w:cs="Times New Roman"/>
          <w:color w:val="000000" w:themeColor="text1"/>
          <w:sz w:val="24"/>
        </w:rPr>
        <w:t xml:space="preserve">(Schlag </w:t>
      </w:r>
      <w:r w:rsidRPr="00C521B3">
        <w:rPr>
          <w:rFonts w:ascii="Times New Roman" w:hAnsi="Times New Roman" w:cs="Times New Roman"/>
          <w:i/>
          <w:color w:val="000000" w:themeColor="text1"/>
          <w:sz w:val="24"/>
        </w:rPr>
        <w:t>et al</w:t>
      </w:r>
      <w:r w:rsidRPr="00321906">
        <w:rPr>
          <w:rFonts w:ascii="Times New Roman" w:hAnsi="Times New Roman" w:cs="Times New Roman"/>
          <w:color w:val="000000" w:themeColor="text1"/>
          <w:sz w:val="24"/>
        </w:rPr>
        <w:t>., 2010)</w:t>
      </w:r>
      <w:r w:rsidRPr="00321906">
        <w:rPr>
          <w:rFonts w:ascii="Times New Roman" w:hAnsi="Times New Roman" w:cs="Times New Roman"/>
          <w:color w:val="000000" w:themeColor="text1"/>
          <w:sz w:val="24"/>
          <w:szCs w:val="24"/>
        </w:rPr>
        <w:fldChar w:fldCharType="end"/>
      </w:r>
      <w:r w:rsidRPr="00321906">
        <w:rPr>
          <w:rFonts w:ascii="Times New Roman" w:hAnsi="Times New Roman" w:cs="Times New Roman"/>
          <w:color w:val="000000" w:themeColor="text1"/>
          <w:sz w:val="24"/>
          <w:szCs w:val="24"/>
        </w:rPr>
        <w:t>.</w:t>
      </w:r>
    </w:p>
    <w:p w:rsidR="00BC7652" w:rsidRPr="00321906" w:rsidRDefault="00BC7652" w:rsidP="00BC7652">
      <w:pPr>
        <w:autoSpaceDE w:val="0"/>
        <w:autoSpaceDN w:val="0"/>
        <w:adjustRightInd w:val="0"/>
        <w:spacing w:line="480" w:lineRule="auto"/>
        <w:jc w:val="both"/>
        <w:rPr>
          <w:rFonts w:ascii="Times New Roman" w:hAnsi="Times New Roman" w:cs="Times New Roman"/>
          <w:color w:val="000000" w:themeColor="text1"/>
          <w:sz w:val="24"/>
          <w:szCs w:val="24"/>
        </w:rPr>
      </w:pPr>
    </w:p>
    <w:p w:rsidR="00BC7652" w:rsidRPr="00BF6364" w:rsidRDefault="00BC7652" w:rsidP="00BC7652">
      <w:pPr>
        <w:tabs>
          <w:tab w:val="left" w:pos="1276"/>
        </w:tabs>
        <w:spacing w:line="480" w:lineRule="auto"/>
        <w:rPr>
          <w:rFonts w:ascii="Times New Roman" w:hAnsi="Times New Roman" w:cs="Times New Roman"/>
          <w:sz w:val="28"/>
          <w:szCs w:val="28"/>
        </w:rPr>
      </w:pPr>
      <w:r>
        <w:rPr>
          <w:rFonts w:ascii="Times New Roman" w:hAnsi="Times New Roman" w:cs="Times New Roman"/>
          <w:color w:val="000000"/>
          <w:sz w:val="28"/>
          <w:szCs w:val="28"/>
        </w:rPr>
        <w:t>1.7.3.2.4</w:t>
      </w:r>
      <w:r w:rsidRPr="00BF6364">
        <w:rPr>
          <w:rFonts w:ascii="Times New Roman" w:hAnsi="Times New Roman" w:cs="Times New Roman"/>
          <w:sz w:val="28"/>
          <w:szCs w:val="28"/>
        </w:rPr>
        <w:tab/>
        <w:t>Modification of substrate</w:t>
      </w:r>
    </w:p>
    <w:p w:rsidR="00BC7652" w:rsidRPr="00321906" w:rsidRDefault="00BC7652" w:rsidP="00BC7652">
      <w:pPr>
        <w:spacing w:line="480" w:lineRule="auto"/>
        <w:jc w:val="both"/>
        <w:rPr>
          <w:rFonts w:ascii="Times New Roman" w:hAnsi="Times New Roman" w:cs="Times New Roman"/>
          <w:color w:val="000000" w:themeColor="text1"/>
          <w:sz w:val="24"/>
          <w:szCs w:val="24"/>
        </w:rPr>
      </w:pPr>
      <w:proofErr w:type="gramStart"/>
      <w:r>
        <w:rPr>
          <w:rFonts w:ascii="Times New Roman" w:hAnsi="Times New Roman" w:cs="Times New Roman"/>
          <w:sz w:val="24"/>
          <w:szCs w:val="24"/>
        </w:rPr>
        <w:t>Covalent modifications of the peptidoglycan regulates</w:t>
      </w:r>
      <w:proofErr w:type="gramEnd"/>
      <w:r>
        <w:rPr>
          <w:rFonts w:ascii="Times New Roman" w:hAnsi="Times New Roman" w:cs="Times New Roman"/>
          <w:sz w:val="24"/>
          <w:szCs w:val="24"/>
        </w:rPr>
        <w:t xml:space="preserve"> autolysin activity. </w:t>
      </w:r>
      <w:r w:rsidRPr="00C21858">
        <w:rPr>
          <w:rFonts w:ascii="Times New Roman" w:hAnsi="Times New Roman" w:cs="Times New Roman"/>
          <w:i/>
          <w:sz w:val="24"/>
          <w:szCs w:val="24"/>
        </w:rPr>
        <w:t>O</w:t>
      </w:r>
      <w:r>
        <w:rPr>
          <w:rFonts w:ascii="Times New Roman" w:hAnsi="Times New Roman" w:cs="Times New Roman"/>
          <w:sz w:val="24"/>
          <w:szCs w:val="24"/>
        </w:rPr>
        <w:t xml:space="preserve">-acetylation, </w:t>
      </w:r>
      <w:r>
        <w:rPr>
          <w:rFonts w:ascii="Times New Roman" w:hAnsi="Times New Roman" w:cs="Times New Roman"/>
          <w:i/>
          <w:sz w:val="24"/>
          <w:szCs w:val="24"/>
        </w:rPr>
        <w:t>N</w:t>
      </w:r>
      <w:r>
        <w:rPr>
          <w:rFonts w:ascii="Times New Roman" w:hAnsi="Times New Roman" w:cs="Times New Roman"/>
          <w:sz w:val="24"/>
          <w:szCs w:val="24"/>
        </w:rPr>
        <w:t>-glycoylation and de-</w:t>
      </w:r>
      <w:r>
        <w:rPr>
          <w:rFonts w:ascii="Times New Roman" w:hAnsi="Times New Roman" w:cs="Times New Roman"/>
          <w:i/>
          <w:sz w:val="24"/>
          <w:szCs w:val="24"/>
        </w:rPr>
        <w:t>N-</w:t>
      </w:r>
      <w:r>
        <w:rPr>
          <w:rFonts w:ascii="Times New Roman" w:hAnsi="Times New Roman" w:cs="Times New Roman"/>
          <w:sz w:val="24"/>
          <w:szCs w:val="24"/>
        </w:rPr>
        <w:t xml:space="preserve">acetylation are generally described as conferring resistance to autolysis in </w:t>
      </w:r>
      <w:r w:rsidRPr="00321906">
        <w:rPr>
          <w:rFonts w:ascii="Times New Roman" w:hAnsi="Times New Roman" w:cs="Times New Roman"/>
          <w:color w:val="000000" w:themeColor="text1"/>
          <w:sz w:val="24"/>
          <w:szCs w:val="24"/>
        </w:rPr>
        <w:t xml:space="preserve">a variety of bacterial species </w:t>
      </w:r>
      <w:r w:rsidRPr="00321906">
        <w:rPr>
          <w:rFonts w:ascii="Times New Roman" w:hAnsi="Times New Roman" w:cs="Times New Roman"/>
          <w:color w:val="000000" w:themeColor="text1"/>
          <w:sz w:val="24"/>
          <w:szCs w:val="24"/>
        </w:rPr>
        <w:fldChar w:fldCharType="begin"/>
      </w:r>
      <w:r w:rsidRPr="00321906">
        <w:rPr>
          <w:rFonts w:ascii="Times New Roman" w:hAnsi="Times New Roman" w:cs="Times New Roman"/>
          <w:color w:val="000000" w:themeColor="text1"/>
          <w:sz w:val="24"/>
          <w:szCs w:val="24"/>
        </w:rPr>
        <w:instrText xml:space="preserve"> ADDIN ZOTERO_ITEM CSL_CITATION {"citationID":"t04ocvkf4","properties":{"formattedCitation":"(Dupont and Clarke, 1991; Vollmer and Tomasz, 2000; Raymond et al., 2005; Meyrand et al., 2007; Moynihan and Clarke, 2010)","plainCitation":"(Dupont and Clarke, 1991; Vollmer and Tomasz, 2000; Raymond et al., 2005; Meyrand et al., 2007; Moynihan and Clarke, 2010)"},"citationItems":[{"id":382,"uris":["http://zotero.org/users/944474/items/P2AXJFTF"],"uri":["http://zotero.org/users/944474/items/P2AXJFTF"],"itemData":{"id":382,"type":"article-journal","title":"Dependence of lysozyme-catalysed solubilization of Proteus mirabilis peptidoglycan on the extent of O-acetylation","container-title":"European journal of biochemistry / FEBS","page":"763-769","volume":"195","issue":"3","abstract":"The degree of peptidoglycan O-acetylation in 14 strains of Proteus mirabilis has been accurately determined by a procedure which employs the quantitation of mild-base-released acetic acid by HPLC, and the estimation of peptidoglycan concentration by cation-exchange amino acid analysis. The beta-D-N,6-O-diacetylmuramyl content of all isolated and purified peptidoglycans was ranged 20-52.8%, relative to the total muramic acid concentration. Each of the O-acetylated peptidoglycans was found to be resistant to solubilization by both human and hen egg-white lysozymes and for hen egg-white lysozyme, the extent of this resistance was dependent upon the degree of O-acetylation. The steady-state parameters, Km and V, for the hen-egg-white-lysozyme-catalysed solubilization of various peptidoglycan preparations were determined at pH 6.61 and 25 degrees C. Values of Km for the different peptidoglycan samples were found to increase with increasing O-acetylation, whereas with V no such relationship appeared to exist. An increase in the overall change in the standard Gibbs free energy of activation [delta(delta G#)], a consequence of increasing O-acetylation, was observed, and is shown to result from the weaker affinity of the enzyme for the modified substrates.","note":"PMID: 1999194","journalAbbreviation":"Eur. J. Biochem.","author":[{"family":"Dupont","given":"C"},{"family":"Clarke","given":"A J"}],"issued":{"year":1991,"month":2,"day":14},"accessed":{"year":2012,"month":6,"day":5},"page-first":"763"}},{"id":103,"uris":["http://zotero.org/users/944474/items/Z8QKK9ED"],"uri":["http://zotero.org/users/944474/items/Z8QKK9ED"],"itemData":{"id":103,"type":"article-journal","title":"The pgdA gene encodes for a peptidoglycan N-acetylglucosamine deacetylase in Streptococcus pneumoniae","container-title":"The Journal of Biological Chemistry","page":"20496-20501","volume":"275","issue":"27","abstract":"Analytical work on the fractionation of the glycan strands of Streptococcus pneumoniae cell wall has led to the observation that an unusually high proportion of hexosamine units (over 80% of the glucosamine and 10% of the muramic acid residues) was not N-acetylated, explaining the resistance of the peptidoglycan to the hydrolytic action of lysozyme, a muramidase that cleaves in the glycan backbone. A gene, pgdA, was identified as encoding for the peptidoglycan N-acetylglucosamine deacetylase A with amino acid sequence similarity to fungal chitin deacetylases and rhizobial NodB chitooligosaccharide deacetylases. Pneumococci in which pgdA was inactivated by insertion duplication mutagenesis produced fully N-acetylated glycan and became hypersensitive to exogenous lysozyme in the stationary phase of growth. The pgdA gene may contribute to pneumococcal virulence by providing protection against host lysozyme, which is known to accumulate in high concentrations at infection sites.","DOI":"10.1074/jbc.M910189199","note":"PMID: 10781617","journalAbbreviation":"J. Biol. Chem.","author":[{"family":"Vollmer","given":"W"},{"family":"Tomasz","given":"A"}],"issued":{"year":2000,"month":7,"day":7},"accessed":{"year":2012,"month":4,"day":2},"page-first":"20496"}},{"id":389,"uris":["http://zotero.org/users/944474/items/QNI7JDXI"],"uri":["http://zotero.org/users/944474/items/QNI7JDXI"],"itemData":{"id":389,"type":"article-journal","title":"Identification of the namH gene, encoding the hydroxylase responsible for the N-glycolylation of the mycobacterial peptidoglycan","container-title":"The Journal of biological chemistry","page":"326-333","volume":"280","issue":"1","abstract":"The peptidoglycan of most bacteria consists of a repeating disaccharide unit of beta-1,4-linked N-acetylmuramic acid and N-acetylglucosamine. However, the muramic acid moieties of the mycobacterial peptidoglycan are N-glycolylated, not N-acetylated. This is a rare modification seen only in the peptidoglycan of mycobacteria and five other closely related genera of bacteria. The N-glycolylation of sialic acids is a unique carbohydrate modification that has been studied extensively in eukaryotes. However, the significance of the N-glycolylation of bacterial peptidoglycan is unknown. The goal of this project was to identify the gene encoding the hydroxylase responsible for the N-glycolylation of the mycobacterial peptidoglycan. We developed a novel assay for the mycobacterial UDP-N-acetylmuramic acid hydroxylation reaction and demonstrated that Mycobacterium smegmatis has an enzyme activity that can convert UDP-N-acetylmuramic acid to UDP-N-glycolylmuramic acid. We identified the gene namH encoding the mycobacterial UDP-N-acetylmuramic acid hydroxylase by computer data base searching and motif comparisons with the eukaryotic enzymes responsible for the N-glycolyation of sialic acids. The namH gene is not essential for in vitro growth as we were successful in deleting the gene in M. smegmatis. The M. smegmatis mutant is devoid of UDP-N-acetylmuramic acid hydroxylase activity and synthesizes only N-acetylated muropeptide precursors. Furthermore, the mutant exhibits increased susceptibility to beta-lactam antibiotics and lysozyme. Our studies suggest that the N-glycolylation of mycobacterial peptidoglycan may play a role in lysozyme resistance or may contribute to the structural stability of the cell wall architecture.","DOI":"10.1074/jbc.M411006200","note":"PMID: 15522883","journalAbbreviation":"J. Biol. Chem.","author":[{"family":"Raymond","given":"Jon B"},{"family":"Mahapatra","given":"Sebabrata"},{"family":"Crick","given":"Dean C"},{"family":"Pavelka","given":"Martin S, Jr"}],"issued":{"year":2005,"month":1,"day":7},"accessed":{"year":2012,"month":6,"day":5},"page-first":"326"}},{"id":297,"uris":["http://zotero.org/users/944474/items/T69IHDPE"],"uri":["http://zotero.org/users/944474/items/T69IHDPE"],"itemData":{"id":297,"type":"article-journal","title":"Peptidoglycan N-acetylglucosamine deacetylation decreases autolysis in Lactococcus lactis","container-title":"Microbiology (Reading, England)","page":"3275-3285","volume":"153","issue":"Pt 10","abstract":"The gene xynD (renamed pgdA) of Lactococcus lactis IL1403 was shown to encode a peptidoglycan N-acetylglucosamine deacetylase. Inactivation of pgdA in L. lactis led to fully acetylated peptidoglycan, whereas cloning of pgdA on a multicopy plasmid vector resulted in an increased degree of peptidoglycan deacetylation, as shown by analysis of peptidoglycan constituent muropeptides. An increased amount of N-unsubstituted glucosamine residues in peptidoglycan resulted in a reduction of the rate of autolysis of L. lactis cells. The activity of the L. lactis major autolysin AcmA was tested on L. lactis cells or peptidoglycan with different degrees of de-N-acetylation. Deacetylated peptidoglycan exhibited decreased susceptibility to AcmA hydrolysis. This reduced susceptibility to AcmA did not result from reduced AcmA binding to peptidoglycan with an increasing degree of de-N-acetylation. In conclusion, enzymic N-acetylglucosamine deacetylation protects peptidoglycan from hydrolysis by the major autolysin AcmA in L. lactis cells, and this leads to decreased cellular autolysis.","DOI":"10.1099/mic.0.2007/005835-0","note":"PMID: 17906127","journalAbbreviation":"Microbiology (Reading, Engl.)","author":[{"family":"Meyrand","given":"Mickael"},{"family":"Boughammoura","given":"Aïda"},{"family":"Courtin","given":"Pascal"},{"family":"Mézange","given":"Christine"},{"family":"Guillot","given":"Alain"},{"family":"Chapot-Chartier","given":"Marie-Pierre"}],"issued":{"year":2007,"month":10},"accessed":{"year":2012,"month":5,"day":28},"page-first":"3275"}},{"id":172,"uris":["http://zotero.org/users/944474/items/Q5I6KCPA"],"uri":["http://zotero.org/users/944474/items/Q5I6KCPA"],"itemData":{"id":172,"type":"article-journal","title":"O-acetylation of peptidoglycan in gram-negative bacteria: identification and characterization of peptidoglycan O-acetyltransferase in Neisseria gonorrhoeae","container-title":"The Journal of biological chemistry","page":"13264-13273","volume":"285","issue":"17","abstract":"The ape2 gene encoding a hypothetical O-acetylpeptidoglycan esterase was amplified from genomic DNA of Neisseria gonorrhoeae FA1090 and cloned to encode either the full-length protein or a truncated version lacking its hypothetical signal sequence. Expression trials revealed that production of the full-length version possessing either an N-terminal or C-terminal His(6) tag was toxic to Escherichia coli transformants and that the host rapidly degraded the small amount of protein that was produced. An N-terminally truncated protein could be produced in sufficient yields for purification only if it possessed an N-terminal His(6) tag. This form of the protein was isolated and purified to apparent homogeneity, and its enzymatic properties were characterized. Whereas the protein could bind to insoluble peptidoglycan, it did not function as an esterase. Phenotypic characterization of E. coli transformants producing various forms of the protein revealed that it functions instead to O-acetylate peptidoglycan within the periplasm, and it was thus renamed peptidoglycan O-acetyltransferase B. This activity was found to be dependent upon a second protein, which functions to translocate acetate from the cytoplasm to the periplasm, demonstrating that the O-acetylation of peptidoglycan in N. gonorrhoeae, and other gram-negative bacteria, requires a two component system.","DOI":"10.1074/jbc.M110.107086","note":"PMID: 20178982","shortTitle":"O-acetylation of peptidoglycan in gram-negative bacteria","journalAbbreviation":"J. Biol. Chem.","author":[{"family":"Moynihan","given":"Patrick J"},{"family":"Clarke","given":"Anthony J"}],"issued":{"year":2010,"month":4,"day":23},"accessed":{"year":2012,"month":5,"day":9},"page-first":"13264"}}],"schema":"https://github.com/citation-style-language/schema/raw/master/csl-citation.json"} </w:instrText>
      </w:r>
      <w:r w:rsidRPr="00321906">
        <w:rPr>
          <w:rFonts w:ascii="Times New Roman" w:hAnsi="Times New Roman" w:cs="Times New Roman"/>
          <w:color w:val="000000" w:themeColor="text1"/>
          <w:sz w:val="24"/>
          <w:szCs w:val="24"/>
        </w:rPr>
        <w:fldChar w:fldCharType="separate"/>
      </w:r>
      <w:r w:rsidRPr="00321906">
        <w:rPr>
          <w:rFonts w:ascii="Times New Roman" w:hAnsi="Times New Roman" w:cs="Times New Roman"/>
          <w:color w:val="000000" w:themeColor="text1"/>
          <w:sz w:val="24"/>
        </w:rPr>
        <w:t xml:space="preserve">(Dupont and Clarke, 1991; Vollmer and Tomasz, 2000; Raymond </w:t>
      </w:r>
      <w:r w:rsidRPr="00C521B3">
        <w:rPr>
          <w:rFonts w:ascii="Times New Roman" w:hAnsi="Times New Roman" w:cs="Times New Roman"/>
          <w:i/>
          <w:color w:val="000000" w:themeColor="text1"/>
          <w:sz w:val="24"/>
        </w:rPr>
        <w:t>et al</w:t>
      </w:r>
      <w:r w:rsidRPr="00321906">
        <w:rPr>
          <w:rFonts w:ascii="Times New Roman" w:hAnsi="Times New Roman" w:cs="Times New Roman"/>
          <w:color w:val="000000" w:themeColor="text1"/>
          <w:sz w:val="24"/>
        </w:rPr>
        <w:t xml:space="preserve">., 2005; Meyrand </w:t>
      </w:r>
      <w:r w:rsidRPr="00C521B3">
        <w:rPr>
          <w:rFonts w:ascii="Times New Roman" w:hAnsi="Times New Roman" w:cs="Times New Roman"/>
          <w:i/>
          <w:color w:val="000000" w:themeColor="text1"/>
          <w:sz w:val="24"/>
        </w:rPr>
        <w:t>et al</w:t>
      </w:r>
      <w:r w:rsidRPr="00321906">
        <w:rPr>
          <w:rFonts w:ascii="Times New Roman" w:hAnsi="Times New Roman" w:cs="Times New Roman"/>
          <w:color w:val="000000" w:themeColor="text1"/>
          <w:sz w:val="24"/>
        </w:rPr>
        <w:t>., 2007; Moynihan and Clarke, 2010)</w:t>
      </w:r>
      <w:r w:rsidRPr="00321906">
        <w:rPr>
          <w:rFonts w:ascii="Times New Roman" w:hAnsi="Times New Roman" w:cs="Times New Roman"/>
          <w:color w:val="000000" w:themeColor="text1"/>
          <w:sz w:val="24"/>
          <w:szCs w:val="24"/>
        </w:rPr>
        <w:fldChar w:fldCharType="end"/>
      </w:r>
      <w:r w:rsidRPr="00321906">
        <w:rPr>
          <w:rFonts w:ascii="Times New Roman" w:hAnsi="Times New Roman" w:cs="Times New Roman"/>
          <w:color w:val="000000" w:themeColor="text1"/>
          <w:sz w:val="24"/>
          <w:szCs w:val="24"/>
        </w:rPr>
        <w:t xml:space="preserve">. However whilst </w:t>
      </w:r>
      <w:r w:rsidRPr="00321906">
        <w:rPr>
          <w:rFonts w:ascii="Times New Roman" w:hAnsi="Times New Roman" w:cs="Times New Roman"/>
          <w:i/>
          <w:color w:val="000000" w:themeColor="text1"/>
          <w:sz w:val="24"/>
          <w:szCs w:val="24"/>
        </w:rPr>
        <w:t>O</w:t>
      </w:r>
      <w:r w:rsidRPr="00321906">
        <w:rPr>
          <w:rFonts w:ascii="Times New Roman" w:hAnsi="Times New Roman" w:cs="Times New Roman"/>
          <w:color w:val="000000" w:themeColor="text1"/>
          <w:sz w:val="24"/>
          <w:szCs w:val="24"/>
        </w:rPr>
        <w:t xml:space="preserve">-acetylation of </w:t>
      </w:r>
      <w:r w:rsidRPr="00321906">
        <w:rPr>
          <w:rFonts w:ascii="Times New Roman" w:hAnsi="Times New Roman" w:cs="Times New Roman"/>
          <w:i/>
          <w:color w:val="000000" w:themeColor="text1"/>
          <w:sz w:val="24"/>
          <w:szCs w:val="24"/>
        </w:rPr>
        <w:t>Lactobacillus plantarum</w:t>
      </w:r>
      <w:r w:rsidRPr="00321906">
        <w:rPr>
          <w:rFonts w:ascii="Times New Roman" w:hAnsi="Times New Roman" w:cs="Times New Roman"/>
          <w:color w:val="000000" w:themeColor="text1"/>
          <w:sz w:val="24"/>
          <w:szCs w:val="24"/>
        </w:rPr>
        <w:t xml:space="preserve"> Gluc</w:t>
      </w:r>
      <w:r w:rsidRPr="00321906">
        <w:rPr>
          <w:rFonts w:ascii="Times New Roman" w:hAnsi="Times New Roman" w:cs="Times New Roman"/>
          <w:i/>
          <w:color w:val="000000" w:themeColor="text1"/>
          <w:sz w:val="24"/>
          <w:szCs w:val="24"/>
        </w:rPr>
        <w:t>N</w:t>
      </w:r>
      <w:r w:rsidRPr="00321906">
        <w:rPr>
          <w:rFonts w:ascii="Times New Roman" w:hAnsi="Times New Roman" w:cs="Times New Roman"/>
          <w:color w:val="000000" w:themeColor="text1"/>
          <w:sz w:val="24"/>
          <w:szCs w:val="24"/>
        </w:rPr>
        <w:t xml:space="preserve">Ac confers resistance to Acm2, LytH activity is enhanced by </w:t>
      </w:r>
      <w:r w:rsidRPr="00321906">
        <w:rPr>
          <w:rFonts w:ascii="Times New Roman" w:hAnsi="Times New Roman" w:cs="Times New Roman"/>
          <w:i/>
          <w:color w:val="000000" w:themeColor="text1"/>
          <w:sz w:val="24"/>
          <w:szCs w:val="24"/>
        </w:rPr>
        <w:t>O</w:t>
      </w:r>
      <w:r w:rsidRPr="00321906">
        <w:rPr>
          <w:rFonts w:ascii="Times New Roman" w:hAnsi="Times New Roman" w:cs="Times New Roman"/>
          <w:color w:val="000000" w:themeColor="text1"/>
          <w:sz w:val="24"/>
          <w:szCs w:val="24"/>
        </w:rPr>
        <w:t>-acetylation of Mur</w:t>
      </w:r>
      <w:r w:rsidRPr="00321906">
        <w:rPr>
          <w:rFonts w:ascii="Times New Roman" w:hAnsi="Times New Roman" w:cs="Times New Roman"/>
          <w:i/>
          <w:color w:val="000000" w:themeColor="text1"/>
          <w:sz w:val="24"/>
          <w:szCs w:val="24"/>
        </w:rPr>
        <w:t>N</w:t>
      </w:r>
      <w:r w:rsidRPr="00321906">
        <w:rPr>
          <w:rFonts w:ascii="Times New Roman" w:hAnsi="Times New Roman" w:cs="Times New Roman"/>
          <w:color w:val="000000" w:themeColor="text1"/>
          <w:sz w:val="24"/>
          <w:szCs w:val="24"/>
        </w:rPr>
        <w:t xml:space="preserve">ac, indicating that positive and negative regulation can be accomodated by such modifications. Bacterial endospores utilise covalent modification of peptidoglycan to differentiate spore-wall structures. Spore cortex has a unique peptidoglycan structure as 50% of muramic acid residues are converted to muramic lactam </w:t>
      </w:r>
      <w:r w:rsidRPr="00321906">
        <w:rPr>
          <w:rFonts w:ascii="Times New Roman" w:hAnsi="Times New Roman" w:cs="Times New Roman"/>
          <w:color w:val="000000" w:themeColor="text1"/>
          <w:sz w:val="24"/>
          <w:szCs w:val="24"/>
        </w:rPr>
        <w:fldChar w:fldCharType="begin"/>
      </w:r>
      <w:r w:rsidRPr="00321906">
        <w:rPr>
          <w:rFonts w:ascii="Times New Roman" w:hAnsi="Times New Roman" w:cs="Times New Roman"/>
          <w:color w:val="000000" w:themeColor="text1"/>
          <w:sz w:val="24"/>
          <w:szCs w:val="24"/>
        </w:rPr>
        <w:instrText xml:space="preserve"> ADDIN ZOTERO_ITEM CSL_CITATION {"citationID":"888rgeged","properties":{"formattedCitation":"(Atrih et al., 1996; Popham et al., 1996)","plainCitation":"(Atrih et al., 1996; Popham et al., 1996)"},"citationItems":[{"id":512,"uris":["http://zotero.org/users/944474/items/6M3BHXEA"],"uri":["http://zotero.org/users/944474/items/6M3BHXEA"],"itemData":{"id":512,"type":"article-journal","title":"Structural analysis of Bacillus subtilis 168 endospore peptidoglycan and its role during differentiation","container-title":"Journal of bacteriology","page":"6173-6183","volume":"178","issue":"21","abstract":"The structure of the endospore cell wall peptidoglycan of Bacillus subtilis has been examined. Spore peptidoglycan was produced by the development of a method based on chemical permeabilization of the spore coats and enzymatic hydrolysis of the peptidoglycan. The resulting muropeptides which were &gt;97% pure were analyzed by reverse-phase high-performance liquid chromatography, amino acid analysis, and mass spectrometry. This revealed that 49% of the muramic acid residues in the glycan backbone were present in the delta-lactam form which occurred predominantly every second muramic acid. The glycosidic bonds adjacent to the muramic acid delta-lactam residues were resistant to the action of muramidases. Of the muramic acid residues, 25.7 and 23.3% were substituted with a tetrapeptide and a single L-alanine, respectively. Only 2% of the muramic acids had tripeptide side chains and may constitute the primordial cell wall, the remainder of the peptidoglycan being spore cortex. The spore peptidoglycan is very loosely cross-linked at only 2.9% of the muramic acid residues, a figure approximately 11-fold less than that of the vegetative cell wall. The peptidoglycan from strain AA110 (dacB) had fivefold-greater cross-linking (14.4%) than the wild type and an altered ratio of muramic acid substituents having 37.0, 46.3, and 12.3% delta-lactam, tetrapeptide, and single L-alanine, respectively. This suggests a role for the DacB protein (penicillin-binding protein 5*) in cortex biosynthesis. The sporulation-specific putative peptidoglycan hydrolase CwlD plays a pivotal role in the establishment of the mature spore cortex structure since strain AA107 (cwlD) has spore peptidoglycan which is completely devoid of muramic acid delta-lactam residues. Despite this drastic change in peptidoglycan structure, the spores are still stable but are unable to germinate. The role of delta-lactam and other spore peptidoglycan structural features in the maintenance of dormancy, heat resistance, and germination is discussed.","note":"PMID: 8892816","journalAbbreviation":"J. Bacteriol.","author":[{"family":"Atrih","given":"A"},{"family":"Zöllner","given":"P"},{"family":"Allmaier","given":"G"},{"family":"Foster","given":"S J"}],"issued":{"year":1996,"month":11},"accessed":{"year":2012,"month":6,"day":18},"page-first":"6173"}},{"id":508,"uris":["http://zotero.org/users/944474/items/WIMUTFTS"],"uri":["http://zotero.org/users/944474/items/WIMUTFTS"],"itemData":{"id":508,"type":"article-journal","title":"Muramic lactam in peptidoglycan of Bacillus subtilis spores is required for spore outgrowth but not for spore dehydration or heat resistance","container-title":"Proceedings of the National Academy of Sciences of the United States of America","page":"15405-15410","volume":"93","issue":"26","abstract":"Bacterial endospores derive much of their longevity and resistance properties from the relative dehydration of their protoplasts. The spore cortex, a peptidoglycan structure surrounding the protoplasm, maintains, and is postulated to have a role in attaining, protoplast dehydration. A structural modification unique to the spore cortex is the removal of all or part of the peptide side chains from the majority of the muramic acid residues and the conversion of 50% of the muramic acid to muramic lactam. A mutation in the cwlD gene of Bacillus subtilis, predicted to encode a muramoyl-L-alanine amidase, results in the production of spores containing no muramic lactam. These spores have normally dehydrated protoplasts but are unable to complete the germination/ outgrowth process to produce viable cells. Addition of germinants resulted in the triggering of germination with loss of spore refractility and the release of dipicolinic acid but no degradation of cortex peptidoglycan. Germination in the presence of lysozyme allowed the cwlD spores to produce viable cells and showed that they have normal heat resistance properties. These results (i) suggest that a mechanical activity of the cortex peptidoglycan is not required for the generation of protoplast dehydration but rather that it simply serves as a static structure to maintain dehydration, (ii) demonstrate that degradation of cortex peptidoglycan is not required for spore solute release or partial spore core rehydration during germination, (iii) indicate that muramic lactam is a major specificity determinant of germination lytic enzymes, and (iv) suggest the mechanism by which the spore cortex is degraded during germination while the germ cell wall is left intact.","note":"PMID: 8986824","journalAbbreviation":"Proc. Natl. Acad. Sci. U.S.A.","author":[{"family":"Popham","given":"D L"},{"family":"Helin","given":"J"},{"family":"Costello","given":"C E"},{"family":"Setlow","given":"P"}],"issued":{"year":1996,"month":12,"day":24},"accessed":{"year":2012,"month":6,"day":18},"page-first":"15405"}}],"schema":"https://github.com/citation-style-language/schema/raw/master/csl-citation.json"} </w:instrText>
      </w:r>
      <w:r w:rsidRPr="00321906">
        <w:rPr>
          <w:rFonts w:ascii="Times New Roman" w:hAnsi="Times New Roman" w:cs="Times New Roman"/>
          <w:color w:val="000000" w:themeColor="text1"/>
          <w:sz w:val="24"/>
          <w:szCs w:val="24"/>
        </w:rPr>
        <w:fldChar w:fldCharType="separate"/>
      </w:r>
      <w:r w:rsidRPr="00321906">
        <w:rPr>
          <w:rFonts w:ascii="Times New Roman" w:hAnsi="Times New Roman" w:cs="Times New Roman"/>
          <w:color w:val="000000" w:themeColor="text1"/>
          <w:sz w:val="24"/>
        </w:rPr>
        <w:t xml:space="preserve">(Atrih </w:t>
      </w:r>
      <w:r w:rsidRPr="00C521B3">
        <w:rPr>
          <w:rFonts w:ascii="Times New Roman" w:hAnsi="Times New Roman" w:cs="Times New Roman"/>
          <w:i/>
          <w:color w:val="000000" w:themeColor="text1"/>
          <w:sz w:val="24"/>
        </w:rPr>
        <w:t>et al</w:t>
      </w:r>
      <w:r w:rsidRPr="00321906">
        <w:rPr>
          <w:rFonts w:ascii="Times New Roman" w:hAnsi="Times New Roman" w:cs="Times New Roman"/>
          <w:color w:val="000000" w:themeColor="text1"/>
          <w:sz w:val="24"/>
        </w:rPr>
        <w:t xml:space="preserve">., 1996; Popham </w:t>
      </w:r>
      <w:r w:rsidRPr="00C521B3">
        <w:rPr>
          <w:rFonts w:ascii="Times New Roman" w:hAnsi="Times New Roman" w:cs="Times New Roman"/>
          <w:i/>
          <w:color w:val="000000" w:themeColor="text1"/>
          <w:sz w:val="24"/>
        </w:rPr>
        <w:t xml:space="preserve">et </w:t>
      </w:r>
      <w:r w:rsidRPr="00C521B3">
        <w:rPr>
          <w:rFonts w:ascii="Times New Roman" w:hAnsi="Times New Roman" w:cs="Times New Roman"/>
          <w:i/>
          <w:color w:val="000000" w:themeColor="text1"/>
          <w:sz w:val="24"/>
        </w:rPr>
        <w:lastRenderedPageBreak/>
        <w:t>al</w:t>
      </w:r>
      <w:r w:rsidRPr="00321906">
        <w:rPr>
          <w:rFonts w:ascii="Times New Roman" w:hAnsi="Times New Roman" w:cs="Times New Roman"/>
          <w:color w:val="000000" w:themeColor="text1"/>
          <w:sz w:val="24"/>
        </w:rPr>
        <w:t>., 1996)</w:t>
      </w:r>
      <w:r w:rsidRPr="00321906">
        <w:rPr>
          <w:rFonts w:ascii="Times New Roman" w:hAnsi="Times New Roman" w:cs="Times New Roman"/>
          <w:color w:val="000000" w:themeColor="text1"/>
          <w:sz w:val="24"/>
          <w:szCs w:val="24"/>
        </w:rPr>
        <w:fldChar w:fldCharType="end"/>
      </w:r>
      <w:r w:rsidRPr="00321906">
        <w:rPr>
          <w:rFonts w:ascii="Times New Roman" w:hAnsi="Times New Roman" w:cs="Times New Roman"/>
          <w:color w:val="000000" w:themeColor="text1"/>
          <w:sz w:val="24"/>
          <w:szCs w:val="24"/>
        </w:rPr>
        <w:t xml:space="preserve">. This modification permits selective hydrolysis of the cortical peptidoglycan by </w:t>
      </w:r>
      <w:r w:rsidRPr="00321906">
        <w:rPr>
          <w:rFonts w:ascii="Times New Roman" w:hAnsi="Times New Roman" w:cs="Times New Roman"/>
          <w:i/>
          <w:color w:val="000000" w:themeColor="text1"/>
          <w:sz w:val="24"/>
          <w:szCs w:val="24"/>
        </w:rPr>
        <w:t>G</w:t>
      </w:r>
      <w:r w:rsidRPr="00321906">
        <w:rPr>
          <w:rFonts w:ascii="Times New Roman" w:hAnsi="Times New Roman" w:cs="Times New Roman"/>
          <w:color w:val="000000" w:themeColor="text1"/>
          <w:sz w:val="24"/>
          <w:szCs w:val="24"/>
        </w:rPr>
        <w:t xml:space="preserve">ermination </w:t>
      </w:r>
      <w:r w:rsidRPr="00321906">
        <w:rPr>
          <w:rFonts w:ascii="Times New Roman" w:hAnsi="Times New Roman" w:cs="Times New Roman"/>
          <w:i/>
          <w:color w:val="000000" w:themeColor="text1"/>
          <w:sz w:val="24"/>
          <w:szCs w:val="24"/>
        </w:rPr>
        <w:t>s</w:t>
      </w:r>
      <w:r w:rsidRPr="00321906">
        <w:rPr>
          <w:rFonts w:ascii="Times New Roman" w:hAnsi="Times New Roman" w:cs="Times New Roman"/>
          <w:color w:val="000000" w:themeColor="text1"/>
          <w:sz w:val="24"/>
          <w:szCs w:val="24"/>
        </w:rPr>
        <w:t>pecific cortex-</w:t>
      </w:r>
      <w:r w:rsidRPr="00321906">
        <w:rPr>
          <w:rFonts w:ascii="Times New Roman" w:hAnsi="Times New Roman" w:cs="Times New Roman"/>
          <w:i/>
          <w:color w:val="000000" w:themeColor="text1"/>
          <w:sz w:val="24"/>
          <w:szCs w:val="24"/>
        </w:rPr>
        <w:t>l</w:t>
      </w:r>
      <w:r w:rsidRPr="00321906">
        <w:rPr>
          <w:rFonts w:ascii="Times New Roman" w:hAnsi="Times New Roman" w:cs="Times New Roman"/>
          <w:color w:val="000000" w:themeColor="text1"/>
          <w:sz w:val="24"/>
          <w:szCs w:val="24"/>
        </w:rPr>
        <w:t xml:space="preserve">ytic </w:t>
      </w:r>
      <w:r w:rsidRPr="00321906">
        <w:rPr>
          <w:rFonts w:ascii="Times New Roman" w:hAnsi="Times New Roman" w:cs="Times New Roman"/>
          <w:i/>
          <w:color w:val="000000" w:themeColor="text1"/>
          <w:sz w:val="24"/>
          <w:szCs w:val="24"/>
        </w:rPr>
        <w:t>e</w:t>
      </w:r>
      <w:r w:rsidRPr="00321906">
        <w:rPr>
          <w:rFonts w:ascii="Times New Roman" w:hAnsi="Times New Roman" w:cs="Times New Roman"/>
          <w:color w:val="000000" w:themeColor="text1"/>
          <w:sz w:val="24"/>
          <w:szCs w:val="24"/>
        </w:rPr>
        <w:t xml:space="preserve">nzymes (GSLE) upon triggering of germination, whilst leaving the primordial cell wall intact </w:t>
      </w:r>
      <w:r w:rsidRPr="00321906">
        <w:rPr>
          <w:rFonts w:ascii="Times New Roman" w:hAnsi="Times New Roman" w:cs="Times New Roman"/>
          <w:color w:val="000000" w:themeColor="text1"/>
          <w:sz w:val="24"/>
          <w:szCs w:val="24"/>
        </w:rPr>
        <w:fldChar w:fldCharType="begin"/>
      </w:r>
      <w:r w:rsidRPr="00321906">
        <w:rPr>
          <w:rFonts w:ascii="Times New Roman" w:hAnsi="Times New Roman" w:cs="Times New Roman"/>
          <w:color w:val="000000" w:themeColor="text1"/>
          <w:sz w:val="24"/>
          <w:szCs w:val="24"/>
        </w:rPr>
        <w:instrText xml:space="preserve"> ADDIN ZOTERO_ITEM CSL_CITATION {"citationID":"mcjjpo5st","properties":{"formattedCitation":"(Smith et al., 2000)","plainCitation":"(Smith et al., 2000)"},"citationItems":[{"id":29,"uris":["http://zotero.org/users/944474/items/PW3FWR5H"],"uri":["http://zotero.org/users/944474/items/PW3FWR5H"],"itemData":{"id":29,"type":"article-journal","title":"Autolysins of Bacillus subtilis: multiple enzymes with multiple functions","container-title":"Microbiology (Reading, England)","page":"249-262","volume":"146 ( Pt 2)","note":"PMID: 10708363","shortTitle":"Autolysins of Bacillus subtilis","journalAbbreviation":"Microbiology (Reading, Engl.)","author":[{"family":"Smith","given":"T J"},{"family":"Blackman","given":"S A"},{"family":"Foster","given":"S J"}],"issued":{"year":2000,"month":2},"accessed":{"year":2012,"month":3,"day":6},"page-first":"249"}}],"schema":"https://github.com/citation-style-language/schema/raw/master/csl-citation.json"} </w:instrText>
      </w:r>
      <w:r w:rsidRPr="00321906">
        <w:rPr>
          <w:rFonts w:ascii="Times New Roman" w:hAnsi="Times New Roman" w:cs="Times New Roman"/>
          <w:color w:val="000000" w:themeColor="text1"/>
          <w:sz w:val="24"/>
          <w:szCs w:val="24"/>
        </w:rPr>
        <w:fldChar w:fldCharType="separate"/>
      </w:r>
      <w:r w:rsidRPr="00321906">
        <w:rPr>
          <w:rFonts w:ascii="Times New Roman" w:hAnsi="Times New Roman" w:cs="Times New Roman"/>
          <w:color w:val="000000" w:themeColor="text1"/>
          <w:sz w:val="24"/>
        </w:rPr>
        <w:t xml:space="preserve">(Smith </w:t>
      </w:r>
      <w:r w:rsidRPr="00C521B3">
        <w:rPr>
          <w:rFonts w:ascii="Times New Roman" w:hAnsi="Times New Roman" w:cs="Times New Roman"/>
          <w:i/>
          <w:color w:val="000000" w:themeColor="text1"/>
          <w:sz w:val="24"/>
        </w:rPr>
        <w:t>et al</w:t>
      </w:r>
      <w:r w:rsidRPr="00321906">
        <w:rPr>
          <w:rFonts w:ascii="Times New Roman" w:hAnsi="Times New Roman" w:cs="Times New Roman"/>
          <w:color w:val="000000" w:themeColor="text1"/>
          <w:sz w:val="24"/>
        </w:rPr>
        <w:t>., 2000)</w:t>
      </w:r>
      <w:r w:rsidRPr="00321906">
        <w:rPr>
          <w:rFonts w:ascii="Times New Roman" w:hAnsi="Times New Roman" w:cs="Times New Roman"/>
          <w:color w:val="000000" w:themeColor="text1"/>
          <w:sz w:val="24"/>
          <w:szCs w:val="24"/>
        </w:rPr>
        <w:fldChar w:fldCharType="end"/>
      </w:r>
      <w:r w:rsidRPr="00321906">
        <w:rPr>
          <w:rFonts w:ascii="Times New Roman" w:hAnsi="Times New Roman" w:cs="Times New Roman"/>
          <w:color w:val="000000" w:themeColor="text1"/>
          <w:sz w:val="24"/>
          <w:szCs w:val="24"/>
        </w:rPr>
        <w:t>. GSLE is synthesised as a pro-form which is covalently bound to the peptidoglycan s</w:t>
      </w:r>
      <w:r>
        <w:rPr>
          <w:rFonts w:ascii="Times New Roman" w:hAnsi="Times New Roman" w:cs="Times New Roman"/>
          <w:color w:val="000000" w:themeColor="text1"/>
          <w:sz w:val="24"/>
          <w:szCs w:val="24"/>
        </w:rPr>
        <w:t>ubstrate and activated upon rel</w:t>
      </w:r>
      <w:r w:rsidRPr="00321906">
        <w:rPr>
          <w:rFonts w:ascii="Times New Roman" w:hAnsi="Times New Roman" w:cs="Times New Roman"/>
          <w:color w:val="000000" w:themeColor="text1"/>
          <w:sz w:val="24"/>
          <w:szCs w:val="24"/>
        </w:rPr>
        <w:t>ease from the cell wall by proteolytic cleavage</w:t>
      </w:r>
      <w:r>
        <w:rPr>
          <w:rFonts w:ascii="Times New Roman" w:hAnsi="Times New Roman" w:cs="Times New Roman"/>
          <w:color w:val="000000" w:themeColor="text1"/>
          <w:sz w:val="24"/>
          <w:szCs w:val="24"/>
        </w:rPr>
        <w:t xml:space="preserve"> </w:t>
      </w:r>
      <w:r w:rsidRPr="00321906">
        <w:rPr>
          <w:rFonts w:ascii="Times New Roman" w:hAnsi="Times New Roman" w:cs="Times New Roman"/>
          <w:color w:val="000000" w:themeColor="text1"/>
          <w:sz w:val="24"/>
          <w:szCs w:val="24"/>
        </w:rPr>
        <w:fldChar w:fldCharType="begin"/>
      </w:r>
      <w:r w:rsidRPr="00321906">
        <w:rPr>
          <w:rFonts w:ascii="Times New Roman" w:hAnsi="Times New Roman" w:cs="Times New Roman"/>
          <w:color w:val="000000" w:themeColor="text1"/>
          <w:sz w:val="24"/>
          <w:szCs w:val="24"/>
        </w:rPr>
        <w:instrText xml:space="preserve"> ADDIN ZOTERO_ITEM CSL_CITATION {"citationID":"23rlv177n1","properties":{"formattedCitation":"(Foster and Johnstone, 1988)","plainCitation":"(Foster and Johnstone, 1988)"},"citationItems":[{"id":506,"uris":["http://zotero.org/users/944474/items/DWT5HKIH"],"uri":["http://zotero.org/users/944474/items/DWT5HKIH"],"itemData":{"id":506,"type":"article-journal","title":"Germination-specific cortex-lytic enzyme is activated during triggering of Bacillus megaterium KM spore germination","container-title":"Molecular microbiology","page":"727-733","volume":"2","issue":"6","abstract":"Antibodies were raised against purified germination-specific cortex-lytic enzyme (GSLE) from spores of Bacillus megaterium KM which neutralized the ability of GSLE to germinate permeabilized spores. Western blotting of dormant spore and vegetative cell fractions separated by SDS-PAGE demonstrated that GSLE is spore-specific and that greater than 90% of the GSLE is associated with the dormant spore cortex peptidoglycan as a phosphorylated 63kD pro-form, which could only be visualized after lysozyme digestion of the peptidoglycan. During germination, the 63kD pro-form of GSLE is processed to release the active enzyme, which had an apparent molecular weight of 30kD. Inhibitor studies demonstrated that GSLE activation occurs as part of the commitment reaction and thus represents the first-identified enzymatic event to occur during germination triggering. Proteins that cross-react with anti-GSLE sera are present in spore fractions of other species.","note":"PMID: 3145385","journalAbbreviation":"Mol. Microbiol.","author":[{"family":"Foster","given":"S J"},{"family":"Johnstone","given":"K"}],"issued":{"year":1988,"month":11},"accessed":{"year":2012,"month":6,"day":18},"page-first":"727"}}],"schema":"https://github.com/citation-style-language/schema/raw/master/csl-citation.json"} </w:instrText>
      </w:r>
      <w:r w:rsidRPr="00321906">
        <w:rPr>
          <w:rFonts w:ascii="Times New Roman" w:hAnsi="Times New Roman" w:cs="Times New Roman"/>
          <w:color w:val="000000" w:themeColor="text1"/>
          <w:sz w:val="24"/>
          <w:szCs w:val="24"/>
        </w:rPr>
        <w:fldChar w:fldCharType="separate"/>
      </w:r>
      <w:r w:rsidRPr="00321906">
        <w:rPr>
          <w:rFonts w:ascii="Times New Roman" w:hAnsi="Times New Roman" w:cs="Times New Roman"/>
          <w:color w:val="000000" w:themeColor="text1"/>
          <w:sz w:val="24"/>
        </w:rPr>
        <w:t>(Foster and Johnstone, 1988)</w:t>
      </w:r>
      <w:r w:rsidRPr="00321906">
        <w:rPr>
          <w:rFonts w:ascii="Times New Roman" w:hAnsi="Times New Roman" w:cs="Times New Roman"/>
          <w:color w:val="000000" w:themeColor="text1"/>
          <w:sz w:val="24"/>
          <w:szCs w:val="24"/>
        </w:rPr>
        <w:fldChar w:fldCharType="end"/>
      </w:r>
      <w:r w:rsidRPr="00321906">
        <w:rPr>
          <w:rFonts w:ascii="Times New Roman" w:hAnsi="Times New Roman" w:cs="Times New Roman"/>
          <w:color w:val="000000" w:themeColor="text1"/>
          <w:sz w:val="24"/>
          <w:szCs w:val="24"/>
        </w:rPr>
        <w:t xml:space="preserve">. Peptidoglycan conformation is also a factor, as GSLE hydrolyses the stressed cortex of intact spores, but not the relaxed cortex of mechanically broken spores </w:t>
      </w:r>
      <w:r w:rsidRPr="00321906">
        <w:rPr>
          <w:rFonts w:ascii="Times New Roman" w:hAnsi="Times New Roman" w:cs="Times New Roman"/>
          <w:color w:val="000000" w:themeColor="text1"/>
          <w:sz w:val="24"/>
          <w:szCs w:val="24"/>
        </w:rPr>
        <w:fldChar w:fldCharType="begin"/>
      </w:r>
      <w:r w:rsidRPr="00321906">
        <w:rPr>
          <w:rFonts w:ascii="Times New Roman" w:hAnsi="Times New Roman" w:cs="Times New Roman"/>
          <w:color w:val="000000" w:themeColor="text1"/>
          <w:sz w:val="24"/>
          <w:szCs w:val="24"/>
        </w:rPr>
        <w:instrText xml:space="preserve"> ADDIN ZOTERO_ITEM CSL_CITATION {"citationID":"14aooi6u56","properties":{"formattedCitation":"(Foster and Johnstone, 1987)","plainCitation":"(Foster and Johnstone, 1987)"},"citationItems":[{"id":507,"uris":["http://zotero.org/users/944474/items/K6TBWJBJ"],"uri":["http://zotero.org/users/944474/items/K6TBWJBJ"],"itemData":{"id":507,"type":"article-journal","title":"Purification and properties of a germination-specific cortex-lytic enzyme from spores of Bacillus megaterium KM","container-title":"The Biochemical journal","page":"573-579","volume":"242","issue":"2","abstract":"Two peptidoglycan-lytic enzyme activities were isolated from spores of Bacillus megaterium KM. Surface-bound lytic enzyme was extracted from dormant spores and hydrolysed a variety of peptidoglycan substrates including isolated spore cortex, but did not cause refractility changes in permeabilized spores. Germination-specific lytic enzyme activity appeared early in germination and had minimal activity on isolated peptidoglycan substrates, but caused refractility changes in permeabilized spores of several Bacillus isolated peptidoglycan substrates, but caused refractility changes in permeabilized spores of several Bacillus species. The germination-specific lytic enzyme was shown to be a heat-sensitive 29 kDa protein with maximal activity at pH 6.5. It catalysed post-commitment muramic acid delta-lactam synthesis and displayed an inhibitor profile similar to that for post-commitment A600 loss. The relationship of the germination-specific enzyme to a recently proposed model of spore germination is discussed.","note":"PMID: 3109395","journalAbbreviation":"Biochem. J.","author":[{"family":"Foster","given":"S J"},{"family":"Johnstone","given":"K"}],"issued":{"year":1987,"month":3,"day":1},"accessed":{"year":2012,"month":6,"day":18},"page-first":"573"}}],"schema":"https://github.com/citation-style-language/schema/raw/master/csl-citation.json"} </w:instrText>
      </w:r>
      <w:r w:rsidRPr="00321906">
        <w:rPr>
          <w:rFonts w:ascii="Times New Roman" w:hAnsi="Times New Roman" w:cs="Times New Roman"/>
          <w:color w:val="000000" w:themeColor="text1"/>
          <w:sz w:val="24"/>
          <w:szCs w:val="24"/>
        </w:rPr>
        <w:fldChar w:fldCharType="separate"/>
      </w:r>
      <w:r w:rsidRPr="00321906">
        <w:rPr>
          <w:rFonts w:ascii="Times New Roman" w:hAnsi="Times New Roman" w:cs="Times New Roman"/>
          <w:color w:val="000000" w:themeColor="text1"/>
          <w:sz w:val="24"/>
        </w:rPr>
        <w:t>(Foster and Johnstone, 1987)</w:t>
      </w:r>
      <w:r w:rsidRPr="00321906">
        <w:rPr>
          <w:rFonts w:ascii="Times New Roman" w:hAnsi="Times New Roman" w:cs="Times New Roman"/>
          <w:color w:val="000000" w:themeColor="text1"/>
          <w:sz w:val="24"/>
          <w:szCs w:val="24"/>
        </w:rPr>
        <w:fldChar w:fldCharType="end"/>
      </w:r>
      <w:r w:rsidRPr="00321906">
        <w:rPr>
          <w:rFonts w:ascii="Times New Roman" w:hAnsi="Times New Roman" w:cs="Times New Roman"/>
          <w:color w:val="000000" w:themeColor="text1"/>
          <w:sz w:val="24"/>
          <w:szCs w:val="24"/>
        </w:rPr>
        <w:t xml:space="preserve">. </w:t>
      </w:r>
    </w:p>
    <w:p w:rsidR="00BC7652" w:rsidRPr="00321906" w:rsidRDefault="00BC7652" w:rsidP="00BC7652">
      <w:pPr>
        <w:spacing w:line="480" w:lineRule="auto"/>
        <w:jc w:val="both"/>
        <w:rPr>
          <w:rFonts w:ascii="Times New Roman" w:hAnsi="Times New Roman" w:cs="Times New Roman"/>
          <w:color w:val="000000" w:themeColor="text1"/>
          <w:sz w:val="24"/>
          <w:szCs w:val="24"/>
        </w:rPr>
      </w:pPr>
    </w:p>
    <w:p w:rsidR="00BC7652" w:rsidRPr="00321906" w:rsidRDefault="00BC7652" w:rsidP="00BC7652">
      <w:pPr>
        <w:tabs>
          <w:tab w:val="left" w:pos="1276"/>
        </w:tabs>
        <w:autoSpaceDE w:val="0"/>
        <w:autoSpaceDN w:val="0"/>
        <w:adjustRightInd w:val="0"/>
        <w:spacing w:line="480" w:lineRule="auto"/>
        <w:jc w:val="both"/>
        <w:rPr>
          <w:rFonts w:ascii="Times New Roman" w:hAnsi="Times New Roman" w:cs="Times New Roman"/>
          <w:color w:val="000000" w:themeColor="text1"/>
          <w:sz w:val="28"/>
          <w:szCs w:val="28"/>
        </w:rPr>
      </w:pPr>
      <w:r w:rsidRPr="00321906">
        <w:rPr>
          <w:rFonts w:ascii="Times New Roman" w:hAnsi="Times New Roman" w:cs="Times New Roman"/>
          <w:color w:val="000000" w:themeColor="text1"/>
          <w:sz w:val="28"/>
          <w:szCs w:val="28"/>
        </w:rPr>
        <w:t>1.8</w:t>
      </w:r>
      <w:r w:rsidRPr="00321906">
        <w:rPr>
          <w:rFonts w:ascii="Times New Roman" w:hAnsi="Times New Roman" w:cs="Times New Roman"/>
          <w:color w:val="000000" w:themeColor="text1"/>
          <w:sz w:val="28"/>
          <w:szCs w:val="28"/>
        </w:rPr>
        <w:tab/>
        <w:t>Models of peptidoglycan architecture</w:t>
      </w:r>
    </w:p>
    <w:p w:rsidR="00BC7652" w:rsidRPr="00321906" w:rsidRDefault="00BC7652" w:rsidP="00BC7652">
      <w:pPr>
        <w:spacing w:line="480" w:lineRule="auto"/>
        <w:jc w:val="both"/>
        <w:rPr>
          <w:rFonts w:ascii="Times New Roman" w:hAnsi="Times New Roman" w:cs="Times New Roman"/>
          <w:color w:val="000000" w:themeColor="text1"/>
          <w:sz w:val="24"/>
          <w:szCs w:val="24"/>
        </w:rPr>
      </w:pPr>
      <w:r w:rsidRPr="00321906">
        <w:rPr>
          <w:rFonts w:ascii="Times New Roman" w:hAnsi="Times New Roman" w:cs="Times New Roman"/>
          <w:color w:val="000000" w:themeColor="text1"/>
          <w:sz w:val="24"/>
          <w:szCs w:val="24"/>
        </w:rPr>
        <w:t xml:space="preserve">Although peptidoglycan is biochemically well characterised, the three-dimensional architecture of the peptidoglycan layer </w:t>
      </w:r>
      <w:r w:rsidRPr="00321906">
        <w:rPr>
          <w:rFonts w:ascii="Times New Roman" w:hAnsi="Times New Roman" w:cs="Times New Roman"/>
          <w:i/>
          <w:color w:val="000000" w:themeColor="text1"/>
          <w:sz w:val="24"/>
          <w:szCs w:val="24"/>
        </w:rPr>
        <w:t xml:space="preserve">in vivo </w:t>
      </w:r>
      <w:r w:rsidRPr="00321906">
        <w:rPr>
          <w:rFonts w:ascii="Times New Roman" w:hAnsi="Times New Roman" w:cs="Times New Roman"/>
          <w:color w:val="000000" w:themeColor="text1"/>
          <w:sz w:val="24"/>
          <w:szCs w:val="24"/>
        </w:rPr>
        <w:t>is poorly understood (Vollmer and Seligman, 2010). One of the major hurdles to elucidati</w:t>
      </w:r>
      <w:r>
        <w:rPr>
          <w:rFonts w:ascii="Times New Roman" w:hAnsi="Times New Roman" w:cs="Times New Roman"/>
          <w:sz w:val="24"/>
          <w:szCs w:val="24"/>
        </w:rPr>
        <w:t>on of</w:t>
      </w:r>
      <w:r w:rsidRPr="00630253">
        <w:rPr>
          <w:rFonts w:ascii="Times New Roman" w:hAnsi="Times New Roman" w:cs="Times New Roman"/>
          <w:sz w:val="24"/>
          <w:szCs w:val="24"/>
        </w:rPr>
        <w:t xml:space="preserve"> cell wall architecture is the inability to resolve discrete, intact fragments of the complex peptidoglycan </w:t>
      </w:r>
      <w:r w:rsidRPr="00321906">
        <w:rPr>
          <w:rFonts w:ascii="Times New Roman" w:hAnsi="Times New Roman" w:cs="Times New Roman"/>
          <w:color w:val="000000" w:themeColor="text1"/>
          <w:sz w:val="24"/>
          <w:szCs w:val="24"/>
        </w:rPr>
        <w:t xml:space="preserve">macromolecule </w:t>
      </w:r>
      <w:r w:rsidRPr="00321906">
        <w:rPr>
          <w:rFonts w:ascii="Times New Roman" w:hAnsi="Times New Roman" w:cs="Times New Roman"/>
          <w:color w:val="000000" w:themeColor="text1"/>
          <w:sz w:val="24"/>
          <w:szCs w:val="24"/>
        </w:rPr>
        <w:fldChar w:fldCharType="begin"/>
      </w:r>
      <w:r w:rsidRPr="00321906">
        <w:rPr>
          <w:rFonts w:ascii="Times New Roman" w:hAnsi="Times New Roman" w:cs="Times New Roman"/>
          <w:color w:val="000000" w:themeColor="text1"/>
          <w:sz w:val="24"/>
          <w:szCs w:val="24"/>
        </w:rPr>
        <w:instrText xml:space="preserve"> ADDIN ZOTERO_ITEM CSL_CITATION {"citationID":"j45u64fnb","properties":{"formattedCitation":"(Meroueh et al., 2006)","plainCitation":"(Meroueh et al., 2006)"},"citationItems":[{"id":83,"uris":["http://zotero.org/users/944474/items/WHSAE7JK"],"uri":["http://zotero.org/users/944474/items/WHSAE7JK"],"itemData":{"id":83,"type":"article-journal","title":"Three-dimensional structure of the bacterial cell wall peptidoglycan","container-title":"Proceedings of the National Academy of Sciences of the United States of America","page":"4404-4409","volume":"103","issue":"12","abstract":"The 3D structure of the bacterial peptidoglycan, the major constituent of the cell wall, is one of the most important, yet still unsolved, structural problems in biochemistry. The peptidoglycan comprises alternating N-acetylglucosamine (NAG) and N-acetylmuramic disaccharide (NAM) saccharides, the latter of which has a peptide stem. Adjacent peptide stems are cross-linked by the transpeptidase enzymes of cell wall biosynthesis to provide the cell wall polymer with the structural integrity required by the bacterium. The cell wall and its biosynthetic enzymes are targets of antibiotics. The 3D structure of the cell wall has been elusive because of its complexity and the lack of pure samples. Herein we report the 3D solution structure as determined by NMR of the 2-kDa NAG-NAM(pentapeptide)-NAG-NAM(pentapeptide) synthetic fragment of the cell wall. The glycan backbone of this peptidoglycan forms a right-handed helix with a periodicity of three for the NAG-NAM repeat (per turn of the helix). The first two amino acids of the pentapeptide adopt a limited number of conformations. Based on this structure a model for the bacterial cell wall is proposed.","DOI":"10.1073/pnas.0510182103","note":"PMID: 16537437","journalAbbreviation":"Proc. Natl. Acad. Sci. U.S.A.","author":[{"family":"Meroueh","given":"Samy O"},{"family":"Bencze","given":"Krisztina Z"},{"family":"Hesek","given":"Dusan"},{"family":"Lee","given":"Mijoon"},{"family":"Fisher","given":"Jed F"},{"family":"Stemmler","given":"Timothy L"},{"family":"Mobashery","given":"Shahriar"}],"issued":{"year":2006,"month":3,"day":21},"accessed":{"year":2012,"month":4,"day":2},"page-first":"4404"}}],"schema":"https://github.com/citation-style-language/schema/raw/master/csl-citation.json"} </w:instrText>
      </w:r>
      <w:r w:rsidRPr="00321906">
        <w:rPr>
          <w:rFonts w:ascii="Times New Roman" w:hAnsi="Times New Roman" w:cs="Times New Roman"/>
          <w:color w:val="000000" w:themeColor="text1"/>
          <w:sz w:val="24"/>
          <w:szCs w:val="24"/>
        </w:rPr>
        <w:fldChar w:fldCharType="separate"/>
      </w:r>
      <w:r w:rsidRPr="00321906">
        <w:rPr>
          <w:rFonts w:ascii="Times New Roman" w:hAnsi="Times New Roman" w:cs="Times New Roman"/>
          <w:color w:val="000000" w:themeColor="text1"/>
          <w:sz w:val="24"/>
        </w:rPr>
        <w:t xml:space="preserve">(Meroueh </w:t>
      </w:r>
      <w:r w:rsidRPr="00C521B3">
        <w:rPr>
          <w:rFonts w:ascii="Times New Roman" w:hAnsi="Times New Roman" w:cs="Times New Roman"/>
          <w:i/>
          <w:color w:val="000000" w:themeColor="text1"/>
          <w:sz w:val="24"/>
        </w:rPr>
        <w:t>et al</w:t>
      </w:r>
      <w:r w:rsidRPr="00321906">
        <w:rPr>
          <w:rFonts w:ascii="Times New Roman" w:hAnsi="Times New Roman" w:cs="Times New Roman"/>
          <w:color w:val="000000" w:themeColor="text1"/>
          <w:sz w:val="24"/>
        </w:rPr>
        <w:t>., 2006)</w:t>
      </w:r>
      <w:r w:rsidRPr="00321906">
        <w:rPr>
          <w:rFonts w:ascii="Times New Roman" w:hAnsi="Times New Roman" w:cs="Times New Roman"/>
          <w:color w:val="000000" w:themeColor="text1"/>
          <w:sz w:val="24"/>
          <w:szCs w:val="24"/>
        </w:rPr>
        <w:fldChar w:fldCharType="end"/>
      </w:r>
      <w:r w:rsidRPr="00321906">
        <w:rPr>
          <w:rFonts w:ascii="Times New Roman" w:hAnsi="Times New Roman" w:cs="Times New Roman"/>
          <w:color w:val="000000" w:themeColor="text1"/>
          <w:sz w:val="24"/>
          <w:szCs w:val="24"/>
        </w:rPr>
        <w:t>. Many architectural models have been proposed, and debate typically centres around two opposing models of glycan strand orientation, the classical planar model and the vertical scaffold model (Figure 1.11A).</w:t>
      </w:r>
    </w:p>
    <w:p w:rsidR="00BC7652" w:rsidRPr="00321906" w:rsidRDefault="00BC7652" w:rsidP="00BC7652">
      <w:pPr>
        <w:spacing w:line="480" w:lineRule="auto"/>
        <w:jc w:val="both"/>
        <w:rPr>
          <w:rFonts w:ascii="Times New Roman" w:hAnsi="Times New Roman" w:cs="Times New Roman"/>
          <w:color w:val="000000" w:themeColor="text1"/>
          <w:sz w:val="24"/>
          <w:szCs w:val="24"/>
        </w:rPr>
      </w:pPr>
    </w:p>
    <w:p w:rsidR="00BC7652" w:rsidRPr="00321906" w:rsidRDefault="00BC7652" w:rsidP="00BC7652">
      <w:pPr>
        <w:tabs>
          <w:tab w:val="left" w:pos="1276"/>
        </w:tabs>
        <w:spacing w:line="480" w:lineRule="auto"/>
        <w:jc w:val="both"/>
        <w:rPr>
          <w:rFonts w:ascii="Times New Roman" w:hAnsi="Times New Roman" w:cs="Times New Roman"/>
          <w:color w:val="000000" w:themeColor="text1"/>
          <w:sz w:val="28"/>
          <w:szCs w:val="28"/>
        </w:rPr>
      </w:pPr>
      <w:r w:rsidRPr="00321906">
        <w:rPr>
          <w:rFonts w:ascii="Times New Roman" w:hAnsi="Times New Roman" w:cs="Times New Roman"/>
          <w:color w:val="000000" w:themeColor="text1"/>
          <w:sz w:val="28"/>
          <w:szCs w:val="28"/>
        </w:rPr>
        <w:t>1.8.1</w:t>
      </w:r>
      <w:r w:rsidRPr="00321906">
        <w:rPr>
          <w:rFonts w:ascii="Times New Roman" w:hAnsi="Times New Roman" w:cs="Times New Roman"/>
          <w:color w:val="000000" w:themeColor="text1"/>
          <w:sz w:val="28"/>
          <w:szCs w:val="28"/>
        </w:rPr>
        <w:tab/>
        <w:t>Orientation of the glycan strands – planar vs. scaffold model</w:t>
      </w:r>
    </w:p>
    <w:p w:rsidR="00BC7652" w:rsidRDefault="00BC7652" w:rsidP="00BC7652">
      <w:pPr>
        <w:spacing w:line="480" w:lineRule="auto"/>
        <w:jc w:val="both"/>
        <w:rPr>
          <w:rFonts w:ascii="Times New Roman" w:hAnsi="Times New Roman" w:cs="Times New Roman"/>
          <w:sz w:val="24"/>
          <w:szCs w:val="24"/>
        </w:rPr>
      </w:pPr>
      <w:r w:rsidRPr="00321906">
        <w:rPr>
          <w:rFonts w:ascii="Times New Roman" w:hAnsi="Times New Roman" w:cs="Times New Roman"/>
          <w:color w:val="000000" w:themeColor="text1"/>
          <w:sz w:val="24"/>
          <w:szCs w:val="24"/>
        </w:rPr>
        <w:t>In the planar model of peptidoglycan architecture, glycan chains are oriented parallel to the lipid membrane (Figure 1.11A; Koch, 1998). The thick wall</w:t>
      </w:r>
      <w:r>
        <w:rPr>
          <w:rFonts w:ascii="Times New Roman" w:hAnsi="Times New Roman" w:cs="Times New Roman"/>
          <w:sz w:val="24"/>
          <w:szCs w:val="24"/>
        </w:rPr>
        <w:t xml:space="preserve"> of Gram-positive organisms would comprise multiple planar </w:t>
      </w:r>
      <w:r w:rsidRPr="00630253">
        <w:rPr>
          <w:rFonts w:ascii="Times New Roman" w:hAnsi="Times New Roman" w:cs="Times New Roman"/>
          <w:sz w:val="24"/>
          <w:szCs w:val="24"/>
        </w:rPr>
        <w:t>layers</w:t>
      </w:r>
      <w:r>
        <w:rPr>
          <w:rFonts w:ascii="Times New Roman" w:hAnsi="Times New Roman" w:cs="Times New Roman"/>
          <w:sz w:val="24"/>
          <w:szCs w:val="24"/>
        </w:rPr>
        <w:t>. In a cylindrical system (such as a rod-shaped cell), the lateral forces</w:t>
      </w:r>
      <w:r w:rsidRPr="00630253">
        <w:rPr>
          <w:rFonts w:ascii="Times New Roman" w:hAnsi="Times New Roman" w:cs="Times New Roman"/>
          <w:sz w:val="24"/>
          <w:szCs w:val="24"/>
        </w:rPr>
        <w:t xml:space="preserve"> acting on the cylinder wall </w:t>
      </w:r>
      <w:r>
        <w:rPr>
          <w:rFonts w:ascii="Times New Roman" w:hAnsi="Times New Roman" w:cs="Times New Roman"/>
          <w:sz w:val="24"/>
          <w:szCs w:val="24"/>
        </w:rPr>
        <w:t>are</w:t>
      </w:r>
      <w:r w:rsidRPr="00630253">
        <w:rPr>
          <w:rFonts w:ascii="Times New Roman" w:hAnsi="Times New Roman" w:cs="Times New Roman"/>
          <w:sz w:val="24"/>
          <w:szCs w:val="24"/>
        </w:rPr>
        <w:t xml:space="preserve"> twice that of the </w:t>
      </w:r>
      <w:r w:rsidRPr="00630253">
        <w:rPr>
          <w:rFonts w:ascii="Times New Roman" w:hAnsi="Times New Roman" w:cs="Times New Roman"/>
          <w:sz w:val="24"/>
          <w:szCs w:val="24"/>
        </w:rPr>
        <w:lastRenderedPageBreak/>
        <w:t>longitudinal</w:t>
      </w:r>
      <w:r>
        <w:rPr>
          <w:rFonts w:ascii="Times New Roman" w:hAnsi="Times New Roman" w:cs="Times New Roman"/>
          <w:sz w:val="24"/>
          <w:szCs w:val="24"/>
        </w:rPr>
        <w:t xml:space="preserve"> direction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{"citationID":"1v7jp0qi6c","properties":{"formattedCitation":"(Koch, 1998)","plainCitation":"(Koch, 1998)"},"citationItems":[{"id":82,"uris":["http://zotero.org/users/944474/items/RSPA52DZ"],"uri":["http://zotero.org/users/944474/items/RSPA52DZ"],"itemData":{"id":82,"type":"article-journal","title":"Orientation of the peptidoglycan chains in the sacculus of Escherichia coli","container-title":"Research in Microbiology","page":"689-701","volume":"149","issue":"10","abstract":"The organization of chains of oligopeptidoglycan in the saccular wall is of critical importance in the study of the mechanism and physiology of prokaryotic wall growth. The electron microphotographs of De Pedro et al. present new findings and can be used to negate or at least raise questions about the previously accepted conclusion that the glycan chains are oriented transversely to the axis of rod-shaped Escherichia coli. This suggests caution in assuming that the glycan chains in the murein structure are parallel to each other and are perpendicular to the axis of the cell. These results should reopen the question of not only the orientation of the peptidoglycan chains, but the possibility of variability in orientation. Three classes of hypotheses about wall growth are reconsidered and problems with them are presented. The new results from De Pedro's laboratory and the experimental glycan chain length distribution argue against proposed systematic models. These include models that postulate belts or hoops stretched around the circumference of the cell and mechanisms that insert new chains of the length of presumptive \"docking\" strands in the stress-bearing wall. They are consistent, however, with the surface stress theory that proposes that random enzyme action together with physical forces are involved in the elongation of the rod-shaped Gram-negative wall.","note":"PMID: 9921576","journalAbbreviation":"Res. Microbiol.","author":[{"family":"Koch","given":"A L"}],"issued":{"year":1998,"month":12},"accessed":{"year":2012,"month":4,"day":2},"page-first":"689"}}],"schema":"https://github.com/citation-style-language/schema/raw/master/csl-citation.json"} </w:instrText>
      </w:r>
      <w:r>
        <w:rPr>
          <w:rFonts w:ascii="Times New Roman" w:hAnsi="Times New Roman" w:cs="Times New Roman"/>
          <w:sz w:val="24"/>
          <w:szCs w:val="24"/>
        </w:rPr>
        <w:fldChar w:fldCharType="separate"/>
      </w:r>
      <w:r w:rsidRPr="00062627">
        <w:rPr>
          <w:rFonts w:ascii="Times New Roman" w:hAnsi="Times New Roman" w:cs="Times New Roman"/>
          <w:sz w:val="24"/>
        </w:rPr>
        <w:t>(Koch, 1998)</w:t>
      </w:r>
      <w:r>
        <w:rPr>
          <w:rFonts w:ascii="Times New Roman" w:hAnsi="Times New Roman" w:cs="Times New Roman"/>
          <w:sz w:val="24"/>
          <w:szCs w:val="24"/>
        </w:rPr>
        <w:fldChar w:fldCharType="end"/>
      </w:r>
      <w:r>
        <w:rPr>
          <w:rFonts w:ascii="Times New Roman" w:hAnsi="Times New Roman" w:cs="Times New Roman"/>
          <w:sz w:val="24"/>
          <w:szCs w:val="24"/>
        </w:rPr>
        <w:t xml:space="preserve">. Therefore the rather inelastic glycan strands would be oriented </w:t>
      </w:r>
      <w:r w:rsidRPr="00321906">
        <w:rPr>
          <w:rFonts w:ascii="Times New Roman" w:hAnsi="Times New Roman" w:cs="Times New Roman"/>
          <w:color w:val="000000" w:themeColor="text1"/>
          <w:sz w:val="24"/>
          <w:szCs w:val="24"/>
        </w:rPr>
        <w:t xml:space="preserve">circumferentially, perpendicular to the cell long axis, providing the mechanical strength to maintain a rod shape under turgor pressure. Dmitriev </w:t>
      </w:r>
      <w:r w:rsidRPr="00C521B3">
        <w:rPr>
          <w:rFonts w:ascii="Times New Roman" w:hAnsi="Times New Roman" w:cs="Times New Roman"/>
          <w:i/>
          <w:color w:val="000000" w:themeColor="text1"/>
          <w:sz w:val="24"/>
          <w:szCs w:val="24"/>
        </w:rPr>
        <w:t>et al</w:t>
      </w:r>
      <w:r w:rsidRPr="00321906">
        <w:rPr>
          <w:rFonts w:ascii="Times New Roman" w:hAnsi="Times New Roman" w:cs="Times New Roman"/>
          <w:color w:val="000000" w:themeColor="text1"/>
          <w:sz w:val="24"/>
          <w:szCs w:val="24"/>
        </w:rPr>
        <w:t xml:space="preserve">. (2003) proposed an alternative vertical or scaffold model of peptidoglycan architecture (Figure 1.11A). In this model, the glycan chains are oriented perpendicular to the plasma membrane. The peptidoglycan would be maximally cross-linked close to the cytoplasmic membrane, and </w:t>
      </w:r>
      <w:proofErr w:type="gramStart"/>
      <w:r w:rsidRPr="00321906">
        <w:rPr>
          <w:rFonts w:ascii="Times New Roman" w:hAnsi="Times New Roman" w:cs="Times New Roman"/>
          <w:color w:val="000000" w:themeColor="text1"/>
          <w:sz w:val="24"/>
          <w:szCs w:val="24"/>
        </w:rPr>
        <w:t>less  cross</w:t>
      </w:r>
      <w:proofErr w:type="gramEnd"/>
      <w:r w:rsidRPr="00321906">
        <w:rPr>
          <w:rFonts w:ascii="Times New Roman" w:hAnsi="Times New Roman" w:cs="Times New Roman"/>
          <w:color w:val="000000" w:themeColor="text1"/>
          <w:sz w:val="24"/>
          <w:szCs w:val="24"/>
        </w:rPr>
        <w:t xml:space="preserve">-linked toward the outer membrane. Basing this model on the thin cell wall of </w:t>
      </w:r>
      <w:r w:rsidRPr="00321906">
        <w:rPr>
          <w:rFonts w:ascii="Times New Roman" w:hAnsi="Times New Roman" w:cs="Times New Roman"/>
          <w:i/>
          <w:color w:val="000000" w:themeColor="text1"/>
          <w:sz w:val="24"/>
          <w:szCs w:val="24"/>
        </w:rPr>
        <w:t>E. coli</w:t>
      </w:r>
      <w:r w:rsidRPr="00321906">
        <w:rPr>
          <w:rFonts w:ascii="Times New Roman" w:hAnsi="Times New Roman" w:cs="Times New Roman"/>
          <w:color w:val="000000" w:themeColor="text1"/>
          <w:sz w:val="24"/>
          <w:szCs w:val="24"/>
        </w:rPr>
        <w:t xml:space="preserve">, and later </w:t>
      </w:r>
      <w:r w:rsidRPr="00321906">
        <w:rPr>
          <w:rFonts w:ascii="Times New Roman" w:hAnsi="Times New Roman" w:cs="Times New Roman"/>
          <w:i/>
          <w:color w:val="000000" w:themeColor="text1"/>
          <w:sz w:val="24"/>
          <w:szCs w:val="24"/>
        </w:rPr>
        <w:t>S. aureus</w:t>
      </w:r>
      <w:r w:rsidRPr="00321906">
        <w:rPr>
          <w:rFonts w:ascii="Times New Roman" w:hAnsi="Times New Roman" w:cs="Times New Roman"/>
          <w:color w:val="000000" w:themeColor="text1"/>
          <w:sz w:val="24"/>
          <w:szCs w:val="24"/>
        </w:rPr>
        <w:t xml:space="preserve">, it was the first model to consider the presence of very short glycan strands </w:t>
      </w:r>
      <w:r w:rsidRPr="00321906">
        <w:rPr>
          <w:rFonts w:ascii="Times New Roman" w:hAnsi="Times New Roman" w:cs="Times New Roman"/>
          <w:color w:val="000000" w:themeColor="text1"/>
          <w:sz w:val="24"/>
          <w:szCs w:val="24"/>
        </w:rPr>
        <w:fldChar w:fldCharType="begin"/>
      </w:r>
      <w:r w:rsidRPr="00321906">
        <w:rPr>
          <w:rFonts w:ascii="Times New Roman" w:hAnsi="Times New Roman" w:cs="Times New Roman"/>
          <w:color w:val="000000" w:themeColor="text1"/>
          <w:sz w:val="24"/>
          <w:szCs w:val="24"/>
        </w:rPr>
        <w:instrText xml:space="preserve"> ADDIN ZOTERO_ITEM CSL_CITATION {"citationID":"19d8jgp7sq","properties":{"formattedCitation":"(Dmitriev et al., 2003, 2004)","plainCitation":"(Dmitriev et al., 2003, 2004)"},"citationItems":[{"id":104,"uris":["http://zotero.org/users/944474/items/TJKDCBNG"],"uri":["http://zotero.org/users/944474/items/TJKDCBNG"],"itemData":{"id":104,"type":"article-journal","title":"Tertiary structure of bacterial murein: the scaffold model","container-title":"Journal of Bacteriology","page":"3458-3468","volume":"185","issue":"11","abstract":"Although the chemical structure and physical properties of peptidoglycan have been elucidated for some time, the precise three-dimensional organization of murein has remained elusive. Earlier published computer simulations of the bacterial murein architecture modeled peptidoglycan strands in either a regular (D. Pink, J. Moeller, B. Quinn, M. Jericho, and T. Beveridge, J. Bacteriol. 182: 5925-5930, 2000) or an irregular (A. Koch, J. Theor. Biol. 204: 533-541, 2000) parallel orientation with respect to the plasma membrane. However, after integrating published experimental data on glycan chain length distribution and the degree of peptide side chain cross-linking into this computer simulation, we now report that the proposed planar network of murein appears largely dysfunctional. In contrast, a scaffold model of murein architecture, which assumes that glycan strands extend perpendicularly to the plasma membrane, was found to accommodate published experimental evidence and yield a viable stress-bearing matrix. Moreover, this model is in accordance with the well-established principle of murein assembly in vivo, i.e., sequential attachment of strands to the preexisting structure. For the first time, the phenomenon of division plane alternation in dividing bacteria can be reconciled with a computer model of the molecular architecture of murein.","note":"PMID: 12754246","shortTitle":"Tertiary structure of bacterial murein","journalAbbreviation":"J. Bacteriol.","author":[{"family":"Dmitriev","given":"Boris A"},{"family":"Toukach","given":"Filip V"},{"family":"Schaper","given":"Klaus-Jürgen"},{"family":"Holst","given":"Otto"},{"family":"Rietschel","given":"Ernst T"},{"family":"Ehlers","given":"Stefan"}],"issued":{"year":2003,"month":6},"accessed":{"year":2012,"month":4,"day":2},"page-first":"3458"}},{"id":105,"uris":["http://zotero.org/users/944474/items/TJQSNHHI"],"uri":["http://zotero.org/users/944474/items/TJQSNHHI"],"itemData":{"id":105,"type":"article-journal","title":"Tertiary structure of Staphylococcus aureus cell wall murein","container-title":"Journal of Bacteriology","page":"7141-7148","volume":"186","issue":"21","abstract":"The recently described scaffold model of murein architecture depicts the gram-negative bacterial cell wall as a gel-like matrix composed of cross-linked glycan strands oriented perpendicularly to the plasma membrane while peptide bridges adopt a parallel orientation (B. A. Dmitriev, F. V. Toukach, K. J. Schaper, O. Holst, E. T. Rietschel, and S. Ehlers, J. Bacteriol. 185:3458-3468, 2003). Based on the scaffold model, we now present computer simulation studies on the peptidoglycan arrangement of the gram-positive organism Staphylococcus aureus, which show that the orientation of peptide bridges is critical for the highly cross-linked murein architecture of this microorganism. According to the proposed refined model, staphylococcal murein is composed of glycan and oligopeptide chains, both running in a plane that is perpendicular to the plasma membrane, with oligopeptide chains adopting a zigzag conformation and zippering adjacent glycan strands along their lengths. In contrast to previous models of murein in gram-positive bacteria, this model reflects the high degree of cross-linking that is the hallmark of the staphylococcal cell wall and is compatible with distinguishing features of S. aureus cytokinesis such as the triple consecutive alteration of the division plane orientation and the strictly centripetal mode of septum closure.","DOI":"10.1128/JB.186.21.7141-7148.2004","note":"PMID: 15489425","journalAbbreviation":"J. Bacteriol.","author":[{"family":"Dmitriev","given":"Boris A"},{"family":"Toukach","given":"Filip V"},{"family":"Holst","given":"O"},{"family":"Rietschel","given":"E T"},{"family":"Ehlers","given":"S"}],"issued":{"year":2004,"month":11},"accessed":{"year":2012,"month":4,"day":2},"page-first":"7141"}}],"schema":"https://github.com/citation-style-language/schema/raw/master/csl-citation.json"} </w:instrText>
      </w:r>
      <w:r w:rsidRPr="00321906">
        <w:rPr>
          <w:rFonts w:ascii="Times New Roman" w:hAnsi="Times New Roman" w:cs="Times New Roman"/>
          <w:color w:val="000000" w:themeColor="text1"/>
          <w:sz w:val="24"/>
          <w:szCs w:val="24"/>
        </w:rPr>
        <w:fldChar w:fldCharType="separate"/>
      </w:r>
      <w:r w:rsidRPr="00321906">
        <w:rPr>
          <w:rFonts w:ascii="Times New Roman" w:hAnsi="Times New Roman" w:cs="Times New Roman"/>
          <w:color w:val="000000" w:themeColor="text1"/>
          <w:sz w:val="24"/>
        </w:rPr>
        <w:t xml:space="preserve">(Dmitriev </w:t>
      </w:r>
      <w:r w:rsidRPr="00C521B3">
        <w:rPr>
          <w:rFonts w:ascii="Times New Roman" w:hAnsi="Times New Roman" w:cs="Times New Roman"/>
          <w:i/>
          <w:color w:val="000000" w:themeColor="text1"/>
          <w:sz w:val="24"/>
        </w:rPr>
        <w:t>et al</w:t>
      </w:r>
      <w:r w:rsidRPr="00321906">
        <w:rPr>
          <w:rFonts w:ascii="Times New Roman" w:hAnsi="Times New Roman" w:cs="Times New Roman"/>
          <w:color w:val="000000" w:themeColor="text1"/>
          <w:sz w:val="24"/>
        </w:rPr>
        <w:t>., 2003, 2004)</w:t>
      </w:r>
      <w:r w:rsidRPr="00321906">
        <w:rPr>
          <w:rFonts w:ascii="Times New Roman" w:hAnsi="Times New Roman" w:cs="Times New Roman"/>
          <w:color w:val="000000" w:themeColor="text1"/>
          <w:sz w:val="24"/>
          <w:szCs w:val="24"/>
        </w:rPr>
        <w:fldChar w:fldCharType="end"/>
      </w:r>
      <w:r w:rsidRPr="00321906">
        <w:rPr>
          <w:rFonts w:ascii="Times New Roman" w:hAnsi="Times New Roman" w:cs="Times New Roman"/>
          <w:color w:val="000000" w:themeColor="text1"/>
          <w:sz w:val="24"/>
          <w:szCs w:val="24"/>
        </w:rPr>
        <w:t xml:space="preserve">. However, whilst the average glycan strand length in  </w:t>
      </w:r>
      <w:r w:rsidRPr="00321906">
        <w:rPr>
          <w:rFonts w:ascii="Times New Roman" w:hAnsi="Times New Roman" w:cs="Times New Roman"/>
          <w:i/>
          <w:color w:val="000000" w:themeColor="text1"/>
          <w:sz w:val="24"/>
          <w:szCs w:val="24"/>
        </w:rPr>
        <w:t xml:space="preserve">E. coli </w:t>
      </w:r>
      <w:r w:rsidRPr="00321906">
        <w:rPr>
          <w:rFonts w:ascii="Times New Roman" w:hAnsi="Times New Roman" w:cs="Times New Roman"/>
          <w:color w:val="000000" w:themeColor="text1"/>
          <w:sz w:val="24"/>
          <w:szCs w:val="24"/>
        </w:rPr>
        <w:t>is under 30 disaccharides</w:t>
      </w:r>
      <w:r>
        <w:rPr>
          <w:rFonts w:ascii="Times New Roman" w:hAnsi="Times New Roman" w:cs="Times New Roman"/>
          <w:sz w:val="24"/>
          <w:szCs w:val="24"/>
        </w:rPr>
        <w:t xml:space="preserve"> (size distribution peaks at 7-12 disaccharides), 25-30% of the glycan material is 30-80 </w:t>
      </w:r>
      <w:r w:rsidRPr="00C521B3">
        <w:rPr>
          <w:rFonts w:ascii="Times New Roman" w:hAnsi="Times New Roman" w:cs="Times New Roman"/>
          <w:color w:val="000000" w:themeColor="text1"/>
          <w:sz w:val="24"/>
          <w:szCs w:val="24"/>
        </w:rPr>
        <w:t xml:space="preserve">disaccharides in length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{"citationID":"1ksv4plhdb","properties":{"formattedCitation":"(Harz et al., 1990)","plainCitation":"(Harz et al., 1990)"},"citationItems":[{"id":101,"uris":["http://zotero.org/users/944474/items/26HBHW3P"],"uri":["http://zotero.org/users/944474/items/26HBHW3P"],"itemData":{"id":101,"type":"article-journal","title":"Isolation and separation of the glycan strands from murein of Escherichia coli by reversed-phase high-performance liquid chromatography","container-title":"Analytical Biochemistry","page":"120-128","volume":"190","issue":"1","abstract":"The length distribution of the glycan strands in the murein (peptidoglycan) sacculus of Escherichia coli has been analyzed after solubilization of the murein by complete digestion with human serum amidase. The glycan strands released were separated according to length by reversed-phase HPLC on wide-pore Nucleosil 300 C18 material at 50 degrees C, employing a convex gradient from 5 to 11% acetonitrile. The length of the fractionated glycan strands, which carry a nonreducing 1,6-anhydromuramic acid as a natural end group, was calculated from the ratio of total to nonreducing terminal muramic acid residues. This was possible after complete hydrolysis of the isolated glycan strands by muramidase followed by separation of the released nonreducing and reducing di- and tetrasaccharides by reversed-phase HPLC on Hypersil C18. The method established allows the separation of the glycan strands of murein, a poly-GlcNAc(beta 1-4)MurNAc-polysaccharide, up to a degree of polymerization of approximately 60. The predominant lengths of the glycan strands were 5 to 10 GlcNAc(beta 1-4)MurNAc disaccharide units.","note":"PMID: 2285138","journalAbbreviation":"Anal. Biochem.","author":[{"family":"Harz","given":"H"},{"family":"Burgdorf","given":"K"},{"family":"Höltje","given":"J V"}],"issued":{"year":1990,"month":10},"accessed":{"year":2012,"month":4,"day":2},"page-first":"120"}}],"schema":"https://github.com/citation-style-language/schema/raw/master/csl-citation.json"}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 xml:space="preserve">(Harz </w:t>
      </w:r>
      <w:r w:rsidRPr="00C521B3">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1990)</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xml:space="preserve">. Thus, most glycan strands exceed the observed peptidoglycan thickness (a single disaccharide is ~1.0 nm in length, the peptidoglycan layer is 6-7 nm wide), and a significant proportion exceed the thickness of the entire periplasm (approximately 21 nm thickness)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{"citationID":"2ahi8u0qng","properties":{"formattedCitation":"{\\rtf (Leps et al., 1987; Vollmer and H\\uc0\\u246{}ltje, 2004)}","plainCitation":"(Leps et al., 1987; Vollmer and Höltje, 2004)"},"citationItems":[{"id":195,"uris":["http://zotero.org/users/944474/items/W453PIZE"],"uri":["http://zotero.org/users/944474/items/W453PIZE"],"itemData":{"id":195,"type":"article-journal","title":"Conformational behavior of the polysaccharide backbone of murein","container-title":"Biopolymers","page":"1391-1406","volume":"26","issue":"8","DOI":"10.1002/bip.360260813","note":"PMID: 3663868","journalAbbreviation":"Biopolymers","author":[{"family":"Leps","given":"B"},{"family":"Labischinski","given":"H"},{"family":"Bradaczek","given":"H"}],"issued":{"year":1987,"month":8},"accessed":{"year":2012,"month":5,"day":14},"page-first":"1391"}},{"id":109,"uris":["http://zotero.org/users/944474/items/4MH2TFX5"],"uri":["http://zotero.org/users/944474/items/4MH2TFX5"],"itemData":{"id":109,"type":"article-journal","title":"The architecture of the murein (peptidoglycan) in gram-negative bacteria: vertical scaffold or horizontal layer(s)?","container-title":"Journal of Bacteriology","page":"5978-5987","volume":"186","issue":"18","DOI":"10.1128/JB.186.18.5978-5987.2004","note":"PMID: 15342566","shortTitle":"The architecture of the murein (peptidoglycan) in gram-negative bacteria","journalAbbreviation":"J. Bacteriol.","author":[{"family":"Vollmer","given":"Waldemar"},{"family":"Höltje","given":"Joachim-Volker"}],"issued":{"year":2004,"month":9},"accessed":{"year":2012,"month":4,"day":2},"page-first":"5978"}}],"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szCs w:val="24"/>
        </w:rPr>
        <w:t xml:space="preserve">(Leps </w:t>
      </w:r>
      <w:r w:rsidRPr="00C521B3">
        <w:rPr>
          <w:rFonts w:ascii="Times New Roman" w:hAnsi="Times New Roman" w:cs="Times New Roman"/>
          <w:i/>
          <w:color w:val="000000" w:themeColor="text1"/>
          <w:sz w:val="24"/>
          <w:szCs w:val="24"/>
        </w:rPr>
        <w:t>et al</w:t>
      </w:r>
      <w:r w:rsidRPr="00C521B3">
        <w:rPr>
          <w:rFonts w:ascii="Times New Roman" w:hAnsi="Times New Roman" w:cs="Times New Roman"/>
          <w:color w:val="000000" w:themeColor="text1"/>
          <w:sz w:val="24"/>
          <w:szCs w:val="24"/>
        </w:rPr>
        <w:t>., 1987; Vollmer and Höltje, 2004)</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xml:space="preserve">. The surface area covered by maximally stretched, vertically oriented glycan strands would be insufficient to cover the cell surface in </w:t>
      </w:r>
      <w:r w:rsidRPr="00C521B3">
        <w:rPr>
          <w:rFonts w:ascii="Times New Roman" w:hAnsi="Times New Roman" w:cs="Times New Roman"/>
          <w:i/>
          <w:color w:val="000000" w:themeColor="text1"/>
          <w:sz w:val="24"/>
          <w:szCs w:val="24"/>
        </w:rPr>
        <w:t>E. coli</w:t>
      </w:r>
      <w:r w:rsidRPr="00C521B3">
        <w:rPr>
          <w:rFonts w:ascii="Times New Roman" w:hAnsi="Times New Roman" w:cs="Times New Roman"/>
          <w:color w:val="000000" w:themeColor="text1"/>
          <w:sz w:val="24"/>
          <w:szCs w:val="24"/>
        </w:rPr>
        <w:t xml:space="preserve">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{"citationID":"20pcq1ii6c","properties":{"formattedCitation":"{\\rtf (Vollmer and H\\uc0\\u246{}ltje, 2004)}","plainCitation":"(Vollmer and Höltje, 2004)"},"citationItems":[{"id":109,"uris":["http://zotero.org/users/944474/items/4MH2TFX5"],"uri":["http://zotero.org/users/944474/items/4MH2TFX5"],"itemData":{"id":109,"type":"article-journal","title":"The architecture of the murein (peptidoglycan) in gram-negative bacteria: vertical scaffold or horizontal layer(s)?","container-title":"Journal of Bacteriology","page":"5978-5987","volume":"186","issue":"18","DOI":"10.1128/JB.186.18.5978-5987.2004","note":"PMID: 15342566","shortTitle":"The architecture of the murein (peptidoglycan) in gram-negative bacteria","journalAbbreviation":"J. Bacteriol.","author":[{"family":"Vollmer","given":"Waldemar"},{"family":"Höltje","given":"Joachim-Volker"}],"issued":{"year":2004,"month":9},"accessed":{"year":2012,"month":4,"day":2},"page-first":"5978"}}],"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szCs w:val="24"/>
        </w:rPr>
        <w:t>(Vollmer and Höltje, 2004)</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xml:space="preserve">. Therefore, a vertical scaffold orientation is unlikely in Gram-negative cell walls. The situation in Gram-positive organisms is less clear as the thickness of the peptidoglycan layer can accommodate a broad range of glycan strand lengths. </w:t>
      </w:r>
      <w:r w:rsidRPr="00C521B3">
        <w:rPr>
          <w:rFonts w:ascii="Times New Roman" w:hAnsi="Times New Roman" w:cs="Times New Roman"/>
          <w:i/>
          <w:color w:val="000000" w:themeColor="text1"/>
          <w:sz w:val="24"/>
          <w:szCs w:val="24"/>
        </w:rPr>
        <w:t>Staphylococcus aureus</w:t>
      </w:r>
      <w:r w:rsidRPr="00C521B3">
        <w:rPr>
          <w:rFonts w:ascii="Times New Roman" w:hAnsi="Times New Roman" w:cs="Times New Roman"/>
          <w:color w:val="000000" w:themeColor="text1"/>
          <w:sz w:val="24"/>
          <w:szCs w:val="24"/>
        </w:rPr>
        <w:t xml:space="preserve"> in particular, which has short glycan strands, could accommodate a vertical scaffold architecture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{"citationID":"2gtdjhnjot","properties":{"formattedCitation":"(Dmitriev et al., 2004)","plainCitation":"(Dmitriev et al., 2004)"},"citationItems":[{"id":105,"uris":["http://zotero.org/users/944474/items/TJQSNHHI"],"uri":["http://zotero.org/users/944474/items/TJQSNHHI"],"itemData":{"id":105,"type":"article-journal","title":"Tertiary structure of Staphylococcus aureus cell wall murein","container-title":"Journal of Bacteriology","page":"7141-7148","volume":"186","issue":"21","abstract":"The recently described scaffold model of murein architecture depicts the gram-negative bacterial cell wall as a gel-like matrix composed of cross-linked glycan strands oriented perpendicularly to the plasma membrane while peptide bridges adopt a parallel orientation (B. A. Dmitriev, F. V. Toukach, K. J. Schaper, O. Holst, E. T. Rietschel, and S. Ehlers, J. Bacteriol. 185:3458-3468, 2003). Based on the scaffold model, we now present computer simulation studies on the peptidoglycan arrangement of the gram-positive organism Staphylococcus aureus, which show that the orientation of peptide bridges is critical for the highly cross-linked murein architecture of this microorganism. According to the proposed refined model, staphylococcal murein is composed of glycan and oligopeptide chains, both running in a plane that is perpendicular to the plasma membrane, with oligopeptide chains adopting a zigzag conformation and zippering adjacent glycan strands along their lengths. In contrast to previous models of murein in gram-positive bacteria, this model reflects the high degree of cross-linking that is the hallmark of the staphylococcal cell wall and is compatible with distinguishing features of S. aureus cytokinesis such as the triple consecutive alteration of the division plane orientation and the strictly centripetal mode of septum closure.","DOI":"10.1128/JB.186.21.7141-7148.2004","note":"PMID: 15489425","journalAbbreviation":"J. Bacteriol.","author":[{"family":"Dmitriev","given":"Boris A"},{"family":"Toukach","given":"Filip V"},{"family":"Holst","given":"O"},{"family":"Rietschel","given":"E T"},{"family":"Ehlers","given":"S"}],"issued":{"year":2004,"month":11},"accessed":{"year":2012,"month":4,"day":2},"page-first":"7141"}}],"schema":"https://github.com/citation-style-language/schema/raw/master/csl-citation.json"}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 xml:space="preserve">(Dmitriev </w:t>
      </w:r>
      <w:r w:rsidRPr="00C521B3">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2004)</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w:t>
      </w:r>
    </w:p>
    <w:p w:rsidR="00BC7652" w:rsidRDefault="00BC7652" w:rsidP="00BC7652">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lang w:eastAsia="en-GB"/>
        </w:rPr>
        <w:lastRenderedPageBreak/>
        <w:drawing>
          <wp:inline distT="0" distB="0" distL="0" distR="0">
            <wp:extent cx="5223124" cy="5292000"/>
            <wp:effectExtent l="0" t="0" r="0" b="0"/>
            <wp:docPr id="1" name="Picture 0" descr="Peptidoglycan mode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ptidoglycan models.png"/>
                    <pic:cNvPicPr/>
                  </pic:nvPicPr>
                  <pic:blipFill>
                    <a:blip r:embed="rId23" cstate="print"/>
                    <a:stretch>
                      <a:fillRect/>
                    </a:stretch>
                  </pic:blipFill>
                  <pic:spPr>
                    <a:xfrm>
                      <a:off x="0" y="0"/>
                      <a:ext cx="5223124" cy="5292000"/>
                    </a:xfrm>
                    <a:prstGeom prst="rect">
                      <a:avLst/>
                    </a:prstGeom>
                  </pic:spPr>
                </pic:pic>
              </a:graphicData>
            </a:graphic>
          </wp:inline>
        </w:drawing>
      </w:r>
    </w:p>
    <w:p w:rsidR="00BC7652" w:rsidRDefault="00BC7652" w:rsidP="00BC7652">
      <w:pPr>
        <w:spacing w:line="360" w:lineRule="auto"/>
        <w:jc w:val="both"/>
        <w:rPr>
          <w:rFonts w:ascii="Times New Roman" w:hAnsi="Times New Roman" w:cs="Times New Roman"/>
          <w:sz w:val="24"/>
          <w:szCs w:val="24"/>
        </w:rPr>
      </w:pPr>
      <w:proofErr w:type="gramStart"/>
      <w:r w:rsidRPr="008D7BBF">
        <w:rPr>
          <w:rFonts w:ascii="Times New Roman" w:hAnsi="Times New Roman" w:cs="Times New Roman"/>
          <w:b/>
          <w:sz w:val="24"/>
          <w:szCs w:val="24"/>
        </w:rPr>
        <w:t>Figure 1.</w:t>
      </w:r>
      <w:r>
        <w:rPr>
          <w:rFonts w:ascii="Times New Roman" w:hAnsi="Times New Roman" w:cs="Times New Roman"/>
          <w:b/>
          <w:sz w:val="24"/>
          <w:szCs w:val="24"/>
        </w:rPr>
        <w:t>11</w:t>
      </w:r>
      <w:r w:rsidRPr="008D7BBF">
        <w:rPr>
          <w:rFonts w:ascii="Times New Roman" w:hAnsi="Times New Roman" w:cs="Times New Roman"/>
          <w:b/>
          <w:sz w:val="24"/>
          <w:szCs w:val="24"/>
        </w:rPr>
        <w:t>.</w:t>
      </w:r>
      <w:proofErr w:type="gramEnd"/>
      <w:r w:rsidRPr="008D7BBF">
        <w:rPr>
          <w:rFonts w:ascii="Times New Roman" w:hAnsi="Times New Roman" w:cs="Times New Roman"/>
          <w:b/>
          <w:sz w:val="24"/>
          <w:szCs w:val="24"/>
        </w:rPr>
        <w:t xml:space="preserve"> Classical </w:t>
      </w:r>
      <w:r>
        <w:rPr>
          <w:rFonts w:ascii="Times New Roman" w:hAnsi="Times New Roman" w:cs="Times New Roman"/>
          <w:b/>
          <w:sz w:val="24"/>
          <w:szCs w:val="24"/>
        </w:rPr>
        <w:t xml:space="preserve">(horizontal) </w:t>
      </w:r>
      <w:r w:rsidRPr="008D7BBF">
        <w:rPr>
          <w:rFonts w:ascii="Times New Roman" w:hAnsi="Times New Roman" w:cs="Times New Roman"/>
          <w:b/>
          <w:sz w:val="24"/>
          <w:szCs w:val="24"/>
        </w:rPr>
        <w:t>and scaffold</w:t>
      </w:r>
      <w:r>
        <w:rPr>
          <w:rFonts w:ascii="Times New Roman" w:hAnsi="Times New Roman" w:cs="Times New Roman"/>
          <w:b/>
          <w:sz w:val="24"/>
          <w:szCs w:val="24"/>
        </w:rPr>
        <w:t xml:space="preserve"> (vertical)</w:t>
      </w:r>
      <w:r w:rsidRPr="008D7BBF">
        <w:rPr>
          <w:rFonts w:ascii="Times New Roman" w:hAnsi="Times New Roman" w:cs="Times New Roman"/>
          <w:b/>
          <w:sz w:val="24"/>
          <w:szCs w:val="24"/>
        </w:rPr>
        <w:t xml:space="preserve"> models of peptidoglycan architecture.</w:t>
      </w:r>
      <w:r>
        <w:rPr>
          <w:rFonts w:ascii="Times New Roman" w:hAnsi="Times New Roman" w:cs="Times New Roman"/>
          <w:sz w:val="24"/>
          <w:szCs w:val="24"/>
        </w:rPr>
        <w:t xml:space="preserve"> A, </w:t>
      </w:r>
      <w:proofErr w:type="gramStart"/>
      <w:r>
        <w:rPr>
          <w:rFonts w:ascii="Times New Roman" w:hAnsi="Times New Roman" w:cs="Times New Roman"/>
          <w:sz w:val="24"/>
          <w:szCs w:val="24"/>
        </w:rPr>
        <w:t>In</w:t>
      </w:r>
      <w:proofErr w:type="gramEnd"/>
      <w:r>
        <w:rPr>
          <w:rFonts w:ascii="Times New Roman" w:hAnsi="Times New Roman" w:cs="Times New Roman"/>
          <w:sz w:val="24"/>
          <w:szCs w:val="24"/>
        </w:rPr>
        <w:t xml:space="preserve"> the planar model, glycan strands (striped cylinders) are parallel to the plasma membrane. The scaffold model suggests glycan strands are oriented perpendicular to the plasma membrane. B, Under turgor stress, planar glycan strands would bend, forming a “chicken-wire” network of hexagonal tesserae, or may be pulled rigid forming rectangular tesserae, as the lateral stress is double that of the long axis. C, </w:t>
      </w:r>
      <w:proofErr w:type="gramStart"/>
      <w:r>
        <w:rPr>
          <w:rFonts w:ascii="Times New Roman" w:hAnsi="Times New Roman" w:cs="Times New Roman"/>
          <w:sz w:val="24"/>
          <w:szCs w:val="24"/>
        </w:rPr>
        <w:t>The</w:t>
      </w:r>
      <w:proofErr w:type="gramEnd"/>
      <w:r>
        <w:rPr>
          <w:rFonts w:ascii="Times New Roman" w:hAnsi="Times New Roman" w:cs="Times New Roman"/>
          <w:sz w:val="24"/>
          <w:szCs w:val="24"/>
        </w:rPr>
        <w:t xml:space="preserve"> vertical model purported that peptide stems would lie in the direction of tensile stress. </w:t>
      </w:r>
      <w:proofErr w:type="gramStart"/>
      <w:r>
        <w:rPr>
          <w:rFonts w:ascii="Times New Roman" w:hAnsi="Times New Roman" w:cs="Times New Roman"/>
          <w:sz w:val="24"/>
          <w:szCs w:val="24"/>
        </w:rPr>
        <w:t>D, Vertical “honey-comb” model of peptidoglycan architecture.</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i-ii</w:t>
      </w:r>
      <w:proofErr w:type="gramEnd"/>
      <w:r>
        <w:rPr>
          <w:rFonts w:ascii="Times New Roman" w:hAnsi="Times New Roman" w:cs="Times New Roman"/>
          <w:sz w:val="24"/>
          <w:szCs w:val="24"/>
        </w:rPr>
        <w:t>) The NMR structure of a Glc</w:t>
      </w:r>
      <w:r w:rsidRPr="0092369B">
        <w:rPr>
          <w:rFonts w:ascii="Times New Roman" w:hAnsi="Times New Roman" w:cs="Times New Roman"/>
          <w:i/>
          <w:sz w:val="24"/>
          <w:szCs w:val="24"/>
        </w:rPr>
        <w:t>N</w:t>
      </w:r>
      <w:r>
        <w:rPr>
          <w:rFonts w:ascii="Times New Roman" w:hAnsi="Times New Roman" w:cs="Times New Roman"/>
          <w:sz w:val="24"/>
          <w:szCs w:val="24"/>
        </w:rPr>
        <w:t>Ac-Mur</w:t>
      </w:r>
      <w:r w:rsidRPr="0092369B">
        <w:rPr>
          <w:rFonts w:ascii="Times New Roman" w:hAnsi="Times New Roman" w:cs="Times New Roman"/>
          <w:i/>
          <w:sz w:val="24"/>
          <w:szCs w:val="24"/>
        </w:rPr>
        <w:t>N</w:t>
      </w:r>
      <w:r>
        <w:rPr>
          <w:rFonts w:ascii="Times New Roman" w:hAnsi="Times New Roman" w:cs="Times New Roman"/>
          <w:sz w:val="24"/>
          <w:szCs w:val="24"/>
        </w:rPr>
        <w:t xml:space="preserve">Ac octamer suggests 3 peptide stems (green) per turn of the glycan helix (orange). (iii) A vertically arranged peptidoglycan net would form a porous honeycomb when </w:t>
      </w:r>
      <w:r w:rsidRPr="00C521B3">
        <w:rPr>
          <w:rFonts w:ascii="Times New Roman" w:hAnsi="Times New Roman" w:cs="Times New Roman"/>
          <w:color w:val="000000" w:themeColor="text1"/>
          <w:sz w:val="24"/>
          <w:szCs w:val="24"/>
        </w:rPr>
        <w:t xml:space="preserve">seen from above (x-y plane). </w:t>
      </w:r>
      <w:proofErr w:type="gramStart"/>
      <w:r w:rsidRPr="00C521B3">
        <w:rPr>
          <w:rFonts w:ascii="Times New Roman" w:hAnsi="Times New Roman" w:cs="Times New Roman"/>
          <w:color w:val="000000" w:themeColor="text1"/>
          <w:sz w:val="24"/>
          <w:szCs w:val="24"/>
        </w:rPr>
        <w:t>(iv) Lateral</w:t>
      </w:r>
      <w:proofErr w:type="gramEnd"/>
      <w:r w:rsidRPr="00C521B3">
        <w:rPr>
          <w:rFonts w:ascii="Times New Roman" w:hAnsi="Times New Roman" w:cs="Times New Roman"/>
          <w:color w:val="000000" w:themeColor="text1"/>
          <w:sz w:val="24"/>
          <w:szCs w:val="24"/>
        </w:rPr>
        <w:t xml:space="preserve"> view of vertically arranged scaffold (x-z plane). Adapted from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{"citationID":"1vetc9b6qp","properties":{"formattedCitation":"{\\rtf (Dmitriev et al., 2003; Vollmer and H\\uc0\\u246{}ltje, 2004; Meroueh et al., 2006)}","plainCitation":"(Dmitriev et al., 2003; Vollmer and Höltje, 2004; Meroueh et al., 2006)"},"citationItems":[{"id":104,"uris":["http://zotero.org/users/944474/items/TJKDCBNG"],"uri":["http://zotero.org/users/944474/items/TJKDCBNG"],"itemData":{"id":104,"type":"article-journal","title":"Tertiary structure of bacterial murein: the scaffold model","container-title":"Journal of Bacteriology","page":"3458-3468","volume":"185","issue":"11","abstract":"Although the chemical structure and physical properties of peptidoglycan have been elucidated for some time, the precise three-dimensional organization of murein has remained elusive. Earlier published computer simulations of the bacterial murein architecture modeled peptidoglycan strands in either a regular (D. Pink, J. Moeller, B. Quinn, M. Jericho, and T. Beveridge, J. Bacteriol. 182: 5925-5930, 2000) or an irregular (A. Koch, J. Theor. Biol. 204: 533-541, 2000) parallel orientation with respect to the plasma membrane. However, after integrating published experimental data on glycan chain length distribution and the degree of peptide side chain cross-linking into this computer simulation, we now report that the proposed planar network of murein appears largely dysfunctional. In contrast, a scaffold model of murein architecture, which assumes that glycan strands extend perpendicularly to the plasma membrane, was found to accommodate published experimental evidence and yield a viable stress-bearing matrix. Moreover, this model is in accordance with the well-established principle of murein assembly in vivo, i.e., sequential attachment of strands to the preexisting structure. For the first time, the phenomenon of division plane alternation in dividing bacteria can be reconciled with a computer model of the molecular architecture of murein.","note":"PMID: 12754246","shortTitle":"Tertiary structure of bacterial murein","journalAbbreviation":"J. Bacteriol.","author":[{"family":"Dmitriev","given":"Boris A"},{"family":"Toukach","given":"Filip V"},{"family":"Schaper","given":"Klaus-Jürgen"},{"family":"Holst","given":"Otto"},{"family":"Rietschel","given":"Ernst T"},{"family":"Ehlers","given":"Stefan"}],"issued":{"year":2003,"month":6},"accessed":{"year":2012,"month":4,"day":2},"page-first":"3458"}},{"id":109,"uris":["http://zotero.org/users/944474/items/4MH2TFX5"],"uri":["http://zotero.org/users/944474/items/4MH2TFX5"],"itemData":{"id":109,"type":"article-journal","title":"The architecture of the murein (peptidoglycan) in gram-negative bacteria: vertical scaffold or horizontal layer(s)?","container-title":"Journal of Bacteriology","page":"5978-5987","volume":"186","issue":"18","DOI":"10.1128/JB.186.18.5978-5987.2004","note":"PMID: 15342566","shortTitle":"The architecture of the murein (peptidoglycan) in gram-negative bacteria","journalAbbreviation":"J. Bacteriol.","author":[{"family":"Vollmer","given":"Waldemar"},{"family":"Höltje","given":"Joachim-Volker"}],"issued":{"year":2004,"month":9},"accessed":{"year":2012,"month":4,"day":2},"page-first":"5978"}},{"id":83,"uris":["http://zotero.org/users/944474/items/WHSAE7JK"],"uri":["http://zotero.org/users/944474/items/WHSAE7JK"],"itemData":{"id":83,"type":"article-journal","title":"Three-dimensional structure of the bacterial cell wall peptidoglycan","container-title":"Proceedings of the National Academy of Sciences of the United States of America","page":"4404-4409","volume":"103","issue":"12","abstract":"The 3D structure of the bacterial peptidoglycan, the major constituent of the cell wall, is one of the most important, yet still unsolved, structural problems in biochemistry. The peptidoglycan comprises alternating N-acetylglucosamine (NAG) and N-acetylmuramic disaccharide (NAM) saccharides, the latter of which has a peptide stem. Adjacent peptide stems are cross-linked by the transpeptidase enzymes of cell wall biosynthesis to provide the cell wall polymer with the structural integrity required by the bacterium. The cell wall and its biosynthetic enzymes are targets of antibiotics. The 3D structure of the cell wall has been elusive because of its complexity and the lack of pure samples. Herein we report the 3D solution structure as determined by NMR of the 2-kDa NAG-NAM(pentapeptide)-NAG-NAM(pentapeptide) synthetic fragment of the cell wall. The glycan backbone of this peptidoglycan forms a right-handed helix with a periodicity of three for the NAG-NAM repeat (per turn of the helix). The first two amino acids of the pentapeptide adopt a limited number of conformations. Based on this structure a model for the bacterial cell wall is proposed.","DOI":"10.1073/pnas.0510182103","note":"PMID: 16537437","journalAbbreviation":"Proc. Natl. Acad. Sci. U.S.A.","author":[{"family":"Meroueh","given":"Samy O"},{"family":"Bencze","given":"Krisztina Z"},{"family":"Hesek","given":"Dusan"},{"family":"Lee","given":"Mijoon"},{"family":"Fisher","given":"Jed F"},{"family":"Stemmler","given":"Timothy L"},{"family":"Mobashery","given":"Shahriar"}],"issued":{"year":2006,"month":3,"day":21},"accessed":{"year":2012,"month":4,"day":2},"page-first":"4404"}}],"schema":"https://github.com/citation-style-language/schema/raw/master/csl-citation.json"}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szCs w:val="24"/>
        </w:rPr>
        <w:t xml:space="preserve">(Dmitriev </w:t>
      </w:r>
      <w:r w:rsidRPr="00C521B3">
        <w:rPr>
          <w:rFonts w:ascii="Times New Roman" w:hAnsi="Times New Roman" w:cs="Times New Roman"/>
          <w:i/>
          <w:color w:val="000000" w:themeColor="text1"/>
          <w:sz w:val="24"/>
          <w:szCs w:val="24"/>
        </w:rPr>
        <w:t>et al</w:t>
      </w:r>
      <w:r w:rsidRPr="00C521B3">
        <w:rPr>
          <w:rFonts w:ascii="Times New Roman" w:hAnsi="Times New Roman" w:cs="Times New Roman"/>
          <w:color w:val="000000" w:themeColor="text1"/>
          <w:sz w:val="24"/>
          <w:szCs w:val="24"/>
        </w:rPr>
        <w:t xml:space="preserve">., 2003; Vollmer and Höltje, 2004; Meroueh </w:t>
      </w:r>
      <w:r w:rsidRPr="00C521B3">
        <w:rPr>
          <w:rFonts w:ascii="Times New Roman" w:hAnsi="Times New Roman" w:cs="Times New Roman"/>
          <w:i/>
          <w:color w:val="000000" w:themeColor="text1"/>
          <w:sz w:val="24"/>
          <w:szCs w:val="24"/>
        </w:rPr>
        <w:t>et al</w:t>
      </w:r>
      <w:r w:rsidRPr="00C521B3">
        <w:rPr>
          <w:rFonts w:ascii="Times New Roman" w:hAnsi="Times New Roman" w:cs="Times New Roman"/>
          <w:color w:val="000000" w:themeColor="text1"/>
          <w:sz w:val="24"/>
          <w:szCs w:val="24"/>
        </w:rPr>
        <w:t>., 2006)</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{"citationID":"1ok2bfhg5o","properties":{"formattedCitation":"{\\rtf (Dmitriev et al., 2003; Vollmer and H\\uc0\\u246{}ltje, 2004)}","plainCitation":"(Dmitriev et al., 2003; Vollmer and Höltje, 2004)"},"citationItems":[{"id":104,"uris":["http://zotero.org/users/944474/items/TJKDCBNG"],"uri":["http://zotero.org/users/944474/items/TJKDCBNG"],"itemData":{"id":104,"type":"article-journal","title":"Tertiary structure of bacterial murein: the scaffold model","container-title":"Journal of Bacteriology","page":"3458-3468","volume":"185","issue":"11","abstract":"Although the chemical structure and physical properties of peptidoglycan have been elucidated for some time, the precise three-dimensional organization of murein has remained elusive. Earlier published computer simulations of the bacterial murein architecture modeled peptidoglycan strands in either a regular (D. Pink, J. Moeller, B. Quinn, M. Jericho, and T. Beveridge, J. Bacteriol. 182: 5925-5930, 2000) or an irregular (A. Koch, J. Theor. Biol. 204: 533-541, 2000) parallel orientation with respect to the plasma membrane. However, after integrating published experimental data on glycan chain length distribution and the degree of peptide side chain cross-linking into this computer simulation, we now report that the proposed planar network of murein appears largely dysfunctional. In contrast, a scaffold model of murein architecture, which assumes that glycan strands extend perpendicularly to the plasma membrane, was found to accommodate published experimental evidence and yield a viable stress-bearing matrix. Moreover, this model is in accordance with the well-established principle of murein assembly in vivo, i.e., sequential attachment of strands to the preexisting structure. For the first time, the phenomenon of division plane alternation in dividing bacteria can be reconciled with a computer model of the molecular architecture of murein.","note":"PMID: 12754246","shortTitle":"Tertiary structure of bacterial murein","journalAbbreviation":"J. Bacteriol.","author":[{"family":"Dmitriev","given":"Boris A"},{"family":"Toukach","given":"Filip V"},{"family":"Schaper","given":"Klaus-Jürgen"},{"family":"Holst","given":"Otto"},{"family":"Rietschel","given":"Ernst T"},{"family":"Ehlers","given":"Stefan"}],"issued":{"year":2003,"month":6},"accessed":{"year":2012,"month":4,"day":2},"page-first":"3458"}},{"id":109,"uris":["http://zotero.org/users/944474/items/4MH2TFX5"],"uri":["http://zotero.org/users/944474/items/4MH2TFX5"],"itemData":{"id":109,"type":"article-journal","title":"The architecture of the murein (peptidoglycan) in gram-negative bacteria: vertical scaffold or horizontal layer(s)?","container-title":"Journal of Bacteriology","page":"5978-5987","volume":"186","issue":"18","DOI":"10.1128/JB.186.18.5978-5987.2004","note":"PMID: 15342566","shortTitle":"The architecture of the murein (peptidoglycan) in gram-negative bacteria","journalAbbreviation":"J. Bacteriol.","author":[{"family":"Vollmer","given":"Waldemar"},{"family":"Höltje","given":"Joachim-Volker"}],"issued":{"year":2004,"month":9},"accessed":{"year":2012,"month":4,"day":2},"page-first":"5978"}}],"schema":"https://github.com/citation-style-language/schema/raw/master/csl-citation.json"} </w:instrTex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xml:space="preserve">  </w:t>
      </w:r>
      <w:r>
        <w:rPr>
          <w:rFonts w:ascii="Times New Roman" w:hAnsi="Times New Roman" w:cs="Times New Roman"/>
          <w:sz w:val="24"/>
          <w:szCs w:val="24"/>
        </w:rPr>
        <w:br w:type="page"/>
      </w:r>
    </w:p>
    <w:p w:rsidR="00BC7652" w:rsidRPr="001E10E4" w:rsidRDefault="00BC7652" w:rsidP="00BC7652">
      <w:pPr>
        <w:tabs>
          <w:tab w:val="left" w:pos="1276"/>
        </w:tabs>
        <w:spacing w:line="480" w:lineRule="auto"/>
        <w:jc w:val="both"/>
        <w:rPr>
          <w:rFonts w:ascii="Times New Roman" w:hAnsi="Times New Roman" w:cs="Times New Roman"/>
          <w:sz w:val="28"/>
          <w:szCs w:val="28"/>
        </w:rPr>
      </w:pPr>
      <w:r w:rsidRPr="006D48B6">
        <w:rPr>
          <w:rFonts w:ascii="Times New Roman" w:hAnsi="Times New Roman" w:cs="Times New Roman"/>
          <w:sz w:val="28"/>
          <w:szCs w:val="28"/>
        </w:rPr>
        <w:lastRenderedPageBreak/>
        <w:t>1.</w:t>
      </w:r>
      <w:r>
        <w:rPr>
          <w:rFonts w:ascii="Times New Roman" w:hAnsi="Times New Roman" w:cs="Times New Roman"/>
          <w:sz w:val="28"/>
          <w:szCs w:val="28"/>
        </w:rPr>
        <w:t>8</w:t>
      </w:r>
      <w:r w:rsidRPr="006D48B6">
        <w:rPr>
          <w:rFonts w:ascii="Times New Roman" w:hAnsi="Times New Roman" w:cs="Times New Roman"/>
          <w:sz w:val="28"/>
          <w:szCs w:val="28"/>
        </w:rPr>
        <w:t>.2</w:t>
      </w:r>
      <w:r>
        <w:rPr>
          <w:rFonts w:ascii="Times New Roman" w:hAnsi="Times New Roman" w:cs="Times New Roman"/>
          <w:sz w:val="28"/>
          <w:szCs w:val="28"/>
        </w:rPr>
        <w:tab/>
      </w:r>
      <w:r>
        <w:rPr>
          <w:rFonts w:ascii="Times New Roman" w:hAnsi="Times New Roman" w:cs="Times New Roman"/>
          <w:i/>
          <w:sz w:val="28"/>
          <w:szCs w:val="28"/>
        </w:rPr>
        <w:t xml:space="preserve">In situ </w:t>
      </w:r>
      <w:r>
        <w:rPr>
          <w:rFonts w:ascii="Times New Roman" w:hAnsi="Times New Roman" w:cs="Times New Roman"/>
          <w:sz w:val="28"/>
          <w:szCs w:val="28"/>
        </w:rPr>
        <w:t>architecture of the peptidoglycan network</w:t>
      </w:r>
    </w:p>
    <w:p w:rsidR="00BC7652" w:rsidRDefault="00BC7652" w:rsidP="00BC7652">
      <w:pPr>
        <w:spacing w:line="480" w:lineRule="auto"/>
        <w:jc w:val="both"/>
        <w:rPr>
          <w:rFonts w:ascii="Times New Roman" w:hAnsi="Times New Roman" w:cs="Times New Roman"/>
          <w:sz w:val="24"/>
          <w:szCs w:val="24"/>
        </w:rPr>
      </w:pPr>
      <w:r w:rsidRPr="00C521B3">
        <w:rPr>
          <w:rFonts w:ascii="Times New Roman" w:hAnsi="Times New Roman" w:cs="Times New Roman"/>
          <w:color w:val="000000" w:themeColor="text1"/>
          <w:sz w:val="24"/>
          <w:szCs w:val="24"/>
        </w:rPr>
        <w:t xml:space="preserve">Koch (1998) suggested that under turgor pressure, parallel, cross-linked glycan strands would have a zig-zag arrangement, producing hexagonal pores (tessera) (Figure 1.11B)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{"citationID":"1mkdkvtq9b","properties":{"formattedCitation":"(Koch, 1998)","plainCitation":"(Koch, 1998)"},"citationItems":[{"id":82,"uris":["http://zotero.org/users/944474/items/RSPA52DZ"],"uri":["http://zotero.org/users/944474/items/RSPA52DZ"],"itemData":{"id":82,"type":"article-journal","title":"Orientation of the peptidoglycan chains in the sacculus of Escherichia coli","container-title":"Research in Microbiology","page":"689-701","volume":"149","issue":"10","abstract":"The organization of chains of oligopeptidoglycan in the saccular wall is of critical importance in the study of the mechanism and physiology of prokaryotic wall growth. The electron microphotographs of De Pedro et al. present new findings and can be used to negate or at least raise questions about the previously accepted conclusion that the glycan chains are oriented transversely to the axis of rod-shaped Escherichia coli. This suggests caution in assuming that the glycan chains in the murein structure are parallel to each other and are perpendicular to the axis of the cell. These results should reopen the question of not only the orientation of the peptidoglycan chains, but the possibility of variability in orientation. Three classes of hypotheses about wall growth are reconsidered and problems with them are presented. The new results from De Pedro's laboratory and the experimental glycan chain length distribution argue against proposed systematic models. These include models that postulate belts or hoops stretched around the circumference of the cell and mechanisms that insert new chains of the length of presumptive \"docking\" strands in the stress-bearing wall. They are consistent, however, with the surface stress theory that proposes that random enzyme action together with physical forces are involved in the elongation of the rod-shaped Gram-negative wall.","note":"PMID: 9921576","journalAbbreviation":"Res. Microbiol.","author":[{"family":"Koch","given":"A L"}],"issued":{"year":1998,"month":12},"accessed":{"year":2012,"month":4,"day":2},"page-first":"689"}}],"schema":"https://github.com/citation-style-language/schema/raw/master/csl-citation.json"}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(Koch, 1998)</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xml:space="preserve">. The resulting stress-bearing peptidoglycan network was proposed to resemble chicken wire, or alternatively a rectangular mesh due to differences in the elasticity of glycans and peptides (Figure 1.11B; Holtje, 1998). Glycan strands have a right-handed α-helical conformation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{"citationID":"djptkj0eh","properties":{"formattedCitation":"(Leps et al., 1987)","plainCitation":"(Leps et al., 1987)"},"citationItems":[{"id":195,"uris":["http://zotero.org/users/944474/items/W453PIZE"],"uri":["http://zotero.org/users/944474/items/W453PIZE"],"itemData":{"id":195,"type":"article-journal","title":"Conformational behavior of the polysaccharide backbone of murein","container-title":"Biopolymers","page":"1391-1406","volume":"26","issue":"8","DOI":"10.1002/bip.360260813","note":"PMID: 3663868","journalAbbreviation":"Biopolymers","author":[{"family":"Leps","given":"B"},{"family":"Labischinski","given":"H"},{"family":"Bradaczek","given":"H"}],"issued":{"year":1987,"month":8},"accessed":{"year":2012,"month":5,"day":14},"page-first":"1391"}}],"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 xml:space="preserve">(Leps </w:t>
      </w:r>
      <w:r w:rsidRPr="00C521B3">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1987)</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xml:space="preserve">. </w:t>
      </w:r>
      <w:r w:rsidRPr="00C521B3">
        <w:rPr>
          <w:rFonts w:ascii="Times New Roman" w:hAnsi="Times New Roman" w:cs="Times New Roman"/>
          <w:i/>
          <w:color w:val="000000" w:themeColor="text1"/>
          <w:sz w:val="24"/>
          <w:szCs w:val="24"/>
        </w:rPr>
        <w:t>In silico</w:t>
      </w:r>
      <w:r>
        <w:rPr>
          <w:rFonts w:ascii="Times New Roman" w:hAnsi="Times New Roman" w:cs="Times New Roman"/>
          <w:sz w:val="24"/>
          <w:szCs w:val="24"/>
        </w:rPr>
        <w:t xml:space="preserve"> simulation of the molecular dynamics of a peptidoglycan oligosaccharide in the relaxed, minimal energy state, suggested that peptide stems protrude at an angle between 75° and 105°, relative to the neighbouring peptide stems (approximately four peptide stems per turn of the </w:t>
      </w:r>
      <w:r w:rsidRPr="00C521B3">
        <w:rPr>
          <w:rFonts w:ascii="Times New Roman" w:hAnsi="Times New Roman" w:cs="Times New Roman"/>
          <w:color w:val="000000" w:themeColor="text1"/>
          <w:sz w:val="24"/>
          <w:szCs w:val="24"/>
        </w:rPr>
        <w:t xml:space="preserve">glycan helix), although this could be increased or decreased under stress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{"citationID":"1nr5i5i4oe","properties":{"formattedCitation":"(Koch, 2000)","plainCitation":"(Koch, 2000)"},"citationItems":[{"id":193,"uris":["http://zotero.org/users/944474/items/I5PIJHMT"],"uri":["http://zotero.org/users/944474/items/I5PIJHMT"],"itemData":{"id":193,"type":"article-journal","title":"Simulation of the conformation of the murein fabric: the oligoglycan, penta-muropeptide, and cross-linked nona-muropeptide","container-title":"Archives of microbiology","page":"429-439","volume":"174","issue":"6","abstract":"The structure and conformation of the sacculus of bacteria at a scale much larger than just the component disaccharide penta-muropeptide is not well known and is crucially important for the understanding of bacterial growth and cell wall function. By computer simulations, the minimal energy conformations and the energy needed for stretching the component parts were found. The oligosaccharide chain, modeled as (GlcNAc-MurNAc)8 when under no tension, can assumed a variety of nearly iso-energetic conformations. These included a variety of bends and kinks, with the chain forming an irregular random coil. In the most relaxed and minimal energy state, the D-lactyl groups of the MurNAc (N-acetyl muramic acid) residues protruded at about an angle of 90 degrees relative to the D-lactyl groups of their immediate MurNAc neighbors in the same chain. The cell wall penta-muropeptide precursor is identical for Escherichia coli and Bacillus subtilis; it also adopted many conformations, each of an energy almost equal to the global minimum. The cross-bridged structure of the tail-to-tail linkage of disaccharide nona-muropeptide has a second type of association, in addition to the covalent cross-bridge, which has not been considered before. This is the ionic interaction between the free D-Ala and the free amino group of the m-A2 pm. In vivo, when the cross-bridge is stretched (in the computer to simulate growth), this pairing dissociates. The possible biological significance of this is that it exposes the underlying 'tail-to-tail' peptide bond to autolysis and will expose both the ends of the m-A2 pm and the D-AlaD-Ala groups that may then be able to react with nascent penta-muropeptides to form trimers. This suggests a new model for growth of the bacterial cell wall that depends on changes in the chemical conformation of the cross-bridge structure as it comes to bear stress.","note":"PMID: 11195099","shortTitle":"Simulation of the conformation of the murein fabric","journalAbbreviation":"Arch. Microbiol.","author":[{"family":"Koch","given":"A L"}],"issued":{"year":2000,"month":12},"accessed":{"year":2012,"month":5,"day":12},"page-first":"429"}}],"schema":"https://github.com/citation-style-language/schema/raw/master/csl-citation.json"}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(Koch, 2000)</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xml:space="preserve">. Based on a periodicity of four peptides per turn of the glycan helix, Dmitriev </w:t>
      </w:r>
      <w:r w:rsidRPr="00C521B3">
        <w:rPr>
          <w:rFonts w:ascii="Times New Roman" w:hAnsi="Times New Roman" w:cs="Times New Roman"/>
          <w:i/>
          <w:color w:val="000000" w:themeColor="text1"/>
          <w:sz w:val="24"/>
          <w:szCs w:val="24"/>
        </w:rPr>
        <w:t>et al</w:t>
      </w:r>
      <w:r w:rsidRPr="00C521B3">
        <w:rPr>
          <w:rFonts w:ascii="Times New Roman" w:hAnsi="Times New Roman" w:cs="Times New Roman"/>
          <w:color w:val="000000" w:themeColor="text1"/>
          <w:sz w:val="24"/>
          <w:szCs w:val="24"/>
        </w:rPr>
        <w:t>. (2003; 2005) proposed that the classical parallel model of peptidoglycan orientation would be inherently unstable under turgor pressure. A vertical model was proposed such that the peptide stems would be orientated along the axes of tensile stress (Figure 1.11C). However, NMR analysis of a synthetic peptidoglycan tetrasaccharide [Glc</w:t>
      </w:r>
      <w:r w:rsidRPr="00C521B3">
        <w:rPr>
          <w:rFonts w:ascii="Times New Roman" w:hAnsi="Times New Roman" w:cs="Times New Roman"/>
          <w:i/>
          <w:color w:val="000000" w:themeColor="text1"/>
          <w:sz w:val="24"/>
          <w:szCs w:val="24"/>
        </w:rPr>
        <w:t>N</w:t>
      </w:r>
      <w:r w:rsidRPr="00C521B3">
        <w:rPr>
          <w:rFonts w:ascii="Times New Roman" w:hAnsi="Times New Roman" w:cs="Times New Roman"/>
          <w:color w:val="000000" w:themeColor="text1"/>
          <w:sz w:val="24"/>
          <w:szCs w:val="24"/>
        </w:rPr>
        <w:t>Ac-Mur</w:t>
      </w:r>
      <w:r w:rsidRPr="00C521B3">
        <w:rPr>
          <w:rFonts w:ascii="Times New Roman" w:hAnsi="Times New Roman" w:cs="Times New Roman"/>
          <w:i/>
          <w:color w:val="000000" w:themeColor="text1"/>
          <w:sz w:val="24"/>
          <w:szCs w:val="24"/>
        </w:rPr>
        <w:t>N</w:t>
      </w:r>
      <w:r w:rsidRPr="00C521B3">
        <w:rPr>
          <w:rFonts w:ascii="Times New Roman" w:hAnsi="Times New Roman" w:cs="Times New Roman"/>
          <w:color w:val="000000" w:themeColor="text1"/>
          <w:sz w:val="24"/>
          <w:szCs w:val="24"/>
        </w:rPr>
        <w:t>Ac-(pentapeptide)- Glc</w:t>
      </w:r>
      <w:r w:rsidRPr="00C521B3">
        <w:rPr>
          <w:rFonts w:ascii="Times New Roman" w:hAnsi="Times New Roman" w:cs="Times New Roman"/>
          <w:i/>
          <w:color w:val="000000" w:themeColor="text1"/>
          <w:sz w:val="24"/>
          <w:szCs w:val="24"/>
        </w:rPr>
        <w:t>N</w:t>
      </w:r>
      <w:r w:rsidRPr="00C521B3">
        <w:rPr>
          <w:rFonts w:ascii="Times New Roman" w:hAnsi="Times New Roman" w:cs="Times New Roman"/>
          <w:color w:val="000000" w:themeColor="text1"/>
          <w:sz w:val="24"/>
          <w:szCs w:val="24"/>
        </w:rPr>
        <w:t>Ac-Mur</w:t>
      </w:r>
      <w:r w:rsidRPr="00C521B3">
        <w:rPr>
          <w:rFonts w:ascii="Times New Roman" w:hAnsi="Times New Roman" w:cs="Times New Roman"/>
          <w:i/>
          <w:color w:val="000000" w:themeColor="text1"/>
          <w:sz w:val="24"/>
          <w:szCs w:val="24"/>
        </w:rPr>
        <w:t>N</w:t>
      </w:r>
      <w:r w:rsidRPr="00C521B3">
        <w:rPr>
          <w:rFonts w:ascii="Times New Roman" w:hAnsi="Times New Roman" w:cs="Times New Roman"/>
          <w:color w:val="000000" w:themeColor="text1"/>
          <w:sz w:val="24"/>
          <w:szCs w:val="24"/>
        </w:rPr>
        <w:t>Ac-(pentapeptide)] suggested a periodicity of three peptide stems per turn of the glycan strand (i.e. peptide stems are separated by 120°), predisposing the oligomer for binding to three adjacent strands in a hexagonal honey-comb conformation (Figure 1.11D</w:t>
      </w:r>
      <w:r>
        <w:rPr>
          <w:rFonts w:ascii="Times New Roman" w:hAnsi="Times New Roman" w:cs="Times New Roman"/>
          <w:color w:val="000000" w:themeColor="text1"/>
          <w:sz w:val="24"/>
          <w:szCs w:val="24"/>
        </w:rPr>
        <w:t>;</w:t>
      </w:r>
      <w:r w:rsidRPr="00C521B3">
        <w:rPr>
          <w:rFonts w:ascii="Times New Roman" w:hAnsi="Times New Roman" w:cs="Times New Roman"/>
          <w:color w:val="000000" w:themeColor="text1"/>
          <w:sz w:val="24"/>
          <w:szCs w:val="24"/>
        </w:rPr>
        <w:t xml:space="preserve"> </w:t>
      </w:r>
      <w:r w:rsidRPr="00C521B3">
        <w:rPr>
          <w:rFonts w:ascii="Times New Roman" w:hAnsi="Times New Roman" w:cs="Times New Roman"/>
          <w:sz w:val="24"/>
          <w:szCs w:val="24"/>
        </w:rPr>
        <w:fldChar w:fldCharType="begin"/>
      </w:r>
      <w:r w:rsidRPr="00C521B3">
        <w:rPr>
          <w:rFonts w:ascii="Times New Roman" w:hAnsi="Times New Roman" w:cs="Times New Roman"/>
          <w:sz w:val="24"/>
          <w:szCs w:val="24"/>
        </w:rPr>
        <w:instrText xml:space="preserve"> ADDIN ZOTERO_ITEM CSL_CITATION {"citationID":"f4o2toolb","properties":{"formattedCitation":"(Meroueh et al., 2006)","plainCitation":"(Meroueh et al., 2006)"},"citationItems":[{"id":83,"uris":["http://zotero.org/users/944474/items/WHSAE7JK"],"uri":["http://zotero.org/users/944474/items/WHSAE7JK"],"itemData":{"id":83,"type":"article-journal","title":"Three-dimensional structure of the bacterial cell wall peptidoglycan","container-title":"Proceedings of the National Academy of Sciences of the United States of America","page":"4404-4409","volume":"103","issue":"12","abstract":"The 3D structure of the bacterial peptidoglycan, the major constituent of the cell wall, is one of the most important, yet still unsolved, structural problems in biochemistry. The peptidoglycan comprises alternating N-acetylglucosamine (NAG) and N-acetylmuramic disaccharide (NAM) saccharides, the latter of which has a peptide stem. Adjacent peptide stems are cross-linked by the transpeptidase enzymes of cell wall biosynthesis to provide the cell wall polymer with the structural integrity required by the bacterium. The cell wall and its biosynthetic enzymes are targets of antibiotics. The 3D structure of the cell wall has been elusive because of its complexity and the lack of pure samples. Herein we report the 3D solution structure as determined by NMR of the 2-kDa NAG-NAM(pentapeptide)-NAG-NAM(pentapeptide) synthetic fragment of the cell wall. The glycan backbone of this peptidoglycan forms a right-handed helix with a periodicity of three for the NAG-NAM repeat (per turn of the helix). The first two amino acids of the pentapeptide adopt a limited number of conformations. Based on this structure a model for the bacterial cell wall is proposed.","DOI":"10.1073/pnas.0510182103","note":"PMID: 16537437","journalAbbreviation":"Proc. Natl. Acad. Sci. U.S.A.","author":[{"family":"Meroueh","given":"Samy O"},{"family":"Bencze","given":"Krisztina Z"},{"family":"Hesek","given":"Dusan"},{"family":"Lee","given":"Mijoon"},{"family":"Fisher","given":"Jed F"},{"family":"Stemmler","given":"Timothy L"},{"family":"Mobashery","given":"Shahriar"}],"issued":{"year":2006,"month":3,"day":21},"accessed":{"year":2012,"month":4,"day":2},"page-first":"4404"}}],"schema":"https://github.com/citation-style-language/schema/raw/master/csl-citation.json"} </w:instrText>
      </w:r>
      <w:r w:rsidRPr="00C521B3">
        <w:rPr>
          <w:rFonts w:ascii="Times New Roman" w:hAnsi="Times New Roman" w:cs="Times New Roman"/>
          <w:sz w:val="24"/>
          <w:szCs w:val="24"/>
        </w:rPr>
        <w:fldChar w:fldCharType="separate"/>
      </w:r>
      <w:r w:rsidRPr="00C521B3">
        <w:rPr>
          <w:rFonts w:ascii="Times New Roman" w:hAnsi="Times New Roman" w:cs="Times New Roman"/>
          <w:sz w:val="24"/>
          <w:szCs w:val="24"/>
        </w:rPr>
        <w:t xml:space="preserve">Meroueh </w:t>
      </w:r>
      <w:r w:rsidRPr="00C521B3">
        <w:rPr>
          <w:rFonts w:ascii="Times New Roman" w:hAnsi="Times New Roman" w:cs="Times New Roman"/>
          <w:i/>
          <w:sz w:val="24"/>
          <w:szCs w:val="24"/>
        </w:rPr>
        <w:t>et al</w:t>
      </w:r>
      <w:r w:rsidRPr="00C521B3">
        <w:rPr>
          <w:rFonts w:ascii="Times New Roman" w:hAnsi="Times New Roman" w:cs="Times New Roman"/>
          <w:sz w:val="24"/>
          <w:szCs w:val="24"/>
        </w:rPr>
        <w:t>., 2006)</w:t>
      </w:r>
      <w:r w:rsidRPr="00C521B3">
        <w:rPr>
          <w:rFonts w:ascii="Times New Roman" w:hAnsi="Times New Roman" w:cs="Times New Roman"/>
          <w:sz w:val="24"/>
          <w:szCs w:val="24"/>
        </w:rPr>
        <w:fldChar w:fldCharType="end"/>
      </w:r>
      <w:r w:rsidRPr="00C521B3">
        <w:rPr>
          <w:rFonts w:ascii="Times New Roman" w:hAnsi="Times New Roman" w:cs="Times New Roman"/>
          <w:sz w:val="24"/>
          <w:szCs w:val="24"/>
        </w:rPr>
        <w:t>.</w:t>
      </w:r>
    </w:p>
    <w:p w:rsidR="00BC7652" w:rsidRDefault="00BC7652" w:rsidP="00BC7652">
      <w:pPr>
        <w:spacing w:line="480" w:lineRule="auto"/>
        <w:jc w:val="both"/>
        <w:rPr>
          <w:rFonts w:ascii="Times New Roman" w:hAnsi="Times New Roman" w:cs="Times New Roman"/>
          <w:sz w:val="24"/>
          <w:szCs w:val="24"/>
        </w:rPr>
      </w:pPr>
    </w:p>
    <w:p w:rsidR="00BC7652" w:rsidRPr="00680A88" w:rsidRDefault="00BC7652" w:rsidP="00BC7652">
      <w:pPr>
        <w:tabs>
          <w:tab w:val="left" w:pos="1276"/>
        </w:tabs>
        <w:spacing w:line="480" w:lineRule="auto"/>
        <w:jc w:val="both"/>
        <w:rPr>
          <w:rFonts w:ascii="Times New Roman" w:hAnsi="Times New Roman" w:cs="Times New Roman"/>
          <w:sz w:val="28"/>
          <w:szCs w:val="28"/>
        </w:rPr>
      </w:pPr>
      <w:r>
        <w:rPr>
          <w:rFonts w:ascii="Times New Roman" w:hAnsi="Times New Roman" w:cs="Times New Roman"/>
          <w:sz w:val="28"/>
          <w:szCs w:val="28"/>
        </w:rPr>
        <w:t>1.8.3</w:t>
      </w:r>
      <w:r>
        <w:rPr>
          <w:rFonts w:ascii="Times New Roman" w:hAnsi="Times New Roman" w:cs="Times New Roman"/>
          <w:sz w:val="28"/>
          <w:szCs w:val="28"/>
        </w:rPr>
        <w:tab/>
        <w:t>Models of peptidoglycan architecture in rod shaped bacteria</w:t>
      </w:r>
    </w:p>
    <w:p w:rsidR="00BC7652" w:rsidRPr="00C521B3" w:rsidRDefault="00BC7652" w:rsidP="00BC7652">
      <w:pPr>
        <w:spacing w:line="48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A key question concerning the peptidoglycan </w:t>
      </w:r>
      <w:proofErr w:type="gramStart"/>
      <w:r>
        <w:rPr>
          <w:rFonts w:ascii="Times New Roman" w:hAnsi="Times New Roman" w:cs="Times New Roman"/>
          <w:sz w:val="24"/>
          <w:szCs w:val="24"/>
        </w:rPr>
        <w:t>architecture,</w:t>
      </w:r>
      <w:proofErr w:type="gramEnd"/>
      <w:r>
        <w:rPr>
          <w:rFonts w:ascii="Times New Roman" w:hAnsi="Times New Roman" w:cs="Times New Roman"/>
          <w:sz w:val="24"/>
          <w:szCs w:val="24"/>
        </w:rPr>
        <w:t xml:space="preserve"> is how non-spherical (rod) shape is maintained under turgor pressure. Using </w:t>
      </w:r>
      <w:r>
        <w:rPr>
          <w:rFonts w:ascii="Times New Roman" w:hAnsi="Times New Roman" w:cs="Times New Roman"/>
          <w:i/>
          <w:sz w:val="24"/>
          <w:szCs w:val="24"/>
        </w:rPr>
        <w:t xml:space="preserve">E. coli </w:t>
      </w:r>
      <w:r>
        <w:rPr>
          <w:rFonts w:ascii="Times New Roman" w:hAnsi="Times New Roman" w:cs="Times New Roman"/>
          <w:sz w:val="24"/>
          <w:szCs w:val="24"/>
        </w:rPr>
        <w:t xml:space="preserve">as a model, Koch described </w:t>
      </w:r>
      <w:r>
        <w:rPr>
          <w:rFonts w:ascii="Times New Roman" w:hAnsi="Times New Roman" w:cs="Times New Roman"/>
          <w:sz w:val="24"/>
          <w:szCs w:val="24"/>
        </w:rPr>
        <w:lastRenderedPageBreak/>
        <w:t xml:space="preserve">three possible mechanisms for maintenance of rod-shape, (1) the belt model, (2) surface stress theory and (3) the contractile elements </w:t>
      </w:r>
      <w:r w:rsidRPr="00C521B3">
        <w:rPr>
          <w:rFonts w:ascii="Times New Roman" w:hAnsi="Times New Roman" w:cs="Times New Roman"/>
          <w:color w:val="000000" w:themeColor="text1"/>
          <w:sz w:val="24"/>
          <w:szCs w:val="24"/>
        </w:rPr>
        <w:t xml:space="preserve">model (Figure 1.12;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{"citationID":"buiqoj2ce","properties":{"formattedCitation":"(Koch, 1998)","plainCitation":"(Koch, 1998)"},"citationItems":[{"id":82,"uris":["http://zotero.org/users/944474/items/RSPA52DZ"],"uri":["http://zotero.org/users/944474/items/RSPA52DZ"],"itemData":{"id":82,"type":"article-journal","title":"Orientation of the peptidoglycan chains in the sacculus of Escherichia coli","container-title":"Research in Microbiology","page":"689-701","volume":"149","issue":"10","abstract":"The organization of chains of oligopeptidoglycan in the saccular wall is of critical importance in the study of the mechanism and physiology of prokaryotic wall growth. The electron microphotographs of De Pedro et al. present new findings and can be used to negate or at least raise questions about the previously accepted conclusion that the glycan chains are oriented transversely to the axis of rod-shaped Escherichia coli. This suggests caution in assuming that the glycan chains in the murein structure are parallel to each other and are perpendicular to the axis of the cell. These results should reopen the question of not only the orientation of the peptidoglycan chains, but the possibility of variability in orientation. Three classes of hypotheses about wall growth are reconsidered and problems with them are presented. The new results from De Pedro's laboratory and the experimental glycan chain length distribution argue against proposed systematic models. These include models that postulate belts or hoops stretched around the circumference of the cell and mechanisms that insert new chains of the length of presumptive \"docking\" strands in the stress-bearing wall. They are consistent, however, with the surface stress theory that proposes that random enzyme action together with physical forces are involved in the elongation of the rod-shaped Gram-negative wall.","note":"PMID: 9921576","journalAbbreviation":"Res. Microbiol.","author":[{"family":"Koch","given":"A L"}],"issued":{"year":1998,"month":12},"accessed":{"year":2012,"month":4,"day":2},"page-first":"689"}}],"schema":"https://github.com/citation-style-language/schema/raw/master/csl-citation.json"}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Koch, 1998)</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In the belt model (Figure 1.12A)</w:t>
      </w:r>
      <w:proofErr w:type="gramStart"/>
      <w:r w:rsidRPr="00C521B3">
        <w:rPr>
          <w:rFonts w:ascii="Times New Roman" w:hAnsi="Times New Roman" w:cs="Times New Roman"/>
          <w:color w:val="000000" w:themeColor="text1"/>
          <w:sz w:val="24"/>
          <w:szCs w:val="24"/>
        </w:rPr>
        <w:t>,</w:t>
      </w:r>
      <w:proofErr w:type="gramEnd"/>
      <w:r w:rsidRPr="00C521B3">
        <w:rPr>
          <w:rFonts w:ascii="Times New Roman" w:hAnsi="Times New Roman" w:cs="Times New Roman"/>
          <w:color w:val="000000" w:themeColor="text1"/>
          <w:sz w:val="24"/>
          <w:szCs w:val="24"/>
        </w:rPr>
        <w:t xml:space="preserve"> the cylinder wall is constrained by inflexible glycan hoops that act as a template for cylinder growth. Peptide stems bear none of the hoop stress, as their higher elasticity would cause the belts to stretch, resulting in successively wider cells with each new generation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{"citationID":"lbrvmtt0q","properties":{"formattedCitation":"(Koch, 1998)","plainCitation":"(Koch, 1998)"},"citationItems":[{"id":82,"uris":["http://zotero.org/users/944474/items/RSPA52DZ"],"uri":["http://zotero.org/users/944474/items/RSPA52DZ"],"itemData":{"id":82,"type":"article-journal","title":"Orientation of the peptidoglycan chains in the sacculus of Escherichia coli","container-title":"Research in Microbiology","page":"689-701","volume":"149","issue":"10","abstract":"The organization of chains of oligopeptidoglycan in the saccular wall is of critical importance in the study of the mechanism and physiology of prokaryotic wall growth. The electron microphotographs of De Pedro et al. present new findings and can be used to negate or at least raise questions about the previously accepted conclusion that the glycan chains are oriented transversely to the axis of rod-shaped Escherichia coli. This suggests caution in assuming that the glycan chains in the murein structure are parallel to each other and are perpendicular to the axis of the cell. These results should reopen the question of not only the orientation of the peptidoglycan chains, but the possibility of variability in orientation. Three classes of hypotheses about wall growth are reconsidered and problems with them are presented. The new results from De Pedro's laboratory and the experimental glycan chain length distribution argue against proposed systematic models. These include models that postulate belts or hoops stretched around the circumference of the cell and mechanisms that insert new chains of the length of presumptive \"docking\" strands in the stress-bearing wall. They are consistent, however, with the surface stress theory that proposes that random enzyme action together with physical forces are involved in the elongation of the rod-shaped Gram-negative wall.","note":"PMID: 9921576","journalAbbreviation":"Res. Microbiol.","author":[{"family":"Koch","given":"A L"}],"issued":{"year":1998,"month":12},"accessed":{"year":2012,"month":4,"day":2},"page-first":"689"}}],"schema":"https://github.com/citation-style-language/schema/raw/master/csl-citation.json"}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(Koch, 1998)</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However, whilst purified sacculi are more elastic in the direction of the long axis, they are not completely inelastic across the short axis, and belts of peptidoglycan were not observed by AFM or cryoEM of purified sacculi,</w:t>
      </w:r>
      <w:r w:rsidRPr="00C521B3">
        <w:rPr>
          <w:rFonts w:ascii="Times New Roman" w:hAnsi="Times New Roman" w:cs="Times New Roman"/>
          <w:color w:val="000000" w:themeColor="text1"/>
        </w:rPr>
        <w:t xml:space="preserve"> </w:t>
      </w:r>
      <w:r w:rsidRPr="00C521B3">
        <w:rPr>
          <w:rFonts w:ascii="Times New Roman" w:hAnsi="Times New Roman" w:cs="Times New Roman"/>
          <w:color w:val="000000" w:themeColor="text1"/>
          <w:sz w:val="24"/>
          <w:szCs w:val="24"/>
        </w:rPr>
        <w:t>therefore this model is unlikely</w:t>
      </w:r>
      <w:r w:rsidRPr="00C521B3">
        <w:rPr>
          <w:rFonts w:ascii="Times New Roman" w:hAnsi="Times New Roman" w:cs="Times New Roman"/>
          <w:color w:val="000000" w:themeColor="text1"/>
        </w:rPr>
        <w:t xml:space="preserve"> </w:t>
      </w:r>
      <w:r w:rsidRPr="00C521B3">
        <w:rPr>
          <w:rFonts w:ascii="Times New Roman" w:hAnsi="Times New Roman" w:cs="Times New Roman"/>
          <w:color w:val="000000" w:themeColor="text1"/>
          <w:sz w:val="24"/>
          <w:szCs w:val="24"/>
        </w:rPr>
        <w:t xml:space="preserve">to be correct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{"citationID":"allk3dglh","properties":{"formattedCitation":"(Yao et al., 1999; Gan et al., 2008)","plainCitation":"(Yao et al., 1999; Gan et al., 2008)"},"citationItems":[{"id":173,"uris":["http://zotero.org/users/944474/items/62ZE9DK5"],"uri":["http://zotero.org/users/944474/items/62ZE9DK5"],"itemData":{"id":173,"type":"article-journal","title":"Thickness and elasticity of gram-negative murein sacculi measured by atomic force microscopy","container-title":"Journal of bacteriology","page":"6865-6875","volume":"181","issue":"22","abstract":"Atomic force microscopy was used to measure the thickness of air-dried, collapsed murein sacculi from Escherichia coli K-12 and Pseudomonas aeruginosa PAO1. Air-dried sacculi from E. coli had a thickness of 3.0 nm, whereas those from P. aeruginosa were 1.5 nm thick. When rehydrated, the sacculi of both bacteria swelled to double their anhydrous thickness. Computer simulation of a section of a model single-layer peptidoglycan network in an aqueous solution with a Debye shielding length of 0.3 nm gave a mass distribution full width at half height of 2.4 nm, in essential agreement with these results. When E. coli sacculi were suspended over a narrow groove that had been etched into a silicon surface and the tip of the atomic force microscope used to depress and stretch the peptidoglycan, an elastic modulus of 2.5 x 10(7) N/m(2) was determined for hydrated sacculi; they were perfectly elastic, springing back to their original position when the tip was removed. Dried sacculi were more rigid with a modulus of 3 x 10(8) to 4 x 10(8) N/m(2) and at times could be broken by the atomic force microscope tip. Sacculi aligned over the groove with their long axis at right angles to the channel axis were more deformable than those with their long axis parallel to the groove axis, as would be expected if the peptidoglycan strands in the sacculus were oriented at right angles to the long cell axis of this gram-negative rod. Polar caps were not found to be more rigid structures but collapsed to the same thickness as the cylindrical portions of the sacculi. The elasticity of intact E. coli sacculi is such that, if the peptidoglycan strands are aligned in unison, the interstrand spacing should increase by 12% with every 1 atm increase in (turgor) pressure. Assuming an unstressed hydrated interstrand spacing of 1.3 nm (R. E. Burge, A. G. Fowler, and D. A. Reaveley, J. Mol. Biol. 117:927-953, 1977) and an internal turgor pressure of 3 to 5 atm (or 304 to 507 kPa) (A. L. Koch, Adv. Microbial Physiol. 24:301-366, 1983), the natural interstrand spacing in cells would be 1.6 to 2.0 nm. Clearly, if large macromolecules of a diameter greater than these spacings are secreted through this layer, the local ordering of the peptidoglycan must somehow be disrupted.","note":"PMID: 10559150","journalAbbreviation":"J. Bacteriol.","author":[{"family":"Yao","given":"X"},{"family":"Jericho","given":"M"},{"family":"Pink","given":"D"},{"family":"Beveridge","given":"T"}],"issued":{"year":1999,"month":11},"accessed":{"year":2012,"month":5,"day":9},"page-first":"6865"}},{"id":175,"uris":["http://zotero.org/users/944474/items/QMKJ7NXX"],"uri":["http://zotero.org/users/944474/items/QMKJ7NXX"],"itemData":{"id":175,"type":"article-journal","title":"Molecular organization of Gram-negative peptidoglycan","container-title":"Proceedings of the National Academy of Sciences of the United States of America","page":"18953-18957","volume":"105","issue":"48","abstract":"The stress-bearing component of the bacterial cell wall--a multi-gigadalton bag-like molecule called the sacculus--is synthesized from peptidoglycan. Whereas the chemical composition and the 3-dimensional structure of the peptidoglycan subunit (in at least one conformation) are known, the architecture of the assembled sacculus is not. Four decades' worth of biochemical and electron microscopy experiments have resulted in two leading 3-D peptidoglycan models: \"Layered\" and \"Scaffold\", in which the glycan strands are parallel and perpendicular to the cell surface, respectively. Here we resolved the basic architecture of purified, frozen-hydrated sacculi through electron cryotomography. In the Gram-negative sacculus, a single layer of glycans lie parallel to the cell surface, roughly perpendicular to the long axis of the cell, encircling the cell in a disorganized hoop-like fashion.","DOI":"10.1073/pnas.0808035105","note":"PMID: 19033194","journalAbbreviation":"Proc. Natl. Acad. Sci. U.S.A.","author":[{"family":"Gan","given":"Lu"},{"family":"Chen","given":"Songye"},{"family":"Jensen","given":"Grant J"}],"issued":{"year":2008,"month":12,"day":2},"accessed":{"year":2012,"month":5,"day":9},"page-first":"18953"}}],"schema":"https://github.com/citation-style-language/schema/raw/master/csl-citation.json"}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 xml:space="preserve">(Yao </w:t>
      </w:r>
      <w:r w:rsidRPr="00C521B3">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w:t>
      </w:r>
      <w:r w:rsidRPr="00C521B3">
        <w:rPr>
          <w:rFonts w:ascii="Times New Roman" w:hAnsi="Times New Roman" w:cs="Times New Roman"/>
          <w:color w:val="000000" w:themeColor="text1"/>
        </w:rPr>
        <w:t xml:space="preserve"> </w:t>
      </w:r>
      <w:r w:rsidRPr="00C521B3">
        <w:rPr>
          <w:rFonts w:ascii="Times New Roman" w:hAnsi="Times New Roman" w:cs="Times New Roman"/>
          <w:color w:val="000000" w:themeColor="text1"/>
          <w:sz w:val="24"/>
        </w:rPr>
        <w:t>1999;</w:t>
      </w:r>
      <w:r w:rsidRPr="00C521B3">
        <w:rPr>
          <w:rFonts w:ascii="Times New Roman" w:hAnsi="Times New Roman" w:cs="Times New Roman"/>
          <w:color w:val="000000" w:themeColor="text1"/>
        </w:rPr>
        <w:t xml:space="preserve"> </w:t>
      </w:r>
      <w:r w:rsidRPr="00C521B3">
        <w:rPr>
          <w:rFonts w:ascii="Times New Roman" w:hAnsi="Times New Roman" w:cs="Times New Roman"/>
          <w:color w:val="000000" w:themeColor="text1"/>
          <w:sz w:val="24"/>
        </w:rPr>
        <w:t>Gan</w:t>
      </w:r>
      <w:r w:rsidRPr="00C521B3">
        <w:rPr>
          <w:rFonts w:ascii="Times New Roman" w:hAnsi="Times New Roman" w:cs="Times New Roman"/>
          <w:color w:val="000000" w:themeColor="text1"/>
        </w:rPr>
        <w:t xml:space="preserve"> </w:t>
      </w:r>
      <w:r w:rsidRPr="00C521B3">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w:t>
      </w:r>
      <w:r w:rsidRPr="002F5D6E">
        <w:rPr>
          <w:rFonts w:ascii="Times New Roman" w:hAnsi="Times New Roman" w:cs="Times New Roman"/>
          <w:color w:val="000000" w:themeColor="text1"/>
        </w:rPr>
        <w:t xml:space="preserve"> </w:t>
      </w:r>
      <w:r w:rsidRPr="00C521B3">
        <w:rPr>
          <w:rFonts w:ascii="Times New Roman" w:hAnsi="Times New Roman" w:cs="Times New Roman"/>
          <w:color w:val="000000" w:themeColor="text1"/>
          <w:sz w:val="24"/>
        </w:rPr>
        <w:t>2008)</w:t>
      </w:r>
      <w:r w:rsidRPr="00C521B3">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p>
    <w:p w:rsidR="00BC7652" w:rsidRPr="00C521B3" w:rsidRDefault="00BC7652" w:rsidP="00BC7652">
      <w:pPr>
        <w:spacing w:line="480" w:lineRule="auto"/>
        <w:jc w:val="both"/>
        <w:rPr>
          <w:rFonts w:ascii="Times New Roman" w:hAnsi="Times New Roman" w:cs="Times New Roman"/>
          <w:color w:val="000000" w:themeColor="text1"/>
          <w:sz w:val="24"/>
          <w:szCs w:val="24"/>
        </w:rPr>
      </w:pPr>
      <w:r w:rsidRPr="00C521B3">
        <w:rPr>
          <w:rFonts w:ascii="Times New Roman" w:hAnsi="Times New Roman" w:cs="Times New Roman"/>
          <w:color w:val="000000" w:themeColor="text1"/>
          <w:sz w:val="24"/>
          <w:szCs w:val="24"/>
        </w:rPr>
        <w:t xml:space="preserve">The surface stress theory suggests that poles are metabolically inert and act as a framework for cylinder growth (Figure 1.12B). Rod shape is maintained by elongation rather than deformation of the cylinder under stress. Bonds stretched under turgor pressure are favoured for autolysis. Cleavage of these bonds pulls pre-attached nascent material into the stress-bearing plane, resulting in cylinder elongation. This does not require a strict arrangement of the peptidoglycan network, nor does it preclude such a possibility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{"citationID":"riq9gide1","properties":{"formattedCitation":"(Koch, 1998)","plainCitation":"(Koch, 1998)"},"citationItems":[{"id":82,"uris":["http://zotero.org/users/944474/items/RSPA52DZ"],"uri":["http://zotero.org/users/944474/items/RSPA52DZ"],"itemData":{"id":82,"type":"article-journal","title":"Orientation of the peptidoglycan chains in the sacculus of Escherichia coli","container-title":"Research in Microbiology","page":"689-701","volume":"149","issue":"10","abstract":"The organization of chains of oligopeptidoglycan in the saccular wall is of critical importance in the study of the mechanism and physiology of prokaryotic wall growth. The electron microphotographs of De Pedro et al. present new findings and can be used to negate or at least raise questions about the previously accepted conclusion that the glycan chains are oriented transversely to the axis of rod-shaped Escherichia coli. This suggests caution in assuming that the glycan chains in the murein structure are parallel to each other and are perpendicular to the axis of the cell. These results should reopen the question of not only the orientation of the peptidoglycan chains, but the possibility of variability in orientation. Three classes of hypotheses about wall growth are reconsidered and problems with them are presented. The new results from De Pedro's laboratory and the experimental glycan chain length distribution argue against proposed systematic models. These include models that postulate belts or hoops stretched around the circumference of the cell and mechanisms that insert new chains of the length of presumptive \"docking\" strands in the stress-bearing wall. They are consistent, however, with the surface stress theory that proposes that random enzyme action together with physical forces are involved in the elongation of the rod-shaped Gram-negative wall.","note":"PMID: 9921576","journalAbbreviation":"Res. Microbiol.","author":[{"family":"Koch","given":"A L"}],"issued":{"year":1998,"month":12},"accessed":{"year":2012,"month":4,"day":2},"page-first":"689"}}],"schema":"https://github.com/citation-style-language/schema/raw/master/csl-citation.json"}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(Koch, 1998)</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w:t>
      </w:r>
    </w:p>
    <w:p w:rsidR="00BC7652" w:rsidRPr="00C521B3" w:rsidRDefault="00BC7652" w:rsidP="00BC7652">
      <w:pPr>
        <w:spacing w:line="480" w:lineRule="auto"/>
        <w:jc w:val="both"/>
        <w:rPr>
          <w:rFonts w:ascii="Times New Roman" w:hAnsi="Times New Roman" w:cs="Times New Roman"/>
          <w:color w:val="000000" w:themeColor="text1"/>
          <w:sz w:val="24"/>
          <w:szCs w:val="24"/>
        </w:rPr>
      </w:pPr>
      <w:r w:rsidRPr="00C521B3">
        <w:rPr>
          <w:rFonts w:ascii="Times New Roman" w:hAnsi="Times New Roman" w:cs="Times New Roman"/>
          <w:color w:val="000000" w:themeColor="text1"/>
          <w:sz w:val="24"/>
          <w:szCs w:val="24"/>
        </w:rPr>
        <w:t xml:space="preserve">The contractile elements model suggests that the cylinder circumference is constrained by a cytoskeletal system that pulls the wall inward, or pushes the poles apart (Figure 1.12C;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{"citationID":"6nrpjtvgi","properties":{"formattedCitation":"(Koch, 1998)","plainCitation":"(Koch, 1998)"},"citationItems":[{"id":82,"uris":["http://zotero.org/users/944474/items/RSPA52DZ"],"uri":["http://zotero.org/users/944474/items/RSPA52DZ"],"itemData":{"id":82,"type":"article-journal","title":"Orientation of the peptidoglycan chains in the sacculus of Escherichia coli","container-title":"Research in Microbiology","page":"689-701","volume":"149","issue":"10","abstract":"The organization of chains of oligopeptidoglycan in the saccular wall is of critical importance in the study of the mechanism and physiology of prokaryotic wall growth. The electron microphotographs of De Pedro et al. present new findings and can be used to negate or at least raise questions about the previously accepted conclusion that the glycan chains are oriented transversely to the axis of rod-shaped Escherichia coli. This suggests caution in assuming that the glycan chains in the murein structure are parallel to each other and are perpendicular to the axis of the cell. These results should reopen the question of not only the orientation of the peptidoglycan chains, but the possibility of variability in orientation. Three classes of hypotheses about wall growth are reconsidered and problems with them are presented. The new results from De Pedro's laboratory and the experimental glycan chain length distribution argue against proposed systematic models. These include models that postulate belts or hoops stretched around the circumference of the cell and mechanisms that insert new chains of the length of presumptive \"docking\" strands in the stress-bearing wall. They are consistent, however, with the surface stress theory that proposes that random enzyme action together with physical forces are involved in the elongation of the rod-shaped Gram-negative wall.","note":"PMID: 9921576","journalAbbreviation":"Res. Microbiol.","author":[{"family":"Koch","given":"A L"}],"issued":{"year":1998,"month":12},"accessed":{"year":2012,"month":4,"day":2},"page-first":"689"}}],"schema":"https://github.com/citation-style-language/schema/raw/master/csl-citation.json"}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Koch, 1998)</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xml:space="preserve">. The MreB cytoskeleton which is essential for rod-shape in many bacteria and directs the elongation apparatus can deform lipid membranes, and is thought to contribute 30-50% of the total cell stiffness in </w:t>
      </w:r>
      <w:r w:rsidRPr="00C521B3">
        <w:rPr>
          <w:rFonts w:ascii="Times New Roman" w:hAnsi="Times New Roman" w:cs="Times New Roman"/>
          <w:i/>
          <w:color w:val="000000" w:themeColor="text1"/>
          <w:sz w:val="24"/>
          <w:szCs w:val="24"/>
        </w:rPr>
        <w:t xml:space="preserve">E. coli </w:t>
      </w:r>
      <w:r w:rsidRPr="00C521B3">
        <w:rPr>
          <w:rFonts w:ascii="Times New Roman" w:hAnsi="Times New Roman" w:cs="Times New Roman"/>
          <w:i/>
          <w:color w:val="000000" w:themeColor="text1"/>
          <w:sz w:val="24"/>
          <w:szCs w:val="24"/>
        </w:rPr>
        <w:fldChar w:fldCharType="begin"/>
      </w:r>
      <w:r w:rsidRPr="00C521B3">
        <w:rPr>
          <w:rFonts w:ascii="Times New Roman" w:hAnsi="Times New Roman" w:cs="Times New Roman"/>
          <w:i/>
          <w:color w:val="000000" w:themeColor="text1"/>
          <w:sz w:val="24"/>
          <w:szCs w:val="24"/>
        </w:rPr>
        <w:instrText xml:space="preserve"> ADDIN ZOTERO_ITEM CSL_CITATION {"citationID":"2go835gmje","properties":{"formattedCitation":"(Wang et al., 2010; Dempwolff et al., 2011)","plainCitation":"(Wang et al., 2010; Dempwolff et al., 2011)"},"citationItems":[{"id":608,"uris":["http://zotero.org/users/944474/items/UUHU27ZX"],"uri":["http://zotero.org/users/944474/items/UUHU27ZX"],"itemData":{"id":608,"type":"article-journal","title":"Actin-like cytoskeleton filaments contribute to cell mechanics in bacteria","container-title":"Proceedings of the National Academy of Sciences of the United States of America","page":"9182-9185","volume":"107","issue":"20","abstract":"A filamentous cytoskeleton largely governs the physical shape and mechanical properties of eukaryotic cells. In bacteria, proteins homologous to all three classes of eukaryotic cytoskeletal filaments have recently been discovered. These proteins are essential for the maintenance of bacterial cell shape and have been shown to guide the localization of key cell-wall-modifying enzymes. However, whether the bacterial cytoskeleton is stiff enough to affect the overall mechanical rigidity of a cell has not been probed. Here, we used an optical trap to measure the bending rigidity of live Escherichia coli cells. We find that the actin-homolog MreB contributes nearly as much to the stiffness of a cell as the peptidoglycan cell wall. By quantitatively modeling these measurements, our data indicate that the MreB is rigidly linked to the cell wall, increasing the mechanical stiffness of the overall system. These data are the first evidence that the bacterial cytoskeleton contributes to the mechanical integrity of a cell in much the same way as it does in eukaryotes.","DOI":"10.1073/pnas.0911517107","note":"PMID: 20439764","journalAbbreviation":"Proc. Natl. Acad. Sci. U.S.A.","author":[{"family":"Wang","given":"Siyuan"},{"family":"Arellano-Santoyo","given":"Hugo"},{"family":"Combs","given":"Peter A"},{"family":"Shaevitz","given":"Joshua W"}],"issued":{"year":2010,"month":5,"day":18},"accessed":{"year":2012,"month":6,"day":23},"page-first":"9182"}},{"id":607,"uris":["http://zotero.org/users/944474/items/248QQIBQ"],"uri":["http://zotero.org/users/944474/items/248QQIBQ"],"itemData":{"id":607,"type":"article-journal","title":"Bacillus subtilis MreB orthologs self-organize into filamentous structures underneath the cell membrane in a heterologous cell system","container-title":"PloS one","page":"e27035","volume":"6","issue":"11","abstract":"Actin-like bacterial cytoskeletal element MreB has been shown to be essential for the maintenance of rod cell shape in many bacteria. MreB forms rapidly remodelling helical filaments underneath the cell membrane in Bacillus subtilis and in other bacterial cells, and co-localizes with its two paralogs, Mbl and MreBH. We show that MreB localizes as dynamic bundles of filaments underneath the cell membrane in Drosophila S2 Schneider cells, which become highly stable when the ATPase motif in MreB is modified. In agreement with ATP-dependent filament formation, the depletion of ATP in the cells lead to rapid dissociation of MreB filaments. Extended induction of MreB resulted in the formation of membrane protrusions, showing that like actin, MreB can exert force against the cell membrane. Mbl also formed membrane associated filaments, while MreBH formed filaments within the cytosol. When co-expressed, MreB, Mbl and MreBH built up mixed filaments underneath the cell membrane. Membrane protein RodZ localized to endosomes in S2 cells, but localized to the cell membrane when co-expressed with Mbl, showing that bacterial MreB/Mbl structures can recruit a protein to the cell membrane. Thus, MreB paralogs form a self-organizing and dynamic filamentous scaffold underneath the membrane that is able to recruit other proteins to the cell surface.","DOI":"10.1371/journal.pone.0027035","note":"PMID: 22069484","journalAbbreviation":"PLoS ONE","author":[{"family":"Dempwolff","given":"Felix"},{"family":"Reimold","given":"Christian"},{"family":"Reth","given":"Michael"},{"family":"Graumann","given":"Peter L"}],"issued":{"year":2011},"accessed":{"year":2012,"month":6,"day":23},"page-first":"e27035"}}],"schema":"https://github.com/citation-style-language/schema/raw/master/csl-citation.json"} </w:instrText>
      </w:r>
      <w:r w:rsidRPr="00C521B3">
        <w:rPr>
          <w:rFonts w:ascii="Times New Roman" w:hAnsi="Times New Roman" w:cs="Times New Roman"/>
          <w:i/>
          <w:color w:val="000000" w:themeColor="text1"/>
          <w:sz w:val="24"/>
          <w:szCs w:val="24"/>
        </w:rPr>
        <w:fldChar w:fldCharType="separate"/>
      </w:r>
      <w:r w:rsidRPr="00C521B3">
        <w:rPr>
          <w:rFonts w:ascii="Times New Roman" w:hAnsi="Times New Roman" w:cs="Times New Roman"/>
          <w:color w:val="000000" w:themeColor="text1"/>
          <w:sz w:val="24"/>
        </w:rPr>
        <w:t xml:space="preserve">(Wang </w:t>
      </w:r>
      <w:r w:rsidRPr="002F5D6E">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xml:space="preserve">., 2010b; Dempwolff </w:t>
      </w:r>
      <w:r w:rsidRPr="002F5D6E">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2011)</w:t>
      </w:r>
      <w:r w:rsidRPr="00C521B3">
        <w:rPr>
          <w:rFonts w:ascii="Times New Roman" w:hAnsi="Times New Roman" w:cs="Times New Roman"/>
          <w:i/>
          <w:color w:val="000000" w:themeColor="text1"/>
          <w:sz w:val="24"/>
          <w:szCs w:val="24"/>
        </w:rPr>
        <w:fldChar w:fldCharType="end"/>
      </w:r>
      <w:r w:rsidRPr="00C521B3">
        <w:rPr>
          <w:rFonts w:ascii="Times New Roman" w:hAnsi="Times New Roman" w:cs="Times New Roman"/>
          <w:color w:val="000000" w:themeColor="text1"/>
          <w:sz w:val="24"/>
          <w:szCs w:val="24"/>
        </w:rPr>
        <w:t xml:space="preserve">. Whether forces generated by MreB polymerisation play a structural role in maintenance of the rod-shape remains unknown. Furthermore, some rod-shaped bacteria have an MreB-indepent mechanism of cylinder elongation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{"citationID":"2irdck9909","properties":{"formattedCitation":"(Daniel and Errington, 2003)","plainCitation":"(Daniel and Errington, 2003)"},"citationItems":[{"id":235,"uris":["http://zotero.org/users/944474/items/K6264288"],"uri":["http://zotero.org/users/944474/items/K6264288"],"itemData":{"id":235,"type":"article-journal","title":"Control of cell morphogenesis in bacteria: two distinct ways to make a rod-shaped cell","container-title":"Cell","page":"767-776","volume":"113","issue":"6","abstract":"Cell shape in most eubacteria is maintained by a tough external peptidoglycan cell wall. Recently, cell shape determining proteins of the MreB family were shown to form helical, actin-like cables in the cell. We used a fluorescent derivative of the antibiotic vancomycin as a probe for nascent peptidoglycan synthesis in unfixed cells of various Gram-positive bacteria. In the rod-shaped bacterium B. subtilis, synthesis of the cylindrical part of the cell wall occurs in a helical pattern governed by an MreB homolog, Mbl. However, a few rod-shaped bacteria have no MreB system. Here, a rod-like shape can be achieved by a completely different mechanism based on use of polar growth zones derived from the division machinery. These results provide insights into the diverse molecular strategies used by bacteria to control their cellular morphology, as well as suggesting ways in which these strategies may impact on growth rates and cell envelope structure.","note":"PMID: 12809607","shortTitle":"Control of cell morphogenesis in bacteria","journalAbbreviation":"Cell","author":[{"family":"Daniel","given":"Richard A"},{"family":"Errington","given":"Jeff"}],"issued":{"year":2003,"month":6,"day":13},"accessed":{"year":2012,"month":5,"day":21},"page-first":"767"}}],"schema":"https://github.com/citation-style-language/schema/raw/master/csl-citation.json"}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(Daniel and Errington, 2003)</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w:t>
      </w:r>
    </w:p>
    <w:p w:rsidR="00BC7652" w:rsidRDefault="00BC7652" w:rsidP="00BC7652">
      <w:pPr>
        <w:spacing w:line="48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4054355" cy="4398107"/>
            <wp:effectExtent l="0" t="0" r="3295" b="0"/>
            <wp:docPr id="25" name="Picture 1" descr="Koch architecture model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ch architecture models.emf"/>
                    <pic:cNvPicPr/>
                  </pic:nvPicPr>
                  <pic:blipFill>
                    <a:blip r:embed="rId24" cstate="print"/>
                    <a:stretch>
                      <a:fillRect/>
                    </a:stretch>
                  </pic:blipFill>
                  <pic:spPr>
                    <a:xfrm>
                      <a:off x="0" y="0"/>
                      <a:ext cx="4054355" cy="4398107"/>
                    </a:xfrm>
                    <a:prstGeom prst="rect">
                      <a:avLst/>
                    </a:prstGeom>
                  </pic:spPr>
                </pic:pic>
              </a:graphicData>
            </a:graphic>
          </wp:inline>
        </w:drawing>
      </w:r>
    </w:p>
    <w:p w:rsidR="00BC7652" w:rsidRDefault="00BC7652" w:rsidP="00BC7652">
      <w:pPr>
        <w:spacing w:line="360" w:lineRule="auto"/>
        <w:jc w:val="both"/>
        <w:rPr>
          <w:rFonts w:ascii="Times New Roman" w:hAnsi="Times New Roman" w:cs="Times New Roman"/>
          <w:color w:val="000000"/>
          <w:sz w:val="28"/>
          <w:szCs w:val="28"/>
        </w:rPr>
      </w:pPr>
      <w:proofErr w:type="gramStart"/>
      <w:r w:rsidRPr="001B7922">
        <w:rPr>
          <w:rFonts w:ascii="Times New Roman" w:hAnsi="Times New Roman" w:cs="Times New Roman"/>
          <w:b/>
          <w:sz w:val="24"/>
          <w:szCs w:val="24"/>
        </w:rPr>
        <w:t>Figure 1.</w:t>
      </w:r>
      <w:r>
        <w:rPr>
          <w:rFonts w:ascii="Times New Roman" w:hAnsi="Times New Roman" w:cs="Times New Roman"/>
          <w:b/>
          <w:sz w:val="24"/>
          <w:szCs w:val="24"/>
        </w:rPr>
        <w:t>12</w:t>
      </w:r>
      <w:r w:rsidRPr="001B7922">
        <w:rPr>
          <w:rFonts w:ascii="Times New Roman" w:hAnsi="Times New Roman" w:cs="Times New Roman"/>
          <w:b/>
          <w:sz w:val="24"/>
          <w:szCs w:val="24"/>
        </w:rPr>
        <w:t>.</w:t>
      </w:r>
      <w:proofErr w:type="gramEnd"/>
      <w:r w:rsidRPr="001B7922">
        <w:rPr>
          <w:rFonts w:ascii="Times New Roman" w:hAnsi="Times New Roman" w:cs="Times New Roman"/>
          <w:b/>
          <w:sz w:val="24"/>
          <w:szCs w:val="24"/>
        </w:rPr>
        <w:t xml:space="preserve"> Three models </w:t>
      </w:r>
      <w:r>
        <w:rPr>
          <w:rFonts w:ascii="Times New Roman" w:hAnsi="Times New Roman" w:cs="Times New Roman"/>
          <w:b/>
          <w:sz w:val="24"/>
          <w:szCs w:val="24"/>
        </w:rPr>
        <w:t>for maintenance of</w:t>
      </w:r>
      <w:r w:rsidRPr="001B7922">
        <w:rPr>
          <w:rFonts w:ascii="Times New Roman" w:hAnsi="Times New Roman" w:cs="Times New Roman"/>
          <w:b/>
          <w:sz w:val="24"/>
          <w:szCs w:val="24"/>
        </w:rPr>
        <w:t xml:space="preserve"> rod shape</w:t>
      </w:r>
      <w:r>
        <w:rPr>
          <w:rFonts w:ascii="Times New Roman" w:hAnsi="Times New Roman" w:cs="Times New Roman"/>
          <w:b/>
          <w:sz w:val="24"/>
          <w:szCs w:val="24"/>
        </w:rPr>
        <w:t>.</w:t>
      </w:r>
      <w:r>
        <w:rPr>
          <w:rFonts w:ascii="Times New Roman" w:hAnsi="Times New Roman" w:cs="Times New Roman"/>
          <w:sz w:val="24"/>
          <w:szCs w:val="24"/>
        </w:rPr>
        <w:t xml:space="preserve"> </w:t>
      </w:r>
      <w:proofErr w:type="gramStart"/>
      <w:r>
        <w:rPr>
          <w:rFonts w:ascii="Times New Roman" w:hAnsi="Times New Roman" w:cs="Times New Roman"/>
          <w:sz w:val="24"/>
          <w:szCs w:val="24"/>
        </w:rPr>
        <w:t>A, The belt model.</w:t>
      </w:r>
      <w:proofErr w:type="gramEnd"/>
      <w:r>
        <w:rPr>
          <w:rFonts w:ascii="Times New Roman" w:hAnsi="Times New Roman" w:cs="Times New Roman"/>
          <w:sz w:val="24"/>
          <w:szCs w:val="24"/>
        </w:rPr>
        <w:t xml:space="preserve"> Inflexible belts of peptidoglycan (black bands) constrain the cylinder circumference. B, </w:t>
      </w:r>
      <w:proofErr w:type="gramStart"/>
      <w:r>
        <w:rPr>
          <w:rFonts w:ascii="Times New Roman" w:hAnsi="Times New Roman" w:cs="Times New Roman"/>
          <w:sz w:val="24"/>
          <w:szCs w:val="24"/>
        </w:rPr>
        <w:t>The</w:t>
      </w:r>
      <w:proofErr w:type="gramEnd"/>
      <w:r>
        <w:rPr>
          <w:rFonts w:ascii="Times New Roman" w:hAnsi="Times New Roman" w:cs="Times New Roman"/>
          <w:sz w:val="24"/>
          <w:szCs w:val="24"/>
        </w:rPr>
        <w:t xml:space="preserve"> Surface stress model. Inert cells poles act as a framework for cylinder shape. A strict orientation is not required for the incorporation of nascent material in the cylinder wall. </w:t>
      </w:r>
      <w:proofErr w:type="gramStart"/>
      <w:r>
        <w:rPr>
          <w:rFonts w:ascii="Times New Roman" w:hAnsi="Times New Roman" w:cs="Times New Roman"/>
          <w:sz w:val="24"/>
          <w:szCs w:val="24"/>
        </w:rPr>
        <w:t>C, The mechanical contraction model.</w:t>
      </w:r>
      <w:proofErr w:type="gramEnd"/>
      <w:r>
        <w:rPr>
          <w:rFonts w:ascii="Times New Roman" w:hAnsi="Times New Roman" w:cs="Times New Roman"/>
          <w:sz w:val="24"/>
          <w:szCs w:val="24"/>
        </w:rPr>
        <w:t xml:space="preserve"> Cytoskeletal elements either push the poles apart, </w:t>
      </w:r>
      <w:r w:rsidRPr="00C521B3">
        <w:rPr>
          <w:rFonts w:ascii="Times New Roman" w:hAnsi="Times New Roman" w:cs="Times New Roman"/>
          <w:color w:val="000000" w:themeColor="text1"/>
          <w:sz w:val="24"/>
          <w:szCs w:val="24"/>
        </w:rPr>
        <w:t xml:space="preserve">or apply a circumferentially constricting force to generate the cylinder shape. Adapted from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{"citationID":"1vd9akovt2","properties":{"formattedCitation":"(Koch, 1998)","plainCitation":"(Koch, 1998)"},"citationItems":[{"id":82,"uris":["http://zotero.org/users/944474/items/RSPA52DZ"],"uri":["http://zotero.org/users/944474/items/RSPA52DZ"],"itemData":{"id":82,"type":"article-journal","title":"Orientation of the peptidoglycan chains in the sacculus of Escherichia coli","container-title":"Research in Microbiology","page":"689-701","volume":"149","issue":"10","abstract":"The organization of chains of oligopeptidoglycan in the saccular wall is of critical importance in the study of the mechanism and physiology of prokaryotic wall growth. The electron microphotographs of De Pedro et al. present new findings and can be used to negate or at least raise questions about the previously accepted conclusion that the glycan chains are oriented transversely to the axis of rod-shaped Escherichia coli. This suggests caution in assuming that the glycan chains in the murein structure are parallel to each other and are perpendicular to the axis of the cell. These results should reopen the question of not only the orientation of the peptidoglycan chains, but the possibility of variability in orientation. Three classes of hypotheses about wall growth are reconsidered and problems with them are presented. The new results from De Pedro's laboratory and the experimental glycan chain length distribution argue against proposed systematic models. These include models that postulate belts or hoops stretched around the circumference of the cell and mechanisms that insert new chains of the length of presumptive \"docking\" strands in the stress-bearing wall. They are consistent, however, with the surface stress theory that proposes that random enzyme action together with physical forces are involved in the elongation of the rod-shaped Gram-negative wall.","note":"PMID: 9921576","journalAbbreviation":"Res. Microbiol.","author":[{"family":"Koch","given":"A L"}],"issued":{"year":1998,"month":12},"accessed":{"year":2012,"month":4,"day":2},"page-first":"689"}}],"schema":"https://github.com/citation-style-language/schema/raw/master/csl-citation.json"}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(Koch, 1998)</w:t>
      </w:r>
      <w:r w:rsidRPr="00C521B3">
        <w:rPr>
          <w:rFonts w:ascii="Times New Roman" w:hAnsi="Times New Roman" w:cs="Times New Roman"/>
          <w:color w:val="000000" w:themeColor="text1"/>
          <w:sz w:val="24"/>
          <w:szCs w:val="24"/>
        </w:rPr>
        <w:fldChar w:fldCharType="end"/>
      </w:r>
      <w:r>
        <w:rPr>
          <w:rFonts w:ascii="Times New Roman" w:hAnsi="Times New Roman" w:cs="Times New Roman"/>
          <w:sz w:val="24"/>
          <w:szCs w:val="24"/>
        </w:rPr>
        <w:t>.</w:t>
      </w:r>
      <w:r>
        <w:rPr>
          <w:rFonts w:ascii="Times New Roman" w:hAnsi="Times New Roman" w:cs="Times New Roman"/>
          <w:color w:val="000000"/>
          <w:sz w:val="28"/>
          <w:szCs w:val="28"/>
        </w:rPr>
        <w:br w:type="page"/>
      </w:r>
    </w:p>
    <w:p w:rsidR="00BC7652" w:rsidRDefault="00BC7652" w:rsidP="00BC7652">
      <w:pPr>
        <w:tabs>
          <w:tab w:val="left" w:pos="993"/>
          <w:tab w:val="left" w:pos="1276"/>
        </w:tabs>
        <w:spacing w:line="480" w:lineRule="auto"/>
        <w:ind w:left="993" w:hanging="993"/>
        <w:jc w:val="both"/>
        <w:rPr>
          <w:rFonts w:ascii="Times New Roman" w:hAnsi="Times New Roman" w:cs="Times New Roman"/>
          <w:color w:val="000000"/>
          <w:sz w:val="28"/>
          <w:szCs w:val="28"/>
        </w:rPr>
      </w:pPr>
      <w:r>
        <w:rPr>
          <w:rFonts w:ascii="Times New Roman" w:hAnsi="Times New Roman" w:cs="Times New Roman"/>
          <w:sz w:val="28"/>
          <w:szCs w:val="28"/>
        </w:rPr>
        <w:lastRenderedPageBreak/>
        <w:t>1.8.4</w:t>
      </w:r>
      <w:r>
        <w:rPr>
          <w:rFonts w:ascii="Times New Roman" w:hAnsi="Times New Roman" w:cs="Times New Roman"/>
          <w:sz w:val="28"/>
          <w:szCs w:val="28"/>
        </w:rPr>
        <w:tab/>
        <w:t xml:space="preserve">New models of </w:t>
      </w:r>
      <w:r>
        <w:rPr>
          <w:rFonts w:ascii="Times New Roman" w:hAnsi="Times New Roman" w:cs="Times New Roman"/>
          <w:color w:val="000000"/>
          <w:sz w:val="28"/>
          <w:szCs w:val="28"/>
        </w:rPr>
        <w:t>peptidoglycan architecture</w:t>
      </w:r>
      <w:r>
        <w:rPr>
          <w:rFonts w:ascii="Times New Roman" w:hAnsi="Times New Roman" w:cs="Times New Roman"/>
          <w:sz w:val="28"/>
          <w:szCs w:val="28"/>
        </w:rPr>
        <w:t xml:space="preserve"> </w:t>
      </w:r>
      <w:r>
        <w:rPr>
          <w:rFonts w:ascii="Times New Roman" w:hAnsi="Times New Roman" w:cs="Times New Roman"/>
          <w:color w:val="000000"/>
          <w:sz w:val="28"/>
          <w:szCs w:val="28"/>
        </w:rPr>
        <w:t>in rod-shaped bacteria</w:t>
      </w:r>
    </w:p>
    <w:p w:rsidR="00BC7652" w:rsidRPr="003E11F6" w:rsidRDefault="00BC7652" w:rsidP="00BC7652">
      <w:pPr>
        <w:tabs>
          <w:tab w:val="left" w:pos="993"/>
          <w:tab w:val="left" w:pos="1276"/>
        </w:tabs>
        <w:spacing w:line="480" w:lineRule="auto"/>
        <w:ind w:left="993" w:hanging="993"/>
        <w:jc w:val="both"/>
        <w:rPr>
          <w:rFonts w:ascii="Times New Roman" w:hAnsi="Times New Roman" w:cs="Times New Roman"/>
          <w:sz w:val="28"/>
          <w:szCs w:val="28"/>
        </w:rPr>
      </w:pPr>
      <w:r>
        <w:rPr>
          <w:rFonts w:ascii="Times New Roman" w:hAnsi="Times New Roman" w:cs="Times New Roman"/>
          <w:sz w:val="28"/>
          <w:szCs w:val="28"/>
        </w:rPr>
        <w:t>1.8.4.1</w:t>
      </w:r>
      <w:r>
        <w:rPr>
          <w:rFonts w:ascii="Times New Roman" w:hAnsi="Times New Roman" w:cs="Times New Roman"/>
          <w:sz w:val="28"/>
          <w:szCs w:val="28"/>
        </w:rPr>
        <w:tab/>
        <w:t>Architecture of Gram-negative rods</w:t>
      </w:r>
    </w:p>
    <w:p w:rsidR="00BC7652" w:rsidRPr="00C521B3" w:rsidRDefault="00BC7652" w:rsidP="00BC7652">
      <w:pPr>
        <w:autoSpaceDE w:val="0"/>
        <w:autoSpaceDN w:val="0"/>
        <w:adjustRightInd w:val="0"/>
        <w:spacing w:after="120" w:line="48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Electron-cryotomography of purified </w:t>
      </w:r>
      <w:r>
        <w:rPr>
          <w:rFonts w:ascii="Times New Roman" w:hAnsi="Times New Roman" w:cs="Times New Roman"/>
          <w:i/>
          <w:sz w:val="24"/>
          <w:szCs w:val="24"/>
        </w:rPr>
        <w:t>E. coli</w:t>
      </w:r>
      <w:r>
        <w:rPr>
          <w:rFonts w:ascii="Times New Roman" w:hAnsi="Times New Roman" w:cs="Times New Roman"/>
          <w:sz w:val="24"/>
          <w:szCs w:val="24"/>
        </w:rPr>
        <w:t xml:space="preserve"> and </w:t>
      </w:r>
      <w:r>
        <w:rPr>
          <w:rFonts w:ascii="Times New Roman" w:hAnsi="Times New Roman" w:cs="Times New Roman"/>
          <w:i/>
          <w:sz w:val="24"/>
          <w:szCs w:val="24"/>
        </w:rPr>
        <w:t xml:space="preserve">C. crescentus </w:t>
      </w:r>
      <w:r>
        <w:rPr>
          <w:rFonts w:ascii="Times New Roman" w:hAnsi="Times New Roman" w:cs="Times New Roman"/>
          <w:sz w:val="24"/>
          <w:szCs w:val="24"/>
        </w:rPr>
        <w:t xml:space="preserve">sacculi revealed linear features in a single layer, </w:t>
      </w:r>
      <w:r w:rsidRPr="00C521B3">
        <w:rPr>
          <w:rFonts w:ascii="Times New Roman" w:hAnsi="Times New Roman" w:cs="Times New Roman"/>
          <w:color w:val="000000" w:themeColor="text1"/>
          <w:sz w:val="24"/>
          <w:szCs w:val="24"/>
        </w:rPr>
        <w:t xml:space="preserve">oriented parallel to the cell membrane and approximately perpendicular to the long axis of the cell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{"citationID":"15it6jpgdu","properties":{"formattedCitation":"(Gan et al., 2008)","plainCitation":"(Gan et al., 2008)"},"citationItems":[{"id":175,"uris":["http://zotero.org/users/944474/items/QMKJ7NXX"],"uri":["http://zotero.org/users/944474/items/QMKJ7NXX"],"itemData":{"id":175,"type":"article-journal","title":"Molecular organization of Gram-negative peptidoglycan","container-title":"Proceedings of the National Academy of Sciences of the United States of America","page":"18953-18957","volume":"105","issue":"48","abstract":"The stress-bearing component of the bacterial cell wall--a multi-gigadalton bag-like molecule called the sacculus--is synthesized from peptidoglycan. Whereas the chemical composition and the 3-dimensional structure of the peptidoglycan subunit (in at least one conformation) are known, the architecture of the assembled sacculus is not. Four decades' worth of biochemical and electron microscopy experiments have resulted in two leading 3-D peptidoglycan models: \"Layered\" and \"Scaffold\", in which the glycan strands are parallel and perpendicular to the cell surface, respectively. Here we resolved the basic architecture of purified, frozen-hydrated sacculi through electron cryotomography. In the Gram-negative sacculus, a single layer of glycans lie parallel to the cell surface, roughly perpendicular to the long axis of the cell, encircling the cell in a disorganized hoop-like fashion.","DOI":"10.1073/pnas.0808035105","note":"PMID: 19033194","journalAbbreviation":"Proc. Natl. Acad. Sci. U.S.A.","author":[{"family":"Gan","given":"Lu"},{"family":"Chen","given":"Songye"},{"family":"Jensen","given":"Grant J"}],"issued":{"year":2008,"month":12,"day":2},"accessed":{"year":2012,"month":5,"day":9},"page-first":"18953"}}],"schema":"https://github.com/citation-style-language/schema/raw/master/csl-citation.json"}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 xml:space="preserve">(Gan </w:t>
      </w:r>
      <w:r w:rsidRPr="002F5D6E">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2008)</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The linear features</w:t>
      </w:r>
      <w:r>
        <w:rPr>
          <w:rFonts w:ascii="Times New Roman" w:hAnsi="Times New Roman" w:cs="Times New Roman"/>
          <w:sz w:val="24"/>
          <w:szCs w:val="24"/>
        </w:rPr>
        <w:t xml:space="preserve"> were interpreted as glycan chains, due to their higher contrast and length, which exceeded that expected of cross-linked peptides. However, the poor signal-noise ratio precluded observation of complete glycan strands in the sacculus. A model was proposed in which the peptidoglycan is a disordered monolayer with glycan strands preferentially, but not strictly, oriented around the </w:t>
      </w:r>
      <w:r w:rsidRPr="00C521B3">
        <w:rPr>
          <w:rFonts w:ascii="Times New Roman" w:hAnsi="Times New Roman" w:cs="Times New Roman"/>
          <w:color w:val="000000" w:themeColor="text1"/>
          <w:sz w:val="24"/>
          <w:szCs w:val="24"/>
        </w:rPr>
        <w:t xml:space="preserve">circumference of the cell cylinder. It has been suggested that the sacculus may be more ordered when the  peptidoglycan is stretched under turgor pressure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{"citationID":"1rfb2e5nj","properties":{"formattedCitation":"(Vollmer and Seligman, 2010)","plainCitation":"(Vollmer and Seligman, 2010)"},"citationItems":[{"id":86,"uris":["http://zotero.org/users/944474/items/EJQB4RC2"],"uri":["http://zotero.org/users/944474/items/EJQB4RC2"],"itemData":{"id":86,"type":"article-journal","title":"Architecture of peptidoglycan: more data and more models","container-title":"Trends in Microbiology","page":"59-66","volume":"18","issue":"2","abstract":"Peptidoglycan forms a net-like sacculus made of glycan strands crosslinked by peptides. The length of the glycan strands and the degree of crosslinkage vary with bacterial species, strains and growth conditions. Several models for the three-dimensional architecture of peptidoglycan have been proposed, some of which have been tested experimentally. The new data support a layered model in Gram-negative bacteria, and a more elaborate peptidoglycan architecture, with bands made of coiled bundles of glycan strands, in the rod-shaped Bacillus subtilis. However, many questions remain unanswered and, therefore, more data and more models are required to decipher the complex cell wall architecture in bacteria.","DOI":"10.1016/j.tim.2009.12.004","note":"PMID: 20060721","shortTitle":"Architecture of peptidoglycan","journalAbbreviation":"Trends Microbiol.","author":[{"family":"Vollmer","given":"Waldemar"},{"family":"Seligman","given":"Stephen J"}],"issued":{"year":2010,"month":2},"accessed":{"year":2012,"month":4,"day":2},"page-first":"59"}}],"schema":"https://github.com/citation-style-language/schema/raw/master/csl-citation.json"}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(Vollmer and Seligman, 2010)</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w:t>
      </w:r>
    </w:p>
    <w:p w:rsidR="00BC7652" w:rsidRPr="00C521B3" w:rsidRDefault="00BC7652" w:rsidP="00BC7652">
      <w:pPr>
        <w:tabs>
          <w:tab w:val="left" w:pos="3686"/>
        </w:tabs>
        <w:spacing w:line="480" w:lineRule="auto"/>
        <w:jc w:val="both"/>
        <w:rPr>
          <w:rFonts w:ascii="Times New Roman" w:hAnsi="Times New Roman" w:cs="Times New Roman"/>
          <w:color w:val="000000" w:themeColor="text1"/>
          <w:sz w:val="24"/>
          <w:szCs w:val="24"/>
        </w:rPr>
      </w:pPr>
      <w:r w:rsidRPr="00C521B3">
        <w:rPr>
          <w:rFonts w:ascii="Times New Roman" w:hAnsi="Times New Roman" w:cs="Times New Roman"/>
          <w:color w:val="000000" w:themeColor="text1"/>
          <w:sz w:val="24"/>
          <w:szCs w:val="24"/>
        </w:rPr>
        <w:t>A number of studies conflict with models of a</w:t>
      </w:r>
      <w:r>
        <w:rPr>
          <w:rFonts w:ascii="Times New Roman" w:hAnsi="Times New Roman" w:cs="Times New Roman"/>
          <w:sz w:val="24"/>
          <w:szCs w:val="24"/>
        </w:rPr>
        <w:t xml:space="preserve"> strictly monolayered sacculus in </w:t>
      </w:r>
      <w:r>
        <w:rPr>
          <w:rFonts w:ascii="Times New Roman" w:hAnsi="Times New Roman" w:cs="Times New Roman"/>
          <w:i/>
          <w:sz w:val="24"/>
          <w:szCs w:val="24"/>
        </w:rPr>
        <w:t>E. coli</w:t>
      </w:r>
      <w:r>
        <w:rPr>
          <w:rFonts w:ascii="Times New Roman" w:hAnsi="Times New Roman" w:cs="Times New Roman"/>
          <w:sz w:val="24"/>
          <w:szCs w:val="24"/>
        </w:rPr>
        <w:t xml:space="preserve">. Firstly, </w:t>
      </w:r>
      <w:r>
        <w:rPr>
          <w:rFonts w:ascii="Times New Roman" w:hAnsi="Times New Roman" w:cs="Times New Roman"/>
          <w:i/>
          <w:sz w:val="24"/>
          <w:szCs w:val="24"/>
        </w:rPr>
        <w:t xml:space="preserve">E. coli </w:t>
      </w:r>
      <w:r>
        <w:rPr>
          <w:rFonts w:ascii="Times New Roman" w:hAnsi="Times New Roman" w:cs="Times New Roman"/>
          <w:sz w:val="24"/>
          <w:szCs w:val="24"/>
        </w:rPr>
        <w:t xml:space="preserve">does not represent the thinnest possible peptidoglycan layer as purified </w:t>
      </w:r>
      <w:r w:rsidRPr="00C521B3">
        <w:rPr>
          <w:rFonts w:ascii="Times New Roman" w:hAnsi="Times New Roman" w:cs="Times New Roman"/>
          <w:i/>
          <w:color w:val="000000" w:themeColor="text1"/>
          <w:sz w:val="24"/>
          <w:szCs w:val="24"/>
        </w:rPr>
        <w:t xml:space="preserve">Pseudomonas aeruginosa </w:t>
      </w:r>
      <w:r w:rsidRPr="00C521B3">
        <w:rPr>
          <w:rFonts w:ascii="Times New Roman" w:hAnsi="Times New Roman" w:cs="Times New Roman"/>
          <w:color w:val="000000" w:themeColor="text1"/>
          <w:sz w:val="24"/>
          <w:szCs w:val="24"/>
        </w:rPr>
        <w:t xml:space="preserve">sacculi are thinner than that of </w:t>
      </w:r>
      <w:r w:rsidRPr="00C521B3">
        <w:rPr>
          <w:rFonts w:ascii="Times New Roman" w:hAnsi="Times New Roman" w:cs="Times New Roman"/>
          <w:i/>
          <w:color w:val="000000" w:themeColor="text1"/>
          <w:sz w:val="24"/>
          <w:szCs w:val="24"/>
        </w:rPr>
        <w:t>E. coli</w:t>
      </w:r>
      <w:r w:rsidRPr="00C521B3">
        <w:rPr>
          <w:rFonts w:ascii="Times New Roman" w:hAnsi="Times New Roman" w:cs="Times New Roman"/>
          <w:color w:val="000000" w:themeColor="text1"/>
          <w:sz w:val="24"/>
          <w:szCs w:val="24"/>
        </w:rPr>
        <w:t xml:space="preserve">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{"citationID":"2qjjnspc3i","properties":{"formattedCitation":"(Matias et al., 2003)","plainCitation":"(Matias et al., 2003)"},"citationItems":[{"id":351,"uris":["http://zotero.org/users/944474/items/QMFGSIR4"],"uri":["http://zotero.org/users/944474/items/QMFGSIR4"],"itemData":{"id":351,"type":"article-journal","title":"Cryo-Transmission Electron Microscopy of Frozen-Hydrated Sections of Escherichia Coli and Pseudomonas Aeruginosa","container-title":"Journal of Bacteriology","page":"6112-6118","volume":"185","issue":"20","DOI":"10.1128/JB.185.20.6112-6118.2003","journalAbbreviation":"J. Bacteriol.","language":"en","author":[{"family":"Matias","given":"Valério R. F."},{"family":"Al-Amoudi","given":"Ashraf"},{"family":"Dubochet","given":"Jacques"},{"family":"Beveridge","given":"Terry J."}],"issued":{"year":2003,"month":10,"day":15},"accessed":{"year":2012,"month":6,"day":5},"page-first":"6112"}}],"schema":"https://github.com/citation-style-language/schema/raw/master/csl-citation.json"}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 xml:space="preserve">(Matias </w:t>
      </w:r>
      <w:r w:rsidRPr="002F5D6E">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2003)</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xml:space="preserve">. </w:t>
      </w:r>
      <w:r w:rsidRPr="00C521B3">
        <w:rPr>
          <w:rFonts w:ascii="Times New Roman" w:hAnsi="Times New Roman" w:cs="Times New Roman"/>
          <w:i/>
          <w:color w:val="000000" w:themeColor="text1"/>
          <w:sz w:val="24"/>
          <w:szCs w:val="24"/>
        </w:rPr>
        <w:t xml:space="preserve">E. coli </w:t>
      </w:r>
      <w:r w:rsidRPr="00C521B3">
        <w:rPr>
          <w:rFonts w:ascii="Times New Roman" w:hAnsi="Times New Roman" w:cs="Times New Roman"/>
          <w:color w:val="000000" w:themeColor="text1"/>
          <w:sz w:val="24"/>
          <w:szCs w:val="24"/>
        </w:rPr>
        <w:t xml:space="preserve">peptidoglycan contains a low number of muropeptide trimers and tetramers suggesting cross-linking in more than one plane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{"citationID":"qbm91icg6","properties":{"formattedCitation":"(Glauner et al., 1988)","plainCitation":"(Glauner et al., 1988)"},"citationItems":[{"id":358,"uris":["http://zotero.org/users/944474/items/JM2NDK7X"],"uri":["http://zotero.org/users/944474/items/JM2NDK7X"],"itemData":{"id":358,"type":"article-journal","title":"The composition of the murein of Escherichia coli","container-title":"The Journal of biological chemistry","page":"10088-10095","volume":"263","issue":"21","abstract":"Escherichia coli murein, the polymer from which the shape-maintaining structure of the cell envelope is made, shows unexpected complexity. The separation of murein building blocks with high performance liquid chromatography reveals about 80 different types of muropeptides. Their behavior in high performance liquid chromatography and their chemical structure are described. The complexity of E. coli murein is due to the free combination of seven different types of side chains (L-Ala-D-Glu-R with R = -OH, -m-A2pm, -m-A2pm-D-Ala, -m-A2 pm-Gly, -m-A2pm-D-Ala-D-Ala, -m-A2pm-D-Ala-Gly, -m-A2pm-Lys-Arg) with two types of cross-bridges (D-Ala-m-A2pm, -m-A2pm-m-A2pm). The novel type of cross-bridge, A2pm-A2pm, contains an L,D-peptide bond, as shown by Edman degradation and chemical analysis of the reaction products. The A2pm-A2pm cross-bridge is assumed to play a role in the adaptation of the cross-linkage of murein to different growth conditions of the cell. The structural data of E. coli murein agree best with a model of a thin, however multilayered, murein sacculus.","note":"PMID: 3292521","journalAbbreviation":"J. Biol. Chem.","author":[{"family":"Glauner","given":"B"},{"family":"Höltje","given":"J V"},{"family":"Schwarz","given":"U"}],"issued":{"year":1988,"month":7,"day":25},"accessed":{"year":2012,"month":6,"day":5},"page-first":"10088"}}],"schema":"https://github.com/citation-style-language/schema/raw/master/csl-citation.json"}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 xml:space="preserve">(Glauner </w:t>
      </w:r>
      <w:r w:rsidRPr="002F5D6E">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1988)</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xml:space="preserve">. Neutron small-angle scattering studies suggested that ~25% of </w:t>
      </w:r>
      <w:r w:rsidRPr="00C521B3">
        <w:rPr>
          <w:rFonts w:ascii="Times New Roman" w:hAnsi="Times New Roman" w:cs="Times New Roman"/>
          <w:i/>
          <w:color w:val="000000" w:themeColor="text1"/>
          <w:sz w:val="24"/>
          <w:szCs w:val="24"/>
        </w:rPr>
        <w:t xml:space="preserve">E. coli </w:t>
      </w:r>
      <w:r w:rsidRPr="00C521B3">
        <w:rPr>
          <w:rFonts w:ascii="Times New Roman" w:hAnsi="Times New Roman" w:cs="Times New Roman"/>
          <w:color w:val="000000" w:themeColor="text1"/>
          <w:sz w:val="24"/>
          <w:szCs w:val="24"/>
        </w:rPr>
        <w:t xml:space="preserve">peptidoglycan may occur as a triple layer (Labischinski </w:t>
      </w:r>
      <w:r w:rsidRPr="002F5D6E">
        <w:rPr>
          <w:rFonts w:ascii="Times New Roman" w:hAnsi="Times New Roman" w:cs="Times New Roman"/>
          <w:i/>
          <w:color w:val="000000" w:themeColor="text1"/>
          <w:sz w:val="24"/>
          <w:szCs w:val="24"/>
        </w:rPr>
        <w:t>et al</w:t>
      </w:r>
      <w:r w:rsidRPr="00C521B3">
        <w:rPr>
          <w:rFonts w:ascii="Times New Roman" w:hAnsi="Times New Roman" w:cs="Times New Roman"/>
          <w:color w:val="000000" w:themeColor="text1"/>
          <w:sz w:val="24"/>
          <w:szCs w:val="24"/>
        </w:rPr>
        <w:t xml:space="preserve">., 1991). However, layering or folding of sacculi during neutron scattering studies could result in artificially high thickness estimates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{"citationID":"1u3p3vg7fr","properties":{"formattedCitation":"(Swulius et al., 2011)","plainCitation":"(Swulius et al., 2011)"},"citationItems":[{"id":321,"uris":["http://zotero.org/users/944474/items/TNJRZU3P"],"uri":["http://zotero.org/users/944474/items/TNJRZU3P"],"itemData":{"id":321,"type":"article-journal","title":"Long helical filaments are not seen encircling cells in electron cryotomograms of rod-shaped bacteria","container-title":"Biochemical and biophysical research communications","page":"650-655","volume":"407","issue":"4","abstract":"How rod-shaped bacteria form and maintain their shape is an important question in bacterial cell biology. Results from fluorescent light microscopy have led many to believe that the actin homolog MreB and a number of other proteins form long helical filaments along the inner membrane of the cell. Here we show using electron cryotomography of six different rod-shaped bacterial species, at macromolecular resolution, that no long (&gt; 80 nm) helical filaments exist near or along either surface of the inner membrane. We also use correlated cryo-fluorescent light microscopy (cryo-fLM) and electron cryo-tomography (ECT) to identify cytoplasmic bundles of MreB, showing that MreB filaments are detectable by ECT. In light of these results, the structure and function of MreB must be reconsidered: instead of acting as a large, rigid scaffold that localizes cell-wall synthetic machinery, moving MreB complexes may apply tension to growing peptidoglycan strands to ensure their orderly, linear insertion.","DOI":"10.1016/j.bbrc.2011.03.062","note":"PMID: 21419100","journalAbbreviation":"Biochem. Biophys. Res. Commun.","author":[{"family":"Swulius","given":"Matthew T"},{"family":"Chen","given":"Songye"},{"family":"Jane Ding","given":"H"},{"family":"Li","given":"Zhuo"},{"family":"Briegel","given":"Ariane"},{"family":"Pilhofer","given":"Martin"},{"family":"Tocheva","given":"Elitza I"},{"family":"Lybarger","given":"Suzanne R"},{"family":"Johnson","given":"Tanya L"},{"family":"Sandkvist","given":"Maria"},{"family":"Jensen","given":"Grant J"}],"issued":{"year":2011,"month":4,"day":22},"accessed":{"year":2012,"month":5,"day":31},"page-first":"650"}}],"schema":"https://github.com/citation-style-language/schema/raw/master/csl-citation.json"}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 xml:space="preserve">(Swulius </w:t>
      </w:r>
      <w:r w:rsidRPr="002F5D6E">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2011)</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w:t>
      </w:r>
    </w:p>
    <w:p w:rsidR="00BC7652" w:rsidRPr="00C521B3" w:rsidRDefault="00BC7652" w:rsidP="00BC7652">
      <w:pPr>
        <w:rPr>
          <w:rFonts w:ascii="Times New Roman" w:hAnsi="Times New Roman" w:cs="Times New Roman"/>
          <w:color w:val="000000" w:themeColor="text1"/>
          <w:sz w:val="24"/>
          <w:szCs w:val="24"/>
        </w:rPr>
      </w:pPr>
      <w:r w:rsidRPr="00C521B3">
        <w:rPr>
          <w:rFonts w:ascii="Times New Roman" w:hAnsi="Times New Roman" w:cs="Times New Roman"/>
          <w:color w:val="000000" w:themeColor="text1"/>
          <w:sz w:val="24"/>
          <w:szCs w:val="24"/>
        </w:rPr>
        <w:br w:type="page"/>
      </w:r>
    </w:p>
    <w:p w:rsidR="00BC7652" w:rsidRPr="00C521B3" w:rsidRDefault="00BC7652" w:rsidP="00BC7652">
      <w:pPr>
        <w:tabs>
          <w:tab w:val="left" w:pos="993"/>
          <w:tab w:val="left" w:pos="1276"/>
        </w:tabs>
        <w:spacing w:line="480" w:lineRule="auto"/>
        <w:ind w:left="993" w:hanging="993"/>
        <w:jc w:val="both"/>
        <w:rPr>
          <w:rFonts w:ascii="Times New Roman" w:hAnsi="Times New Roman" w:cs="Times New Roman"/>
          <w:color w:val="000000" w:themeColor="text1"/>
          <w:sz w:val="28"/>
          <w:szCs w:val="28"/>
        </w:rPr>
      </w:pPr>
      <w:r w:rsidRPr="00C521B3">
        <w:rPr>
          <w:rFonts w:ascii="Times New Roman" w:hAnsi="Times New Roman" w:cs="Times New Roman"/>
          <w:color w:val="000000" w:themeColor="text1"/>
          <w:sz w:val="28"/>
          <w:szCs w:val="28"/>
        </w:rPr>
        <w:lastRenderedPageBreak/>
        <w:t>1.8.4.2</w:t>
      </w:r>
      <w:r w:rsidRPr="00C521B3">
        <w:rPr>
          <w:rFonts w:ascii="Times New Roman" w:hAnsi="Times New Roman" w:cs="Times New Roman"/>
          <w:color w:val="000000" w:themeColor="text1"/>
          <w:sz w:val="28"/>
          <w:szCs w:val="28"/>
        </w:rPr>
        <w:tab/>
        <w:t>Architecture of Gram-positive rods</w:t>
      </w:r>
    </w:p>
    <w:p w:rsidR="00BC7652" w:rsidRPr="00C521B3" w:rsidRDefault="00BC7652" w:rsidP="00BC7652">
      <w:pPr>
        <w:autoSpaceDE w:val="0"/>
        <w:autoSpaceDN w:val="0"/>
        <w:adjustRightInd w:val="0"/>
        <w:spacing w:before="240" w:after="120" w:line="480" w:lineRule="auto"/>
        <w:jc w:val="both"/>
        <w:rPr>
          <w:rFonts w:ascii="Times New Roman" w:hAnsi="Times New Roman" w:cs="Times New Roman"/>
          <w:color w:val="000000" w:themeColor="text1"/>
          <w:sz w:val="24"/>
          <w:szCs w:val="24"/>
        </w:rPr>
      </w:pPr>
      <w:r w:rsidRPr="00C521B3">
        <w:rPr>
          <w:rFonts w:ascii="Times New Roman" w:hAnsi="Times New Roman" w:cs="Times New Roman"/>
          <w:color w:val="000000" w:themeColor="text1"/>
          <w:sz w:val="24"/>
          <w:szCs w:val="24"/>
        </w:rPr>
        <w:t xml:space="preserve">When living, hydrated </w:t>
      </w:r>
      <w:r w:rsidRPr="00C521B3">
        <w:rPr>
          <w:rFonts w:ascii="Times New Roman" w:hAnsi="Times New Roman" w:cs="Times New Roman"/>
          <w:i/>
          <w:color w:val="000000" w:themeColor="text1"/>
          <w:sz w:val="24"/>
          <w:szCs w:val="24"/>
        </w:rPr>
        <w:t>Lactobacillus helveticus</w:t>
      </w:r>
      <w:r w:rsidRPr="00C521B3">
        <w:rPr>
          <w:rFonts w:ascii="Times New Roman" w:hAnsi="Times New Roman" w:cs="Times New Roman"/>
          <w:color w:val="000000" w:themeColor="text1"/>
          <w:sz w:val="24"/>
          <w:szCs w:val="24"/>
        </w:rPr>
        <w:t xml:space="preserve"> cells, stripped of S-layer proteins, were imaged by AFM, patches of the outer surface were removed by the AFM tip, revealing apparent ~26 nm wide twisted fibres within the cell wall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{"citationID":"175gf5pknp","properties":{"formattedCitation":"(Firtel et al., 2004)","plainCitation":"(Firtel et al., 2004)"},"citationItems":[{"id":191,"uris":["http://zotero.org/users/944474/items/DJ87UIN2"],"uri":["http://zotero.org/users/944474/items/DJ87UIN2"],"itemData":{"id":191,"type":"article-journal","title":"Nanosurgery: observation of peptidoglycan strands in Lactobacillus helveticus cell walls","container-title":"Ultramicroscopy","page":"105-109","volume":"101","issue":"2-4","abstract":"The internal cell wall structure of the bacterium Lactobacillus helveticus has been observed in situ in aqueous solution using an atomic force microscope (AFM). The AFM tip was used not only for imaging but presumably to remove mechanically large patches of the outer cell wall after appropriate chemical treatment, which typically leaves the bacteria alive. The surface exposed after this \"surgery\" revealed approximately 26 nm thick twisted strands within the cell wall. The structure and location of the observed strands are consistent with the glycan backbone of peptidoglycan fibers that give strength to the cell wall. The structural organization of these fibers has not been observed previously.","DOI":"10.1016/j.ultramic.2004.05.009","note":"PMID: 15450655","shortTitle":"Nanosurgery","journalAbbreviation":"Ultramicroscopy","author":[{"family":"Firtel","given":"Max"},{"family":"Henderson","given":"Grant"},{"family":"Sokolov","given":"Igor"}],"issued":{"year":2004,"month":11},"accessed":{"year":2012,"month":5,"day":11},"page-first":"105"}}],"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 xml:space="preserve">(Firtel </w:t>
      </w:r>
      <w:r w:rsidRPr="002F5D6E">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2004)</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xml:space="preserve">. The authors attributed these fibres to the glycan backbone of the peptidoglycan. However, as the mechanism of AFM nanosurgery was somewhat ambiguous, and cell walls contained secondary wall polymers, the observed architecture cannot be definitively attributed to the architecture of the peptidoglycan. Striations perpendicular to the short axis of the cell were observed by electron microscopy on the surface of purified </w:t>
      </w:r>
      <w:r w:rsidRPr="00C521B3">
        <w:rPr>
          <w:rFonts w:ascii="Times New Roman" w:hAnsi="Times New Roman" w:cs="Times New Roman"/>
          <w:i/>
          <w:color w:val="000000" w:themeColor="text1"/>
          <w:sz w:val="24"/>
          <w:szCs w:val="24"/>
        </w:rPr>
        <w:t>B. subtilis</w:t>
      </w:r>
      <w:r w:rsidRPr="00C521B3">
        <w:rPr>
          <w:rFonts w:ascii="Times New Roman" w:hAnsi="Times New Roman" w:cs="Times New Roman"/>
          <w:color w:val="000000" w:themeColor="text1"/>
          <w:sz w:val="24"/>
          <w:szCs w:val="24"/>
        </w:rPr>
        <w:t xml:space="preserve"> sacculi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{"citationID":"24d7rk3vi3","properties":{"formattedCitation":"(Verwer and Nanninga, 1976)","plainCitation":"(Verwer and Nanninga, 1976)"},"citationItems":[{"id":237,"uris":["http://zotero.org/users/944474/items/65VQTHXF"],"uri":["http://zotero.org/users/944474/items/65VQTHXF"],"itemData":{"id":237,"type":"article-journal","title":"Electron microscopy of isolated cell walls of Bacillus subtilis var. niger","container-title":"Archives of microbiology","page":"195-197","volume":"109","issue":"1-2","abstract":"Isolated cell walls of Bacillus subtilis have astriated appearance in the electron microscope. The structure persists when teichoic acids are removed. It is inferred that the structure bears on the arrangement of the peptidoglycan chains.","note":"PMID: 822796","journalAbbreviation":"Arch. Microbiol.","author":[{"family":"Verwer","given":"R W"},{"family":"Nanninga","given":"N"}],"issued":{"year":1976,"month":8},"accessed":{"year":2012,"month":5,"day":21},"page-first":"195"}}],"schema":"https://github.com/citation-style-language/schema/raw/master/csl-citation.json"}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(Verwer and Nanninga, 1976)</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Long fibres of cell</w:t>
      </w:r>
      <w:r>
        <w:rPr>
          <w:rFonts w:ascii="Times New Roman" w:hAnsi="Times New Roman" w:cs="Times New Roman"/>
          <w:sz w:val="24"/>
          <w:szCs w:val="24"/>
        </w:rPr>
        <w:t xml:space="preserve"> wall material have also been observed during cell wall regeneration of </w:t>
      </w:r>
      <w:r>
        <w:rPr>
          <w:rFonts w:ascii="Times New Roman" w:hAnsi="Times New Roman" w:cs="Times New Roman"/>
          <w:i/>
          <w:sz w:val="24"/>
          <w:szCs w:val="24"/>
        </w:rPr>
        <w:t xml:space="preserve">Bacillus lichenformis </w:t>
      </w:r>
      <w:r>
        <w:rPr>
          <w:rFonts w:ascii="Times New Roman" w:hAnsi="Times New Roman" w:cs="Times New Roman"/>
          <w:sz w:val="24"/>
          <w:szCs w:val="24"/>
        </w:rPr>
        <w:t xml:space="preserve">protoplasts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{"citationID":"2baa8949a0","properties":{"formattedCitation":"(Elliott et al., 1975)","plainCitation":"(Elliott et al., 1975)"},"citationItems":[{"id":238,"uris":["http://zotero.org/users/944474/items/XQXMXFAD"],"uri":["http://zotero.org/users/944474/items/XQXMXFAD"],"itemData":{"id":238,"type":"article-journal","title":"Ultrastructural study of the reversion of protoplasts of Bacillus licheniformis to bacilli","container-title":"Journal of bacteriology","page":"905-917","volume":"124","issue":"2","abstract":"The reversion of protoplasts of Bacillus licheniformis 6346 His- on a medium containing 2.5% agar has been studied in sectioned material after reaction with a ferritin-conjugated antibody specific to the peptidoglycan isolated from the walls of the bacilli. Freeze etching has also been used. Fibrils of material reacting with the antibody have been detected emerging from isolated areas of the protoplasts after 3 h of incubation. This material gradually covers the cell and can eventually (at 6 h) be seen in freeze-etched preparations as a fringe of up to 400 nm around the cells and covering the surfaces with particles that can be removed by lysozyme. At later stages the wall begins to take on a compact, well-defined appearance that can be seen in sections; however, the cells are still grossly deformed. A transitory emergence, beyond the wall of long fibers of 6 nm in diameter, takes place after about 12 h of incubation. These fibers react with the conjugated antibody and after freeze etching show a regular banded structure. They are probably indentical with the fibers isolated elsewhere (Elliott et al., 1975) and shown to contain all the wall constituents (i.e., peptidoglycan, teichoic acid, and teichuronic acid). These fibers are not detectable in the final stages of reversion.","note":"PMID: 1184577","journalAbbreviation":"J. Bacteriol.","author":[{"family":"Elliott","given":"T S"},{"family":"Ward","given":"J B"},{"family":"Wyrick","given":"P B"},{"family":"Rogers","given":"H J"}],"issued":{"year":1975,"month":11},"accessed":{"year":2012,"month":5,"day":21},"page-first":"905"}}],"schema":"https://github.com/citation-style-language/schema/raw/master/csl-citation.json"}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 xml:space="preserve">(Elliott </w:t>
      </w:r>
      <w:r w:rsidRPr="002F5D6E">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1975)</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xml:space="preserve">. A study of the peptidoglycan architecture in </w:t>
      </w:r>
      <w:r w:rsidRPr="00C521B3">
        <w:rPr>
          <w:rFonts w:ascii="Times New Roman" w:hAnsi="Times New Roman" w:cs="Times New Roman"/>
          <w:i/>
          <w:color w:val="000000" w:themeColor="text1"/>
          <w:sz w:val="24"/>
          <w:szCs w:val="24"/>
        </w:rPr>
        <w:t>Bacillus subtilis</w:t>
      </w:r>
      <w:r w:rsidRPr="00C521B3">
        <w:rPr>
          <w:rFonts w:ascii="Times New Roman" w:hAnsi="Times New Roman" w:cs="Times New Roman"/>
          <w:color w:val="000000" w:themeColor="text1"/>
          <w:sz w:val="24"/>
          <w:szCs w:val="24"/>
        </w:rPr>
        <w:t>,</w:t>
      </w:r>
      <w:r w:rsidRPr="00C521B3">
        <w:rPr>
          <w:rFonts w:ascii="Times New Roman" w:hAnsi="Times New Roman" w:cs="Times New Roman"/>
          <w:i/>
          <w:color w:val="000000" w:themeColor="text1"/>
          <w:sz w:val="24"/>
          <w:szCs w:val="24"/>
        </w:rPr>
        <w:t xml:space="preserve"> </w:t>
      </w:r>
      <w:r w:rsidRPr="00C521B3">
        <w:rPr>
          <w:rFonts w:ascii="Times New Roman" w:hAnsi="Times New Roman" w:cs="Times New Roman"/>
          <w:color w:val="000000" w:themeColor="text1"/>
          <w:sz w:val="24"/>
          <w:szCs w:val="24"/>
        </w:rPr>
        <w:t xml:space="preserve">utilising AFM of purified peptidoglycan sacculi, revealed similar features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{"citationID":"t616063ro","properties":{"formattedCitation":"(Hayhurst et al., 2008)","plainCitation":"(Hayhurst et al., 2008)"},"citationItems":[{"id":77,"uris":["http://zotero.org/users/944474/items/Z6IUFDEB"],"uri":["http://zotero.org/users/944474/items/Z6IUFDEB"],"itemData":{"id":77,"type":"article-journal","title":"Cell wall peptidoglycan architecture in Bacillus subtilis","container-title":"Proceedings of the National Academy of Sciences of the United States of America","page":"14603-14608","volume":"105","issue":"38","abstract":"The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polymer.","DOI":"10.1073/pnas.0804138105","note":"PMID: 18784364","journalAbbreviation":"Proc. Natl. Acad. Sci. U.S.A.","author":[{"family":"Hayhurst","given":"Emma J"},{"family":"Kailas","given":"Lekshmi"},{"family":"Hobbs","given":"Jamie K"},{"family":"Foster","given":"Simon J"}],"issued":{"year":2008,"month":9,"day":23},"accessed":{"year":2012,"month":3,"day":7},"page-first":"14603"}}],"schema":"https://github.com/citation-style-language/schema/raw/master/csl-citation.json"}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 xml:space="preserve">(Hayhurst </w:t>
      </w:r>
      <w:r w:rsidRPr="002F5D6E">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2008)</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xml:space="preserve">. The inner surface of purified sacculi contained approximately 50 nm wide cables running perpendicular to the long axis of the cell (Figure 1.13A). Cross striations with an average periodicity of ~25 nm were observed throughout the cables, suggesting twists or coils of material. Size exclusion chromatography of purified glycan strands indicated that </w:t>
      </w:r>
      <w:r w:rsidRPr="00C521B3">
        <w:rPr>
          <w:rFonts w:ascii="Times New Roman" w:hAnsi="Times New Roman" w:cs="Times New Roman"/>
          <w:i/>
          <w:color w:val="000000" w:themeColor="text1"/>
          <w:sz w:val="24"/>
          <w:szCs w:val="24"/>
        </w:rPr>
        <w:t xml:space="preserve">B. subtilis </w:t>
      </w:r>
      <w:r w:rsidRPr="00C521B3">
        <w:rPr>
          <w:rFonts w:ascii="Times New Roman" w:hAnsi="Times New Roman" w:cs="Times New Roman"/>
          <w:color w:val="000000" w:themeColor="text1"/>
          <w:sz w:val="24"/>
          <w:szCs w:val="24"/>
        </w:rPr>
        <w:t xml:space="preserve">have extremely long glycan strands, as approximately 25% of glycan material was over 500 disaccharides in length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{"citationID":"16s4dko92d","properties":{"formattedCitation":"(Hayhurst et al., 2008)","plainCitation":"(Hayhurst et al., 2008)"},"citationItems":[{"id":77,"uris":["http://zotero.org/users/944474/items/Z6IUFDEB"],"uri":["http://zotero.org/users/944474/items/Z6IUFDEB"],"itemData":{"id":77,"type":"article-journal","title":"Cell wall peptidoglycan architecture in Bacillus subtilis","container-title":"Proceedings of the National Academy of Sciences of the United States of America","page":"14603-14608","volume":"105","issue":"38","abstract":"The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polymer.","DOI":"10.1073/pnas.0804138105","note":"PMID: 18784364","journalAbbreviation":"Proc. Natl. Acad. Sci. U.S.A.","author":[{"family":"Hayhurst","given":"Emma J"},{"family":"Kailas","given":"Lekshmi"},{"family":"Hobbs","given":"Jamie K"},{"family":"Foster","given":"Simon J"}],"issued":{"year":2008,"month":9,"day":23},"accessed":{"year":2012,"month":3,"day":7},"page-first":"14603"}}],"schema":"https://github.com/citation-style-language/schema/raw/master/csl-citation.json"}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 xml:space="preserve">(Hayhurst </w:t>
      </w:r>
      <w:r w:rsidRPr="002F5D6E">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2008)</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xml:space="preserve">. AFM analysis of this purified material revealed the presence of strands up to 5 µm in length (Figure 1.13B). The architecture of the septa was entirely different, comprising ~135 nm wide cables (Figure 1.13C). A model was proposed in which the cylinder contains cables of peptidoglycan, comprising coiled-coils of long glycan strands, looped circumferentially around the cell cylinder, providing the mechanical strength for the cell to maintain a rod shape under turgor pressure (Figure 1.13D). In a recent study </w:t>
      </w:r>
      <w:r w:rsidRPr="00C521B3">
        <w:rPr>
          <w:rFonts w:ascii="Times New Roman" w:hAnsi="Times New Roman" w:cs="Times New Roman"/>
          <w:i/>
          <w:color w:val="000000" w:themeColor="text1"/>
          <w:sz w:val="24"/>
          <w:szCs w:val="24"/>
        </w:rPr>
        <w:t>E. coli</w:t>
      </w:r>
      <w:r w:rsidRPr="00C521B3">
        <w:rPr>
          <w:rFonts w:ascii="Times New Roman" w:hAnsi="Times New Roman" w:cs="Times New Roman"/>
          <w:color w:val="000000" w:themeColor="text1"/>
          <w:sz w:val="24"/>
          <w:szCs w:val="24"/>
        </w:rPr>
        <w:t xml:space="preserve"> </w:t>
      </w:r>
      <w:r w:rsidRPr="00C521B3">
        <w:rPr>
          <w:rFonts w:ascii="Times New Roman" w:hAnsi="Times New Roman" w:cs="Times New Roman"/>
          <w:color w:val="000000" w:themeColor="text1"/>
          <w:sz w:val="24"/>
          <w:szCs w:val="24"/>
        </w:rPr>
        <w:lastRenderedPageBreak/>
        <w:t xml:space="preserve">were observed to twist in a left-handed direction during growth, whilst </w:t>
      </w:r>
      <w:r w:rsidRPr="00C521B3">
        <w:rPr>
          <w:rFonts w:ascii="Times New Roman" w:hAnsi="Times New Roman" w:cs="Times New Roman"/>
          <w:i/>
          <w:color w:val="000000" w:themeColor="text1"/>
          <w:sz w:val="24"/>
          <w:szCs w:val="24"/>
        </w:rPr>
        <w:t xml:space="preserve">B, subtilis </w:t>
      </w:r>
      <w:r w:rsidRPr="00C521B3">
        <w:rPr>
          <w:rFonts w:ascii="Times New Roman" w:hAnsi="Times New Roman" w:cs="Times New Roman"/>
          <w:color w:val="000000" w:themeColor="text1"/>
          <w:sz w:val="24"/>
          <w:szCs w:val="24"/>
        </w:rPr>
        <w:t xml:space="preserve">twisted in the right-handed direction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{"citationID":"1t05gkt5k6","properties":{"formattedCitation":"(Wang et al., 2012)","plainCitation":"(Wang et al., 2012)"},"citationItems":[{"id":198,"uris":["http://zotero.org/users/944474/items/TJK5BZVZ"],"uri":["http://zotero.org/users/944474/items/TJK5BZVZ"],"itemData":{"id":198,"type":"article-journal","title":"Helical insertion of peptidoglycan produces chiral ordering of the bacterial cell wall","container-title":"Proceedings of the National Academy of Sciences of the United States of America","page":"E595-604","volume":"109","issue":"10","abstract":"The regulation of cell shape is a common challenge faced by organisms across all biological kingdoms. In nearly all bacteria, cell shape is determined by the architecture of the peptidoglycan cell wall, a macromolecule consisting of glycan strands crosslinked by peptides. In addition to shape, cell growth must also maintain the wall structural integrity to prevent lysis due to large turgor pressures. Robustness can be accomplished by establishing a globally ordered cell-wall network, although how a bacterium generates and maintains peptidoglycan order on the micron scale using nanometer-sized proteins remains a mystery. Here, we demonstrate that left-handed chirality of the MreB cytoskeleton in the rod-shaped bacterium Escherichia coli gives rise to a global, right-handed chiral ordering of the cell wall. Local, MreB-guided insertion of material into the peptidoglycan network naturally orders the glycan strands and causes cells to twist left-handedly during elongational growth. Through comparison with the right-handed twisting of Bacillus subtilis cells, our work supports a common mechanism linking helical insertion and chiral cell-wall ordering in rod-shaped bacteria. These physical principles of cell growth link the molecular structure of the bacterial cytoskeleton, mechanisms of wall synthesis, and the coordination of cell-wall architecture.","DOI":"10.1073/pnas.1117132109","note":"PMID: 22343529","journalAbbreviation":"Proc. Natl. Acad. Sci. U.S.A.","author":[{"family":"Wang","given":"Siyuan"},{"family":"Furchtgott","given":"Leon"},{"family":"Huang","given":"Kerwyn Casey"},{"family":"Shaevitz","given":"Joshua W"}],"issued":{"year":2012,"month":3,"day":6},"accessed":{"year":2012,"month":5,"day":14},"page-first":"E595"}}],"schema":"https://github.com/citation-style-language/schema/raw/master/csl-citation.json"}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 xml:space="preserve">(Wang </w:t>
      </w:r>
      <w:r w:rsidRPr="002F5D6E">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2012)</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Helical peptidoglycan insertion may also contribute to the peptidoglycan architecture by imposing chirality on the peptidoglycan network.</w:t>
      </w:r>
    </w:p>
    <w:p w:rsidR="00BC7652" w:rsidRDefault="00BC7652" w:rsidP="00BC7652">
      <w:pPr>
        <w:autoSpaceDE w:val="0"/>
        <w:autoSpaceDN w:val="0"/>
        <w:adjustRightInd w:val="0"/>
        <w:spacing w:before="240" w:after="120" w:line="480" w:lineRule="auto"/>
        <w:jc w:val="both"/>
        <w:rPr>
          <w:rFonts w:ascii="Times New Roman" w:hAnsi="Times New Roman" w:cs="Times New Roman"/>
          <w:sz w:val="24"/>
          <w:szCs w:val="24"/>
        </w:rPr>
      </w:pPr>
    </w:p>
    <w:p w:rsidR="00BC7652" w:rsidRPr="00A17145" w:rsidRDefault="00BC7652" w:rsidP="00BC7652">
      <w:pPr>
        <w:tabs>
          <w:tab w:val="left" w:pos="1276"/>
        </w:tabs>
        <w:spacing w:line="480" w:lineRule="auto"/>
        <w:jc w:val="both"/>
        <w:rPr>
          <w:rFonts w:ascii="Times New Roman" w:hAnsi="Times New Roman" w:cs="Times New Roman"/>
          <w:color w:val="000000"/>
          <w:sz w:val="28"/>
          <w:szCs w:val="28"/>
        </w:rPr>
      </w:pPr>
      <w:r w:rsidRPr="003A4382">
        <w:rPr>
          <w:rFonts w:ascii="Times New Roman" w:hAnsi="Times New Roman" w:cs="Times New Roman"/>
          <w:color w:val="000000"/>
          <w:sz w:val="28"/>
          <w:szCs w:val="28"/>
        </w:rPr>
        <w:t>1.</w:t>
      </w:r>
      <w:r>
        <w:rPr>
          <w:rFonts w:ascii="Times New Roman" w:hAnsi="Times New Roman" w:cs="Times New Roman"/>
          <w:color w:val="000000"/>
          <w:sz w:val="28"/>
          <w:szCs w:val="28"/>
        </w:rPr>
        <w:t>8.5</w:t>
      </w:r>
      <w:r>
        <w:rPr>
          <w:rFonts w:ascii="Times New Roman" w:hAnsi="Times New Roman" w:cs="Times New Roman"/>
          <w:color w:val="000000"/>
          <w:sz w:val="28"/>
          <w:szCs w:val="28"/>
        </w:rPr>
        <w:tab/>
        <w:t>Cell wall architecture in coccoid-shaped bacteria</w:t>
      </w:r>
    </w:p>
    <w:p w:rsidR="00BC7652" w:rsidRDefault="00BC7652" w:rsidP="00BC7652">
      <w:pPr>
        <w:spacing w:line="480" w:lineRule="auto"/>
        <w:jc w:val="both"/>
        <w:rPr>
          <w:rFonts w:ascii="Times New Roman" w:hAnsi="Times New Roman" w:cs="Times New Roman"/>
          <w:sz w:val="24"/>
          <w:szCs w:val="24"/>
        </w:rPr>
      </w:pPr>
      <w:r>
        <w:rPr>
          <w:rFonts w:ascii="Times New Roman" w:hAnsi="Times New Roman" w:cs="Times New Roman"/>
          <w:sz w:val="24"/>
          <w:szCs w:val="24"/>
        </w:rPr>
        <w:t>Coccoid organisms grow by formation of a septal crosswall which is split during daughter cell separation and becomes the new cell hemisphere. As they divide on two or three orthogonal planes, any orientation of the peptidoglycan will be altered by 90</w:t>
      </w:r>
      <w:r>
        <w:rPr>
          <w:rFonts w:ascii="Times New Roman" w:hAnsi="Times New Roman" w:cs="Times New Roman"/>
          <w:sz w:val="24"/>
          <w:szCs w:val="24"/>
          <w:vertAlign w:val="superscript"/>
        </w:rPr>
        <w:t>°</w:t>
      </w:r>
      <w:r>
        <w:rPr>
          <w:rFonts w:ascii="Times New Roman" w:hAnsi="Times New Roman" w:cs="Times New Roman"/>
          <w:sz w:val="24"/>
          <w:szCs w:val="24"/>
        </w:rPr>
        <w:t xml:space="preserve"> relative to the previous </w:t>
      </w:r>
      <w:r w:rsidRPr="00C521B3">
        <w:rPr>
          <w:rFonts w:ascii="Times New Roman" w:hAnsi="Times New Roman" w:cs="Times New Roman"/>
          <w:color w:val="000000" w:themeColor="text1"/>
          <w:sz w:val="24"/>
          <w:szCs w:val="24"/>
        </w:rPr>
        <w:t xml:space="preserve">division plane (Figure 1.14;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{"citationID":"1b13goejkr","properties":{"formattedCitation":"(Zapun et al., 2008)","plainCitation":"(Zapun et al., 2008)"},"citationItems":[{"id":87,"uris":["http://zotero.org/users/944474/items/N52MZFST"],"uri":["http://zotero.org/users/944474/items/N52MZFST"],"itemData":{"id":87,"type":"article-journal","title":"The different shapes of cocci","container-title":"FEMS Microbiology Reviews","page":"345-360","volume":"32","issue":"2","abstract":"The shape of bacteria is determined by their cell wall and can be very diverse. Even among genera with the suffix 'cocci', which are the focus of this review, different shapes exist. While staphylococci or Neisseria cells, for example, are truly round-shaped, streptococci, lactococci or enterococci have an ovoid shape. Interestingly, there seems to be a correlation between the shape of an organism and its set of penicillin-binding proteins--the enzymes that assemble the peptidoglycan, the main constituent of the cell wall. While only one peptidoglycan biosynthesis machinery seems to exist in staphylococci, two of these machineries are proposed to function in ovoid-shaped bacteria, reinforcing the intrinsic differences regarding the morphogenesis of different classes of cocci. The present review aims to integrate older ultra-structural data with recent localization studies, in order to clarify the relation between the mechanisms of cell wall synthesis and the determination of cell shape in various cocci.","DOI":"10.1111/j.1574-6976.2007.00098.x","note":"PMID: 18266741","journalAbbreviation":"FEMS Microbiol. Rev.","author":[{"family":"Zapun","given":"André"},{"family":"Vernet","given":"Thierry"},{"family":"Pinho","given":"Mariana G"}],"issued":{"year":2008,"month":3},"accessed":{"year":2012,"month":4,"day":2},"page-first":"345"}}],"schema":"https://github.com/citation-style-language/schema/raw/master/csl-citation.json"}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 xml:space="preserve">Zapun </w:t>
      </w:r>
      <w:r w:rsidRPr="002F5D6E">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2008)</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Orthogonally</w:t>
      </w:r>
      <w:r>
        <w:rPr>
          <w:rFonts w:ascii="Times New Roman" w:hAnsi="Times New Roman" w:cs="Times New Roman"/>
          <w:sz w:val="24"/>
          <w:szCs w:val="24"/>
        </w:rPr>
        <w:t xml:space="preserve"> arranged sectors</w:t>
      </w:r>
      <w:r w:rsidRPr="00772BC0">
        <w:rPr>
          <w:rFonts w:ascii="Times New Roman" w:hAnsi="Times New Roman" w:cs="Times New Roman"/>
          <w:sz w:val="24"/>
          <w:szCs w:val="24"/>
        </w:rPr>
        <w:t xml:space="preserve"> </w:t>
      </w:r>
      <w:r>
        <w:rPr>
          <w:rFonts w:ascii="Times New Roman" w:hAnsi="Times New Roman" w:cs="Times New Roman"/>
          <w:sz w:val="24"/>
          <w:szCs w:val="24"/>
        </w:rPr>
        <w:t xml:space="preserve">have not been </w:t>
      </w:r>
      <w:r w:rsidRPr="00C521B3">
        <w:rPr>
          <w:rFonts w:ascii="Times New Roman" w:hAnsi="Times New Roman" w:cs="Times New Roman"/>
          <w:color w:val="000000" w:themeColor="text1"/>
          <w:sz w:val="24"/>
          <w:szCs w:val="24"/>
        </w:rPr>
        <w:t xml:space="preserve">revealed by nanometre resolution imaging, however distinct architectures have been observed at the old and new cell hemispheres (Figure 1.15)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{"citationID":"c2jg8h6fu","properties":{"formattedCitation":"(Amako et al., 1982; Giesbrecht et al., 1998; Touhami et al., 2004)","plainCitation":"(Amako et al., 1982; Giesbrecht et al., 1998; Touhami et al., 2004)"},"citationItems":[{"id":43,"uris":["http://zotero.org/users/944474/items/P9M47BKB"],"uri":["http://zotero.org/users/944474/items/P9M47BKB"],"itemData":{"id":43,"type":"article-journal","title":"Arrangement of peptidoglycan in the cell wall of Staphylococcus spp","container-title":"Journal of Bacteriology","page":"844-850","volume":"150","issue":"2","abstract":"The arrangement of peptidoglycan in the cell wall of Staphylococcus was observed with the newly developed freeze-fracture technique, using n-octanol instead of water as the freezing medium. The replica of the trichloroacetic acid-extracted cell wall (TCA-wall) showed two areas. One of them has a concentric circular structure, a characteristic surface structure of the staphylococcal cell wall, and the other showed an irregular and rough surface. The chemical analysis of the wall revealed that the TCA-wall consisted of mostly peptidoglycan. By digesting the TCA-wall with lysozyme, the circular structures were greatly disturbed, and they disappeared after 60 min of treatment. From these observations it can be expected that the peptidoglycan is arranged in a concentric circular manner in the newly generated cell wall of Staphylococcus.","note":"PMID: 7068534","journalAbbreviation":"J. Bacteriol.","author":[{"family":"Amako","given":"K"},{"family":"Umeda","given":"A"},{"family":"Murata","given":"K"}],"issued":{"year":1982,"month":5},"accessed":{"year":2012,"month":3,"day":6},"page-first":"844"}},{"id":44,"uris":["http://zotero.org/users/944474/items/CUPN6QRV"],"uri":["http://zotero.org/users/944474/items/CUPN6QRV"],"itemData":{"id":44,"type":"article-journal","title":"Staphylococcal cell wall: morphogenesis and fatal variations in the presence of penicillin","container-title":"Microbiology and Molecular Biology Reviews: MMBR","page":"1371-1414","volume":"62","issue":"4","abstract":"The primary goal of this review is to provide a compilation of the complex architectural features of staphylococcal cell walls and of some of their unusual morphogenetic traits including the utilization of murosomes and two different mechanisms of cell separation. Knowledge of these electron microscopic findings may serve as a prerequisite for a better understanding of the sophisticated events which lead to penicillin-induced death. For more than 50 years there have been controversial disputes about the mechanisms by which penicillin kills bacteria. Many hypotheses have tried to explain this fatal event biochemically and mainly via bacteriolysis. However, indications that penicillin-induced death of staphylococci results from overall biochemical defects or from a fatal attack of bacterial cell walls by bacteriolytic murein hydrolases were not been found. Rather, penicillin, claimed to trigger the activity of murein hydrolases, impaired autolytic wall enzymes of staphylococci. Electron microscopic investigations have meanwhile shown that penicillin-mediated induction of seemingly minute cross wall mistakes is the very reason for this killing. Such \"morphogenetic death\" taking place at predictable cross wall sites and at a predictable time is based on the initiation of normal cell separations in those staphylococci in which the completion of cross walls had been prevented by local penicillin-mediated impairment of the distribution of newly synthesized peptidoglycan; this death occurs because the high internal pressure of the protoplast abruptly kills such cells via ejection of some cytoplasm during attempted cell separation. An analogous fatal onset of cell partition is considered to take place without involvement of a detectable quantity of autolytic wall enzymes (\"mechanical cell separation\"). The most prominent feature of penicillin, the disintegration of bacterial cells via bacteriolysis, is shown to represent only a postmortem process resulting from shrinkage of dead cells and perturbation of the cytoplasmic membrane. Several schematic drawings have been included in this review to facilitate an understanding of the complex morphogenetic events.","note":"PMID: 9841676","shortTitle":"Staphylococcal cell wall","journalAbbreviation":"Microbiol. Mol. Biol. Rev.","author":[{"family":"Giesbrecht","given":"P"},{"family":"Kersten","given":"T"},{"family":"Maidhof","given":"H"},{"family":"Wecke","given":"J"}],"issued":{"year":1998,"month":12},"accessed":{"year":2012,"month":3,"day":6},"page-first":"1371"}},{"id":147,"uris":["http://zotero.org/users/944474/items/H8B2DIMV"],"uri":["http://zotero.org/users/944474/items/H8B2DIMV"],"itemData":{"id":147,"type":"article-journal","title":"Atomic force microscopy of cell growth and division in Staphylococcus aureus","container-title":"Journal of Bacteriology","page":"3286-3295","volume":"186","issue":"11","abstract":"The growth and division of Staphylococcus aureus was monitored by atomic force microscopy (AFM) and thin-section transmission electron microscopy (TEM). A good correlation of the structural events of division was found using the two microscopies, and AFM was able to provide new additional information. AFM was performed under water, ensuring that all structures were in the hydrated condition. Sequential images on the same structure revealed progressive changes to surfaces, suggesting the cells were growing while images were being taken. Using AFM small depressions were seen around the septal annulus at the onset of division that could be attributed to so-called murosomes (Giesbrecht et al., Arch. Microbiol. 141:315-324, 1985). The new cell wall formed from the cross wall (i.e., completed septum) after cell separation and possessed concentric surface rings and a central depression; these structures could be correlated to a midline of reactive material in the developing septum that was seen by TEM. The older wall, that which was not derived from a newly formed cross wall, was partitioned into two different surface zones, smooth and gel-like zones, with different adhesive properties that could be attributed to cell wall turnover. The new and old wall topographies are equated to possible peptidoglycan arrangements, but no conclusion can be made regarding the planar or scaffolding models.","DOI":"10.1128/JB.186.11.3286-3295.2004","note":"PMID: 15150213","journalAbbreviation":"J. Bacteriol.","author":[{"family":"Touhami","given":"Ahmed"},{"family":"Jericho","given":"Manfred H"},{"family":"Beveridge","given":"Terry J"}],"issued":{"year":2004,"month":6},"accessed":{"year":2012,"month":4,"day":22},"page-first":"3286"}}],"schema":"https://github.com/citation-style-language/schema/raw/master/csl-citation.json"}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 xml:space="preserve">(Amako </w:t>
      </w:r>
      <w:r w:rsidRPr="002F5D6E">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xml:space="preserve">., 1982; Giesbrecht </w:t>
      </w:r>
      <w:r w:rsidRPr="002F5D6E">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xml:space="preserve">., 1998; Touhami </w:t>
      </w:r>
      <w:r w:rsidRPr="002F5D6E">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2004)</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w:t>
      </w:r>
    </w:p>
    <w:p w:rsidR="00BC7652" w:rsidRDefault="00BC7652" w:rsidP="00BC7652">
      <w:pPr>
        <w:spacing w:line="480" w:lineRule="auto"/>
        <w:jc w:val="both"/>
        <w:rPr>
          <w:rFonts w:ascii="Times New Roman" w:hAnsi="Times New Roman" w:cs="Times New Roman"/>
          <w:sz w:val="24"/>
          <w:szCs w:val="24"/>
        </w:rPr>
      </w:pPr>
    </w:p>
    <w:p w:rsidR="00BC7652" w:rsidRPr="003171DF" w:rsidRDefault="00BC7652" w:rsidP="00BC7652">
      <w:pPr>
        <w:tabs>
          <w:tab w:val="left" w:pos="1276"/>
        </w:tabs>
        <w:spacing w:line="480" w:lineRule="auto"/>
        <w:jc w:val="both"/>
        <w:rPr>
          <w:rFonts w:ascii="Times New Roman" w:hAnsi="Times New Roman" w:cs="Times New Roman"/>
          <w:sz w:val="28"/>
          <w:szCs w:val="28"/>
        </w:rPr>
      </w:pPr>
      <w:r>
        <w:rPr>
          <w:rFonts w:ascii="Times New Roman" w:hAnsi="Times New Roman" w:cs="Times New Roman"/>
          <w:sz w:val="28"/>
          <w:szCs w:val="28"/>
        </w:rPr>
        <w:t>1.8.5.1</w:t>
      </w:r>
      <w:r>
        <w:rPr>
          <w:rFonts w:ascii="Times New Roman" w:hAnsi="Times New Roman" w:cs="Times New Roman"/>
          <w:sz w:val="28"/>
          <w:szCs w:val="28"/>
        </w:rPr>
        <w:tab/>
      </w:r>
      <w:r w:rsidRPr="003171DF">
        <w:rPr>
          <w:rFonts w:ascii="Times New Roman" w:hAnsi="Times New Roman" w:cs="Times New Roman"/>
          <w:sz w:val="28"/>
          <w:szCs w:val="28"/>
        </w:rPr>
        <w:t>Architecture of the new cell wall hemisphere</w:t>
      </w:r>
    </w:p>
    <w:p w:rsidR="00BC7652" w:rsidRPr="00C521B3" w:rsidRDefault="00BC7652" w:rsidP="00BC7652">
      <w:pPr>
        <w:spacing w:line="480" w:lineRule="auto"/>
        <w:jc w:val="both"/>
        <w:rPr>
          <w:rFonts w:ascii="Times New Roman" w:hAnsi="Times New Roman" w:cs="Times New Roman"/>
          <w:color w:val="000000" w:themeColor="text1"/>
          <w:sz w:val="24"/>
          <w:szCs w:val="24"/>
        </w:rPr>
        <w:sectPr w:rsidR="00BC7652" w:rsidRPr="00C521B3" w:rsidSect="006C5A4E">
          <w:type w:val="continuous"/>
          <w:pgSz w:w="11906" w:h="16838"/>
          <w:pgMar w:top="1440" w:right="1134" w:bottom="1440" w:left="2268" w:header="708" w:footer="708" w:gutter="0"/>
          <w:cols w:space="708"/>
          <w:docGrid w:linePitch="360"/>
        </w:sectPr>
      </w:pPr>
      <w:r w:rsidRPr="00C521B3">
        <w:rPr>
          <w:rFonts w:ascii="Times New Roman" w:hAnsi="Times New Roman" w:cs="Times New Roman"/>
          <w:color w:val="000000" w:themeColor="text1"/>
          <w:sz w:val="24"/>
          <w:szCs w:val="24"/>
        </w:rPr>
        <w:t xml:space="preserve">Imaging of </w:t>
      </w:r>
      <w:r w:rsidRPr="00C521B3">
        <w:rPr>
          <w:rFonts w:ascii="Times New Roman" w:hAnsi="Times New Roman" w:cs="Times New Roman"/>
          <w:i/>
          <w:color w:val="000000" w:themeColor="text1"/>
          <w:sz w:val="24"/>
          <w:szCs w:val="24"/>
        </w:rPr>
        <w:t>S. aureus</w:t>
      </w:r>
      <w:r w:rsidRPr="00C521B3">
        <w:rPr>
          <w:rFonts w:ascii="Times New Roman" w:hAnsi="Times New Roman" w:cs="Times New Roman"/>
          <w:color w:val="000000" w:themeColor="text1"/>
          <w:sz w:val="24"/>
          <w:szCs w:val="24"/>
        </w:rPr>
        <w:t xml:space="preserve"> and </w:t>
      </w:r>
      <w:r w:rsidRPr="00C521B3">
        <w:rPr>
          <w:rFonts w:ascii="Times New Roman" w:hAnsi="Times New Roman" w:cs="Times New Roman"/>
          <w:i/>
          <w:color w:val="000000" w:themeColor="text1"/>
          <w:sz w:val="24"/>
          <w:szCs w:val="24"/>
        </w:rPr>
        <w:t>S. epidermidis</w:t>
      </w:r>
      <w:r w:rsidRPr="00C521B3">
        <w:rPr>
          <w:rFonts w:ascii="Times New Roman" w:hAnsi="Times New Roman" w:cs="Times New Roman"/>
          <w:color w:val="000000" w:themeColor="text1"/>
          <w:sz w:val="24"/>
          <w:szCs w:val="24"/>
        </w:rPr>
        <w:t xml:space="preserve"> cell walls revealed a concentric ring pattern at the nascent hemisphere exposed by daughter cell separation. Such features were observed by electron microscopy of thin sections across the plane of completed septa, freeze-etched cells, SEM of whole cells and by AFM of living cells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{"citationID":"3vsq869ic","properties":{"formattedCitation":"(Amako and Umeda, 1978; Giesbrecht et al., 1992, 1997; Touhami et al., 2004)","plainCitation":"(Amako and Umeda, 1978; Giesbrecht et al., 1992, 1997; Touhami et al., 2004)"},"citationItems":[{"id":131,"uris":["http://zotero.org/users/944474/items/KKX82EJN"],"uri":["http://zotero.org/users/944474/items/KKX82EJN"],"itemData":{"id":131,"type":"article-journal","title":"Concentric circular structure of the cell wall of Staphylococcus epidermidis revealed by the scanning electron microscope","container-title":"Journal of Electron Microscopy","page":"147-148","volume":"27","issue":"2","note":"PMID: 690561","journalAbbreviation":"J Electron Microsc (Tokyo)","author":[{"family":"Amako","given":"K"},{"family":"Umeda","given":"A"}],"issued":{"year":1978},"accessed":{"year":2012,"month":4,"day":18},"page-first":"147"}},{"id":150,"uris":["http://zotero.org/users/944474/items/E6WNMHDE"],"uri":["http://zotero.org/users/944474/items/E6WNMHDE"],"itemData":{"id":150,"type":"article-journal","title":"Fan-shaped ejections of regularly arranged murosomes involved in penicillin-induced death of staphylococci","container-title":"Journal of Bacteriology","page":"2241-2252","volume":"174","issue":"7","abstract":"Electron microscopic research into the murosomes of staphylococci has shown that the number of murosomes involved in penicillin-induced death varies depending on the experimental conditions employed. With 0.1 micrograms of penicillin G per ml, only 1 of a total of about 20 murosomes, the \"killing murosome,\" completely perforated the pressure-stabilized peripheral cell wall during a three-step process. This strictly localized event was mainly attributed to a mechanical effect being comparable to the process of aneurysm formation. Wall perforation was also considered to mark the very moment of penicillin-induced death (\"nonlytic killing event\"), while bacteriolysis started only postmortem. By varying the osmolarity of the growth medium, the number of murosomes involved in penicillin-induced killing increased considerably, which resulted in the ejection of a fan-shaped row of murosomes at the second division plane. These data are compatible with the finding that, in untreated or chloramphenicol-treated staphylococci, the activation of the murosomes resulted in (i) the formation of regularly arranged \"blebs\" on the cell surface, containing traces of disintegrated wall material, and (ii) the subsequent liberation of the murosomes lying underneath, leaving behind their former sites in the peripheral wall as a row of regularly arranged \"pores\" in every division plane. The number, distribution, and positioning of these blebs corresponded with those of the pores and the original murosomes. The significance of wall autolysins liberated from the first division plane for penicillin-induced wall perforation at the second division plane is discussed.","note":"PMID: 1551845","journalAbbreviation":"J. Bacteriol.","author":[{"family":"Giesbrecht","given":"P"},{"family":"Kersten","given":"T"},{"family":"Wecke","given":"J"}],"issued":{"year":1992,"month":4},"accessed":{"year":2012,"month":4,"day":23},"page-first":"2241"}},{"id":149,"uris":["http://zotero.org/users/944474/items/QDZQRNW8"],"uri":["http://zotero.org/users/944474/items/QDZQRNW8"],"itemData":{"id":149,"type":"article-journal","title":"Two alternative mechanisms of cell separation in staphylococci: one lytic and one mechanical","container-title":"Archives of Microbiology","page":"239-250","volume":"167","issue":"4","abstract":"Electron microscopy studies revealed two different mechanisms of cell separation in Staphylococcus aureus. Both mechanisms were initiated by the centrifugal lytic action (directed outward from the center) of murosomes, which perforated the peripheral cell wall. Thereafter, during the first type of cell separation, murosomes also lysed large parts of the cross wall proper in the opposite, i.e., centripetal direction, forming spokelike lytic lesions (\"separation scars\") next to the most prominent structure of the cross wall, the splitting system. This bidirectional lytic action of murosomes revealed that the staphylococcal cross wall is composed of permanent and transitory parts; transitory parts constituted about one-third of the volume of the total cross wall and seemed to be digested during cell separation. The second mechanism of cell separation was encountered within the splitting system, which has been regarded as the main control unit for lytic cell separation for more than 25 years. The splitting system, however, represents mainly a mechanical aid for cell separation and becomes effective when cell-wall autolytic activities are insufficient.","note":"PMID: 9075623","shortTitle":"Two alternative mechanisms of cell separation in staphylococci","journalAbbreviation":"Arch. Microbiol.","author":[{"family":"Giesbrecht","given":"P"},{"family":"Kersten","given":"T"},{"family":"Maidhof","given":"H"},{"family":"Wecke","given":"J"}],"issued":{"year":1997,"month":4},"accessed":{"year":2012,"month":4,"day":23},"page-first":"239"}},{"id":147,"uris":["http://zotero.org/users/944474/items/H8B2DIMV"],"uri":["http://zotero.org/users/944474/items/H8B2DIMV"],"itemData":{"id":147,"type":"article-journal","title":"Atomic force microscopy of cell growth and division in Staphylococcus aureus","container-title":"Journal of Bacteriology","page":"3286-3295","volume":"186","issue":"11","abstract":"The growth and division of Staphylococcus aureus was monitored by atomic force microscopy (AFM) and thin-section transmission electron microscopy (TEM). A good correlation of the structural events of division was found using the two microscopies, and AFM was able to provide new additional information. AFM was performed under water, ensuring that all structures were in the hydrated condition. Sequential images on the same structure revealed progressive changes to surfaces, suggesting the cells were growing while images were being taken. Using AFM small depressions were seen around the septal annulus at the onset of division that could be attributed to so-called murosomes (Giesbrecht et al., Arch. Microbiol. 141:315-324, 1985). The new cell wall formed from the cross wall (i.e., completed septum) after cell separation and possessed concentric surface rings and a central depression; these structures could be correlated to a midline of reactive material in the developing septum that was seen by TEM. The older wall, that which was not derived from a newly formed cross wall, was partitioned into two different surface zones, smooth and gel-like zones, with different adhesive properties that could be attributed to cell wall turnover. The new and old wall topographies are equated to possible peptidoglycan arrangements, but no conclusion can be made regarding the planar or scaffolding models.","DOI":"10.1128/JB.186.11.3286-3295.2004","note":"PMID: 15150213","journalAbbreviation":"J. Bacteriol.","author":[{"family":"Touhami","given":"Ahmed"},{"family":"Jericho","given":"Manfred H"},{"family":"Beveridge","given":"Terry J"}],"issued":{"year":2004,"month":6},"accessed":{"year":2012,"month":4,"day":22},"page-first":"3286"}}],"schema":"https://github.com/citation-style-language/schema/raw/master/csl-citation.json"}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 xml:space="preserve">(Amako and Umeda, 1978; Giesbrecht </w:t>
      </w:r>
      <w:r w:rsidRPr="002F5D6E">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xml:space="preserve">., 1992, 1997; Touhami </w:t>
      </w:r>
      <w:r w:rsidRPr="002F5D6E">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2004)</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xml:space="preserve">. The rings were proposed to comprise a tubular splitting system of the cross-wall </w:t>
      </w:r>
      <w:r w:rsidRPr="00C521B3">
        <w:rPr>
          <w:rFonts w:ascii="Times New Roman" w:hAnsi="Times New Roman" w:cs="Times New Roman"/>
          <w:i/>
          <w:color w:val="000000" w:themeColor="text1"/>
          <w:sz w:val="24"/>
          <w:szCs w:val="24"/>
        </w:rPr>
        <w:fldChar w:fldCharType="begin"/>
      </w:r>
      <w:r w:rsidRPr="00C521B3">
        <w:rPr>
          <w:rFonts w:ascii="Times New Roman" w:hAnsi="Times New Roman" w:cs="Times New Roman"/>
          <w:i/>
          <w:color w:val="000000" w:themeColor="text1"/>
          <w:sz w:val="24"/>
          <w:szCs w:val="24"/>
        </w:rPr>
        <w:instrText xml:space="preserve"> ADDIN ZOTERO_ITEM CSL_CITATION {"citationID":"24620t1fsg","properties":{"formattedCitation":"(Giesbrecht et al., 1998)","plainCitation":"(Giesbrecht et al., 1998)"},"citationItems":[{"id":44,"uris":["http://zotero.org/users/944474/items/CUPN6QRV"],"uri":["http://zotero.org/users/944474/items/CUPN6QRV"],"itemData":{"id":44,"type":"article-journal","title":"Staphylococcal cell wall: morphogenesis and fatal variations in the presence of penicillin","container-title":"Microbiology and Molecular Biology Reviews: MMBR","page":"1371-1414","volume":"62","issue":"4","abstract":"The primary goal of this review is to provide a compilation of the complex architectural features of staphylococcal cell walls and of some of their unusual morphogenetic traits including the utilization of murosomes and two different mechanisms of cell separation. Knowledge of these electron microscopic findings may serve as a prerequisite for a better understanding of the sophisticated events which lead to penicillin-induced death. For more than 50 years there have been controversial disputes about the mechanisms by which penicillin kills bacteria. Many hypotheses have tried to explain this fatal event biochemically and mainly via bacteriolysis. However, indications that penicillin-induced death of staphylococci results from overall biochemical defects or from a fatal attack of bacterial cell walls by bacteriolytic murein hydrolases were not been found. Rather, penicillin, claimed to trigger the activity of murein hydrolases, impaired autolytic wall enzymes of staphylococci. Electron microscopic investigations have meanwhile shown that penicillin-mediated induction of seemingly minute cross wall mistakes is the very reason for this killing. Such \"morphogenetic death\" taking place at predictable cross wall sites and at a predictable time is based on the initiation of normal cell separations in those staphylococci in which the completion of cross walls had been prevented by local penicillin-mediated impairment of the distribution of newly synthesized peptidoglycan; this death occurs because the high internal pressure of the protoplast abruptly kills such cells via ejection of some cytoplasm during attempted cell separation. An analogous fatal onset of cell partition is considered to take place without involvement of a detectable quantity of autolytic wall enzymes (\"mechanical cell separation\"). The most prominent feature of penicillin, the disintegration of bacterial cells via bacteriolysis, is shown to represent only a postmortem process resulting from shrinkage of dead cells and perturbation of the cytoplasmic membrane. Several schematic drawings have been included in this review to facilitate an understanding of the complex morphogenetic events.","note":"PMID: 9841676","shortTitle":"Staphylococcal cell wall","journalAbbreviation":"Microbiol. Mol. Biol. Rev.","author":[{"family":"Giesbrecht","given":"P"},{"family":"Kersten","given":"T"},{"family":"Maidhof","given":"H"},{"family":"Wecke","given":"J"}],"issued":{"year":1998,"month":12},"accessed":{"year":2012,"month":3,"day":6},"page-first":"1371"}}],"schema":"https://github.com/citation-style-language/schema/raw/master/csl-citation.json"} </w:instrText>
      </w:r>
      <w:r w:rsidRPr="00C521B3">
        <w:rPr>
          <w:rFonts w:ascii="Times New Roman" w:hAnsi="Times New Roman" w:cs="Times New Roman"/>
          <w:i/>
          <w:color w:val="000000" w:themeColor="text1"/>
          <w:sz w:val="24"/>
          <w:szCs w:val="24"/>
        </w:rPr>
        <w:fldChar w:fldCharType="separate"/>
      </w:r>
      <w:r w:rsidRPr="00C521B3">
        <w:rPr>
          <w:rFonts w:ascii="Times New Roman" w:hAnsi="Times New Roman" w:cs="Times New Roman"/>
          <w:color w:val="000000" w:themeColor="text1"/>
          <w:sz w:val="24"/>
        </w:rPr>
        <w:t xml:space="preserve">(Giesbrecht </w:t>
      </w:r>
      <w:r w:rsidRPr="002F5D6E">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1998)</w:t>
      </w:r>
      <w:r w:rsidRPr="00C521B3">
        <w:rPr>
          <w:rFonts w:ascii="Times New Roman" w:hAnsi="Times New Roman" w:cs="Times New Roman"/>
          <w:i/>
          <w:color w:val="000000" w:themeColor="text1"/>
          <w:sz w:val="24"/>
          <w:szCs w:val="24"/>
        </w:rPr>
        <w:fldChar w:fldCharType="end"/>
      </w:r>
      <w:r w:rsidRPr="00C521B3">
        <w:rPr>
          <w:rFonts w:ascii="Times New Roman" w:hAnsi="Times New Roman" w:cs="Times New Roman"/>
          <w:color w:val="000000" w:themeColor="text1"/>
          <w:sz w:val="24"/>
          <w:szCs w:val="24"/>
        </w:rPr>
        <w:t xml:space="preserve">. The well-defined concentric rings were lost upon extraction of proteins and secondary wall polymers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{"citationID":"fvl576e6t","properties":{"formattedCitation":"(Amako and Umeda, 1978, 1979)","plainCitation":"(Amako and Umeda, 1978, 1979)"},"citationItems":[{"id":131,"uris":["http://zotero.org/users/944474/items/KKX82EJN"],"uri":["http://zotero.org/users/944474/items/KKX82EJN"],"itemData":{"id":131,"type":"article-journal","title":"Concentric circular structure of the cell wall of Staphylococcus epidermidis revealed by the scanning electron microscope","container-title":"Journal of Electron Microscopy","page":"147-148","volume":"27","issue":"2","note":"PMID: 690561","journalAbbreviation":"J Electron Microsc (Tokyo)","author":[{"family":"Amako","given":"K"},{"family":"Umeda","given":"A"}],"issued":{"year":1978},"accessed":{"year":2012,"month":4,"day":18},"page-first":"147"}},{"id":132,"uris":["http://zotero.org/users/944474/items/TH949TC6"],"uri":["http://zotero.org/users/944474/items/TH949TC6"],"itemData":{"id":132,"type":"article-journal","title":"Regular arrangement of wall polymers in staphylococci","container-title":"Journal of General Microbiology","page":"421-424","volume":"113","issue":"2","abstract":"Concentric circular structures were observed on the newly exposed surface of the wall of Staphylococcus epidermidis and on its isolated cross-wall. These structures were removed by treatment with trichloroacetic acid. Chemical analysis revealed that after treatment with trichloroacetic acid most of the wall phosphorus was extracted but more than half of the N-acetylglucosamine remained associated with the wall. These observations suggest that polysaccharides are likely to be arranged circularly on the surface of the wall.","note":"PMID: 512637","journalAbbreviation":"J. Gen. Microbiol.","author":[{"family":"Amako","given":"K"},{"family":"Umeda","given":"A"}],"issued":{"year":1979,"month":8},"accessed":{"year":2012,"month":4,"day":18},"page-first":"421"}}],"schema":"https://github.com/citation-style-language/schema/raw/master/csl-citation.json"}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(Amako and Umeda, 1978, 1979)</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Instead, a smooth system of</w:t>
      </w:r>
    </w:p>
    <w:p w:rsidR="00BC7652" w:rsidRDefault="00BC7652" w:rsidP="00BC7652">
      <w:pPr>
        <w:spacing w:line="480" w:lineRule="auto"/>
        <w:jc w:val="both"/>
        <w:rPr>
          <w:rFonts w:ascii="Times New Roman" w:hAnsi="Times New Roman" w:cs="Times New Roman"/>
          <w:sz w:val="24"/>
          <w:szCs w:val="24"/>
        </w:rPr>
        <w:sectPr w:rsidR="00BC7652" w:rsidSect="006C5A4E">
          <w:type w:val="continuous"/>
          <w:pgSz w:w="11906" w:h="16838"/>
          <w:pgMar w:top="1440" w:right="1134" w:bottom="1440" w:left="2268" w:header="708" w:footer="708" w:gutter="0"/>
          <w:cols w:space="708"/>
          <w:docGrid w:linePitch="360"/>
        </w:sectPr>
      </w:pPr>
    </w:p>
    <w:tbl>
      <w:tblPr>
        <w:tblStyle w:val="TableGrid"/>
        <w:tblW w:w="84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085"/>
        <w:gridCol w:w="1134"/>
        <w:gridCol w:w="4253"/>
      </w:tblGrid>
      <w:tr w:rsidR="00BC7652" w:rsidTr="006C5A4E">
        <w:trPr>
          <w:trHeight w:val="3970"/>
        </w:trPr>
        <w:tc>
          <w:tcPr>
            <w:tcW w:w="4219" w:type="dxa"/>
            <w:gridSpan w:val="2"/>
          </w:tcPr>
          <w:p w:rsidR="00BC7652" w:rsidRDefault="00BC7652" w:rsidP="006C5A4E">
            <w:pPr>
              <w:rPr>
                <w:rFonts w:ascii="Times New Roman" w:hAnsi="Times New Roman" w:cs="Times New Roman"/>
                <w:sz w:val="28"/>
                <w:szCs w:val="28"/>
              </w:rPr>
            </w:pPr>
            <w:r w:rsidRPr="008B3E26">
              <w:rPr>
                <w:rFonts w:ascii="Times New Roman" w:hAnsi="Times New Roman" w:cs="Times New Roman"/>
                <w:noProof/>
                <w:sz w:val="28"/>
                <w:szCs w:val="28"/>
                <w:lang w:eastAsia="en-GB"/>
              </w:rPr>
              <w:lastRenderedPageBreak/>
              <w:drawing>
                <wp:inline distT="0" distB="0" distL="0" distR="0">
                  <wp:extent cx="223321" cy="231354"/>
                  <wp:effectExtent l="19050" t="0" r="0" b="0"/>
                  <wp:docPr id="26" name="Picture 13" descr="Bacillus subtilis archite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illus subtilis architecture.png"/>
                          <pic:cNvPicPr/>
                        </pic:nvPicPr>
                        <pic:blipFill>
                          <a:blip r:embed="rId25" cstate="print"/>
                          <a:srcRect r="94310" b="96053"/>
                          <a:stretch>
                            <a:fillRect/>
                          </a:stretch>
                        </pic:blipFill>
                        <pic:spPr>
                          <a:xfrm>
                            <a:off x="0" y="0"/>
                            <a:ext cx="223321" cy="231354"/>
                          </a:xfrm>
                          <a:prstGeom prst="rect">
                            <a:avLst/>
                          </a:prstGeom>
                        </pic:spPr>
                      </pic:pic>
                    </a:graphicData>
                  </a:graphic>
                </wp:inline>
              </w:drawing>
            </w:r>
            <w:r w:rsidRPr="008B3E26">
              <w:rPr>
                <w:rFonts w:ascii="Times New Roman" w:hAnsi="Times New Roman" w:cs="Times New Roman"/>
                <w:noProof/>
                <w:sz w:val="28"/>
                <w:szCs w:val="28"/>
                <w:lang w:eastAsia="en-GB"/>
              </w:rPr>
              <w:drawing>
                <wp:inline distT="0" distB="0" distL="0" distR="0">
                  <wp:extent cx="2592000" cy="1875200"/>
                  <wp:effectExtent l="19050" t="0" r="0" b="0"/>
                  <wp:docPr id="27" name="Picture 13" descr="Bacillus subtilis archite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illus subtilis architecture.png"/>
                          <pic:cNvPicPr/>
                        </pic:nvPicPr>
                        <pic:blipFill>
                          <a:blip r:embed="rId25" cstate="print"/>
                          <a:srcRect l="16636" r="12631" b="65789"/>
                          <a:stretch>
                            <a:fillRect/>
                          </a:stretch>
                        </pic:blipFill>
                        <pic:spPr>
                          <a:xfrm>
                            <a:off x="0" y="0"/>
                            <a:ext cx="2592000" cy="1875200"/>
                          </a:xfrm>
                          <a:prstGeom prst="rect">
                            <a:avLst/>
                          </a:prstGeom>
                        </pic:spPr>
                      </pic:pic>
                    </a:graphicData>
                  </a:graphic>
                </wp:inline>
              </w:drawing>
            </w:r>
          </w:p>
        </w:tc>
        <w:tc>
          <w:tcPr>
            <w:tcW w:w="4253" w:type="dxa"/>
          </w:tcPr>
          <w:p w:rsidR="00BC7652" w:rsidRDefault="00BC7652" w:rsidP="006C5A4E">
            <w:pPr>
              <w:rPr>
                <w:rFonts w:ascii="Times New Roman" w:hAnsi="Times New Roman" w:cs="Times New Roman"/>
                <w:sz w:val="28"/>
                <w:szCs w:val="28"/>
              </w:rPr>
            </w:pPr>
            <w:r w:rsidRPr="008B3E26">
              <w:rPr>
                <w:rFonts w:ascii="Times New Roman" w:hAnsi="Times New Roman" w:cs="Times New Roman"/>
                <w:noProof/>
                <w:sz w:val="28"/>
                <w:szCs w:val="28"/>
                <w:lang w:eastAsia="en-GB"/>
              </w:rPr>
              <w:drawing>
                <wp:inline distT="0" distB="0" distL="0" distR="0">
                  <wp:extent cx="190500" cy="295275"/>
                  <wp:effectExtent l="19050" t="0" r="0" b="0"/>
                  <wp:docPr id="28" name="Picture 13" descr="Bacillus subtilis archite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illus subtilis architecture.png"/>
                          <pic:cNvPicPr/>
                        </pic:nvPicPr>
                        <pic:blipFill>
                          <a:blip r:embed="rId25" cstate="print"/>
                          <a:srcRect t="40790" r="95153" b="54154"/>
                          <a:stretch>
                            <a:fillRect/>
                          </a:stretch>
                        </pic:blipFill>
                        <pic:spPr>
                          <a:xfrm>
                            <a:off x="0" y="0"/>
                            <a:ext cx="190500" cy="295275"/>
                          </a:xfrm>
                          <a:prstGeom prst="rect">
                            <a:avLst/>
                          </a:prstGeom>
                        </pic:spPr>
                      </pic:pic>
                    </a:graphicData>
                  </a:graphic>
                </wp:inline>
              </w:drawing>
            </w:r>
            <w:r w:rsidRPr="008B3E26">
              <w:rPr>
                <w:rFonts w:ascii="Times New Roman" w:hAnsi="Times New Roman" w:cs="Times New Roman"/>
                <w:noProof/>
                <w:sz w:val="28"/>
                <w:szCs w:val="28"/>
                <w:lang w:eastAsia="en-GB"/>
              </w:rPr>
              <w:drawing>
                <wp:inline distT="0" distB="0" distL="0" distR="0">
                  <wp:extent cx="2684067" cy="1875600"/>
                  <wp:effectExtent l="0" t="0" r="1983" b="0"/>
                  <wp:docPr id="42" name="Picture 13" descr="Bacillus subtilis archite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illus subtilis architecture.png"/>
                          <pic:cNvPicPr/>
                        </pic:nvPicPr>
                        <pic:blipFill>
                          <a:blip r:embed="rId25" cstate="print"/>
                          <a:srcRect l="7271" t="40790" r="45471" b="37030"/>
                          <a:stretch>
                            <a:fillRect/>
                          </a:stretch>
                        </pic:blipFill>
                        <pic:spPr>
                          <a:xfrm>
                            <a:off x="0" y="0"/>
                            <a:ext cx="2684067" cy="1875600"/>
                          </a:xfrm>
                          <a:prstGeom prst="rect">
                            <a:avLst/>
                          </a:prstGeom>
                        </pic:spPr>
                      </pic:pic>
                    </a:graphicData>
                  </a:graphic>
                </wp:inline>
              </w:drawing>
            </w:r>
          </w:p>
        </w:tc>
      </w:tr>
      <w:tr w:rsidR="00BC7652" w:rsidTr="006C5A4E">
        <w:tc>
          <w:tcPr>
            <w:tcW w:w="3085" w:type="dxa"/>
          </w:tcPr>
          <w:p w:rsidR="00BC7652" w:rsidRDefault="00BC7652" w:rsidP="006C5A4E">
            <w:pPr>
              <w:ind w:right="660"/>
              <w:rPr>
                <w:rFonts w:ascii="Times New Roman" w:hAnsi="Times New Roman" w:cs="Times New Roman"/>
                <w:sz w:val="28"/>
                <w:szCs w:val="28"/>
              </w:rPr>
            </w:pPr>
            <w:r w:rsidRPr="008B3E26">
              <w:rPr>
                <w:rFonts w:ascii="Times New Roman" w:hAnsi="Times New Roman" w:cs="Times New Roman"/>
                <w:noProof/>
                <w:sz w:val="28"/>
                <w:szCs w:val="28"/>
                <w:lang w:eastAsia="en-GB"/>
              </w:rPr>
              <w:drawing>
                <wp:inline distT="0" distB="0" distL="0" distR="0">
                  <wp:extent cx="238125" cy="304800"/>
                  <wp:effectExtent l="0" t="0" r="9525" b="0"/>
                  <wp:docPr id="45" name="Picture 13" descr="Bacillus subtilis archite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illus subtilis architecture.png"/>
                          <pic:cNvPicPr/>
                        </pic:nvPicPr>
                        <pic:blipFill>
                          <a:blip r:embed="rId25" cstate="print"/>
                          <a:srcRect l="57897" t="40790" r="36037" b="54002"/>
                          <a:stretch>
                            <a:fillRect/>
                          </a:stretch>
                        </pic:blipFill>
                        <pic:spPr>
                          <a:xfrm>
                            <a:off x="0" y="0"/>
                            <a:ext cx="238125" cy="304800"/>
                          </a:xfrm>
                          <a:prstGeom prst="rect">
                            <a:avLst/>
                          </a:prstGeom>
                        </pic:spPr>
                      </pic:pic>
                    </a:graphicData>
                  </a:graphic>
                </wp:inline>
              </w:drawing>
            </w:r>
            <w:r w:rsidRPr="008B3E26">
              <w:rPr>
                <w:rFonts w:ascii="Times New Roman" w:hAnsi="Times New Roman" w:cs="Times New Roman"/>
                <w:noProof/>
                <w:sz w:val="28"/>
                <w:szCs w:val="28"/>
                <w:lang w:eastAsia="en-GB"/>
              </w:rPr>
              <w:drawing>
                <wp:inline distT="0" distB="0" distL="0" distR="0">
                  <wp:extent cx="1850465" cy="1626920"/>
                  <wp:effectExtent l="0" t="0" r="0" b="0"/>
                  <wp:docPr id="46" name="Picture 13" descr="Bacillus subtilis archite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illus subtilis architecture.png"/>
                          <pic:cNvPicPr/>
                        </pic:nvPicPr>
                        <pic:blipFill>
                          <a:blip r:embed="rId25" cstate="print"/>
                          <a:srcRect l="63963" t="40790" b="37891"/>
                          <a:stretch>
                            <a:fillRect/>
                          </a:stretch>
                        </pic:blipFill>
                        <pic:spPr>
                          <a:xfrm>
                            <a:off x="0" y="0"/>
                            <a:ext cx="1859035" cy="1634455"/>
                          </a:xfrm>
                          <a:prstGeom prst="rect">
                            <a:avLst/>
                          </a:prstGeom>
                        </pic:spPr>
                      </pic:pic>
                    </a:graphicData>
                  </a:graphic>
                </wp:inline>
              </w:drawing>
            </w:r>
          </w:p>
        </w:tc>
        <w:tc>
          <w:tcPr>
            <w:tcW w:w="5387" w:type="dxa"/>
            <w:gridSpan w:val="2"/>
          </w:tcPr>
          <w:p w:rsidR="00BC7652" w:rsidRDefault="00BC7652" w:rsidP="006C5A4E">
            <w:pPr>
              <w:rPr>
                <w:rFonts w:ascii="Times New Roman" w:hAnsi="Times New Roman" w:cs="Times New Roman"/>
                <w:sz w:val="28"/>
                <w:szCs w:val="28"/>
              </w:rPr>
            </w:pPr>
            <w:r w:rsidRPr="006C4429">
              <w:rPr>
                <w:rFonts w:ascii="Times New Roman" w:hAnsi="Times New Roman" w:cs="Times New Roman"/>
                <w:noProof/>
                <w:sz w:val="28"/>
                <w:szCs w:val="28"/>
                <w:lang w:eastAsia="en-GB"/>
              </w:rPr>
              <w:drawing>
                <wp:inline distT="0" distB="0" distL="0" distR="0">
                  <wp:extent cx="190500" cy="285750"/>
                  <wp:effectExtent l="19050" t="0" r="0" b="0"/>
                  <wp:docPr id="47" name="Picture 13" descr="Bacillus subtilis archite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illus subtilis architecture.png"/>
                          <pic:cNvPicPr/>
                        </pic:nvPicPr>
                        <pic:blipFill>
                          <a:blip r:embed="rId25" cstate="print"/>
                          <a:srcRect t="67873" r="95146" b="27259"/>
                          <a:stretch>
                            <a:fillRect/>
                          </a:stretch>
                        </pic:blipFill>
                        <pic:spPr>
                          <a:xfrm>
                            <a:off x="0" y="0"/>
                            <a:ext cx="190500" cy="285750"/>
                          </a:xfrm>
                          <a:prstGeom prst="rect">
                            <a:avLst/>
                          </a:prstGeom>
                        </pic:spPr>
                      </pic:pic>
                    </a:graphicData>
                  </a:graphic>
                </wp:inline>
              </w:drawing>
            </w:r>
          </w:p>
          <w:p w:rsidR="00BC7652" w:rsidRDefault="00BC7652" w:rsidP="006C5A4E">
            <w:pPr>
              <w:jc w:val="right"/>
              <w:rPr>
                <w:rFonts w:ascii="Times New Roman" w:hAnsi="Times New Roman" w:cs="Times New Roman"/>
                <w:sz w:val="28"/>
                <w:szCs w:val="28"/>
              </w:rPr>
            </w:pPr>
            <w:r w:rsidRPr="006C4429">
              <w:rPr>
                <w:rFonts w:ascii="Times New Roman" w:hAnsi="Times New Roman" w:cs="Times New Roman"/>
                <w:noProof/>
                <w:sz w:val="28"/>
                <w:szCs w:val="28"/>
                <w:lang w:eastAsia="en-GB"/>
              </w:rPr>
              <w:drawing>
                <wp:inline distT="0" distB="0" distL="0" distR="0">
                  <wp:extent cx="3133155" cy="1733797"/>
                  <wp:effectExtent l="19050" t="0" r="0" b="0"/>
                  <wp:docPr id="50" name="Picture 13" descr="Bacillus subtilis archite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illus subtilis architecture.png"/>
                          <pic:cNvPicPr/>
                        </pic:nvPicPr>
                        <pic:blipFill>
                          <a:blip r:embed="rId25" cstate="print"/>
                          <a:srcRect l="9223" t="68036" r="4369"/>
                          <a:stretch>
                            <a:fillRect/>
                          </a:stretch>
                        </pic:blipFill>
                        <pic:spPr>
                          <a:xfrm>
                            <a:off x="0" y="0"/>
                            <a:ext cx="3137841" cy="1736390"/>
                          </a:xfrm>
                          <a:prstGeom prst="rect">
                            <a:avLst/>
                          </a:prstGeom>
                        </pic:spPr>
                      </pic:pic>
                    </a:graphicData>
                  </a:graphic>
                </wp:inline>
              </w:drawing>
            </w:r>
          </w:p>
        </w:tc>
      </w:tr>
    </w:tbl>
    <w:p w:rsidR="00BC7652" w:rsidRDefault="00BC7652" w:rsidP="00BC7652">
      <w:pPr>
        <w:rPr>
          <w:rFonts w:ascii="Times New Roman" w:hAnsi="Times New Roman" w:cs="Times New Roman"/>
          <w:sz w:val="28"/>
          <w:szCs w:val="28"/>
        </w:rPr>
      </w:pPr>
    </w:p>
    <w:p w:rsidR="00BC7652" w:rsidRDefault="00BC7652" w:rsidP="00BC7652">
      <w:pPr>
        <w:spacing w:line="360" w:lineRule="auto"/>
        <w:jc w:val="both"/>
        <w:rPr>
          <w:rFonts w:ascii="Times New Roman" w:hAnsi="Times New Roman" w:cs="Times New Roman"/>
          <w:sz w:val="24"/>
          <w:szCs w:val="24"/>
        </w:rPr>
      </w:pPr>
      <w:proofErr w:type="gramStart"/>
      <w:r w:rsidRPr="000E7C3E">
        <w:rPr>
          <w:rFonts w:ascii="Times New Roman" w:hAnsi="Times New Roman" w:cs="Times New Roman"/>
          <w:b/>
          <w:color w:val="000000"/>
          <w:sz w:val="24"/>
          <w:szCs w:val="24"/>
        </w:rPr>
        <w:t>Figure 1.</w:t>
      </w:r>
      <w:r>
        <w:rPr>
          <w:rFonts w:ascii="Times New Roman" w:hAnsi="Times New Roman" w:cs="Times New Roman"/>
          <w:b/>
          <w:color w:val="000000"/>
          <w:sz w:val="24"/>
          <w:szCs w:val="24"/>
        </w:rPr>
        <w:t>13</w:t>
      </w:r>
      <w:r w:rsidRPr="000E7C3E">
        <w:rPr>
          <w:rFonts w:ascii="Times New Roman" w:hAnsi="Times New Roman" w:cs="Times New Roman"/>
          <w:b/>
          <w:color w:val="000000"/>
          <w:sz w:val="24"/>
          <w:szCs w:val="24"/>
        </w:rPr>
        <w:t>.</w:t>
      </w:r>
      <w:proofErr w:type="gramEnd"/>
      <w:r w:rsidRPr="000E7C3E">
        <w:rPr>
          <w:rFonts w:ascii="Times New Roman" w:hAnsi="Times New Roman" w:cs="Times New Roman"/>
          <w:b/>
          <w:color w:val="000000"/>
          <w:sz w:val="24"/>
          <w:szCs w:val="24"/>
        </w:rPr>
        <w:t xml:space="preserve"> </w:t>
      </w:r>
      <w:proofErr w:type="gramStart"/>
      <w:r w:rsidRPr="000E7C3E">
        <w:rPr>
          <w:rFonts w:ascii="Times New Roman" w:hAnsi="Times New Roman" w:cs="Times New Roman"/>
          <w:b/>
          <w:color w:val="000000"/>
          <w:sz w:val="24"/>
          <w:szCs w:val="24"/>
        </w:rPr>
        <w:t xml:space="preserve">Proposed peptidoglycan architecture of </w:t>
      </w:r>
      <w:r w:rsidRPr="000E7C3E">
        <w:rPr>
          <w:rFonts w:ascii="Times New Roman" w:hAnsi="Times New Roman" w:cs="Times New Roman"/>
          <w:b/>
          <w:i/>
          <w:color w:val="000000"/>
          <w:sz w:val="24"/>
          <w:szCs w:val="24"/>
        </w:rPr>
        <w:t>B. subtilis</w:t>
      </w:r>
      <w:r w:rsidRPr="000E7C3E">
        <w:rPr>
          <w:rFonts w:ascii="Times New Roman" w:hAnsi="Times New Roman" w:cs="Times New Roman"/>
          <w:b/>
          <w:color w:val="000000"/>
          <w:sz w:val="24"/>
          <w:szCs w:val="24"/>
        </w:rPr>
        <w:t>.</w:t>
      </w:r>
      <w:proofErr w:type="gramEnd"/>
      <w:r>
        <w:rPr>
          <w:rFonts w:ascii="Times New Roman" w:hAnsi="Times New Roman" w:cs="Times New Roman"/>
          <w:color w:val="000000"/>
          <w:sz w:val="24"/>
          <w:szCs w:val="24"/>
        </w:rPr>
        <w:t xml:space="preserve"> (A) AFM height (H) and phase (P) images showing cabled architecture on the inner cylinder surface of </w:t>
      </w:r>
      <w:r>
        <w:rPr>
          <w:rFonts w:ascii="Times New Roman" w:hAnsi="Times New Roman" w:cs="Times New Roman"/>
          <w:i/>
          <w:color w:val="000000"/>
          <w:sz w:val="24"/>
          <w:szCs w:val="24"/>
        </w:rPr>
        <w:t>B</w:t>
      </w:r>
      <w:r w:rsidRPr="000E7C3E">
        <w:rPr>
          <w:rFonts w:ascii="Times New Roman" w:hAnsi="Times New Roman" w:cs="Times New Roman"/>
          <w:i/>
          <w:color w:val="000000"/>
          <w:sz w:val="24"/>
          <w:szCs w:val="24"/>
        </w:rPr>
        <w:t>. subtilis</w:t>
      </w:r>
      <w:r>
        <w:rPr>
          <w:rFonts w:ascii="Times New Roman" w:hAnsi="Times New Roman" w:cs="Times New Roman"/>
          <w:color w:val="000000"/>
          <w:sz w:val="24"/>
          <w:szCs w:val="24"/>
        </w:rPr>
        <w:t xml:space="preserve"> sacculi. </w:t>
      </w:r>
      <w:proofErr w:type="gramStart"/>
      <w:r>
        <w:rPr>
          <w:rFonts w:ascii="Times New Roman" w:hAnsi="Times New Roman" w:cs="Times New Roman"/>
          <w:color w:val="000000"/>
          <w:sz w:val="24"/>
          <w:szCs w:val="24"/>
        </w:rPr>
        <w:t>I, inner surface; O, outer surface.</w:t>
      </w:r>
      <w:proofErr w:type="gramEnd"/>
      <w:r>
        <w:rPr>
          <w:rFonts w:ascii="Times New Roman" w:hAnsi="Times New Roman" w:cs="Times New Roman"/>
          <w:color w:val="000000"/>
          <w:sz w:val="24"/>
          <w:szCs w:val="24"/>
        </w:rPr>
        <w:t xml:space="preserve"> (B) AFM height image showing long glycan strands. (C) AFM phase image showing a completed septum with spiral architecture and cross striations. (D) Model of proposed </w:t>
      </w:r>
      <w:r>
        <w:rPr>
          <w:rFonts w:ascii="Times New Roman" w:hAnsi="Times New Roman" w:cs="Times New Roman"/>
          <w:i/>
          <w:color w:val="000000"/>
          <w:sz w:val="24"/>
          <w:szCs w:val="24"/>
        </w:rPr>
        <w:t xml:space="preserve">B. subtilis </w:t>
      </w:r>
      <w:r>
        <w:rPr>
          <w:rFonts w:ascii="Times New Roman" w:hAnsi="Times New Roman" w:cs="Times New Roman"/>
          <w:color w:val="000000"/>
          <w:sz w:val="24"/>
          <w:szCs w:val="24"/>
        </w:rPr>
        <w:t xml:space="preserve">peptidoglycan architecture.The cylinder wall comprises coiled cables of peptidoglycan running around the circumference of the cell in the plane of the cell membrane. </w:t>
      </w:r>
      <w:r w:rsidRPr="000E7C3E">
        <w:rPr>
          <w:rFonts w:ascii="Times New Roman" w:hAnsi="Times New Roman" w:cs="Times New Roman"/>
          <w:color w:val="000000"/>
          <w:sz w:val="24"/>
          <w:szCs w:val="24"/>
        </w:rPr>
        <w:t>Scale</w:t>
      </w:r>
      <w:r>
        <w:rPr>
          <w:rFonts w:ascii="Times New Roman" w:hAnsi="Times New Roman" w:cs="Times New Roman"/>
          <w:color w:val="000000"/>
          <w:sz w:val="24"/>
          <w:szCs w:val="24"/>
        </w:rPr>
        <w:t xml:space="preserve"> bars: (B) 1µm; (C) 500 nm; (D) 1µm. </w:t>
      </w:r>
      <w:r w:rsidRPr="00C521B3">
        <w:rPr>
          <w:rFonts w:ascii="Times New Roman" w:hAnsi="Times New Roman" w:cs="Times New Roman"/>
          <w:color w:val="000000" w:themeColor="text1"/>
          <w:sz w:val="24"/>
          <w:szCs w:val="24"/>
        </w:rPr>
        <w:t xml:space="preserve">Adapted from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{"citationID":"25peqvcsf9","properties":{"formattedCitation":"(Hayhurst et al., 2008)","plainCitation":"(Hayhurst et al., 2008)"},"citationItems":[{"id":77,"uris":["http://zotero.org/users/944474/items/Z6IUFDEB"],"uri":["http://zotero.org/users/944474/items/Z6IUFDEB"],"itemData":{"id":77,"type":"article-journal","title":"Cell wall peptidoglycan architecture in Bacillus subtilis","container-title":"Proceedings of the National Academy of Sciences of the United States of America","page":"14603-14608","volume":"105","issue":"38","abstract":"The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polymer.","DOI":"10.1073/pnas.0804138105","note":"PMID: 18784364","journalAbbreviation":"Proc. Natl. Acad. Sci. U.S.A.","author":[{"family":"Hayhurst","given":"Emma J"},{"family":"Kailas","given":"Lekshmi"},{"family":"Hobbs","given":"Jamie K"},{"family":"Foster","given":"Simon J"}],"issued":{"year":2008,"month":9,"day":23},"accessed":{"year":2012,"month":3,"day":7},"page-first":"14603"}}],"schema":"https://github.com/citation-style-language/schema/raw/master/csl-citation.json"}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szCs w:val="24"/>
        </w:rPr>
        <w:t xml:space="preserve">(Hayhurst </w:t>
      </w:r>
      <w:r w:rsidRPr="002F5D6E">
        <w:rPr>
          <w:rFonts w:ascii="Times New Roman" w:hAnsi="Times New Roman" w:cs="Times New Roman"/>
          <w:i/>
          <w:color w:val="000000" w:themeColor="text1"/>
          <w:sz w:val="24"/>
          <w:szCs w:val="24"/>
        </w:rPr>
        <w:t>et al</w:t>
      </w:r>
      <w:r w:rsidRPr="00C521B3">
        <w:rPr>
          <w:rFonts w:ascii="Times New Roman" w:hAnsi="Times New Roman" w:cs="Times New Roman"/>
          <w:color w:val="000000" w:themeColor="text1"/>
          <w:sz w:val="24"/>
          <w:szCs w:val="24"/>
        </w:rPr>
        <w:t>., 2008)</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w:t>
      </w:r>
      <w:r w:rsidRPr="00C521B3">
        <w:rPr>
          <w:rFonts w:ascii="Times New Roman" w:hAnsi="Times New Roman" w:cs="Times New Roman"/>
          <w:color w:val="000000" w:themeColor="text1"/>
          <w:sz w:val="24"/>
          <w:szCs w:val="24"/>
        </w:rPr>
        <w:tab/>
      </w:r>
      <w:r w:rsidRPr="000E7C3E">
        <w:rPr>
          <w:rFonts w:ascii="Times New Roman" w:hAnsi="Times New Roman" w:cs="Times New Roman"/>
          <w:color w:val="000000"/>
          <w:sz w:val="24"/>
          <w:szCs w:val="24"/>
        </w:rPr>
        <w:br w:type="page"/>
      </w:r>
      <w:r>
        <w:rPr>
          <w:rFonts w:ascii="Times New Roman" w:hAnsi="Times New Roman" w:cs="Times New Roman"/>
          <w:noProof/>
          <w:sz w:val="24"/>
          <w:szCs w:val="24"/>
          <w:lang w:eastAsia="en-GB"/>
        </w:rPr>
        <w:lastRenderedPageBreak/>
        <w:drawing>
          <wp:inline distT="0" distB="0" distL="0" distR="0">
            <wp:extent cx="5277600" cy="5052768"/>
            <wp:effectExtent l="19050" t="0" r="0" b="0"/>
            <wp:docPr id="58" name="Picture 2" descr="Coccus division planes archite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ccus division planes architecture.jpg"/>
                    <pic:cNvPicPr/>
                  </pic:nvPicPr>
                  <pic:blipFill>
                    <a:blip r:embed="rId26" cstate="print"/>
                    <a:stretch>
                      <a:fillRect/>
                    </a:stretch>
                  </pic:blipFill>
                  <pic:spPr>
                    <a:xfrm>
                      <a:off x="0" y="0"/>
                      <a:ext cx="5277600" cy="5052768"/>
                    </a:xfrm>
                    <a:prstGeom prst="rect">
                      <a:avLst/>
                    </a:prstGeom>
                  </pic:spPr>
                </pic:pic>
              </a:graphicData>
            </a:graphic>
          </wp:inline>
        </w:drawing>
      </w:r>
    </w:p>
    <w:p w:rsidR="00BC7652" w:rsidRDefault="00BC7652" w:rsidP="00BC7652">
      <w:pPr>
        <w:spacing w:line="360" w:lineRule="auto"/>
        <w:jc w:val="both"/>
        <w:rPr>
          <w:rFonts w:ascii="Times New Roman" w:hAnsi="Times New Roman" w:cs="Times New Roman"/>
          <w:sz w:val="24"/>
          <w:szCs w:val="24"/>
        </w:rPr>
      </w:pPr>
      <w:proofErr w:type="gramStart"/>
      <w:r w:rsidRPr="00432668">
        <w:rPr>
          <w:rFonts w:ascii="Times New Roman" w:hAnsi="Times New Roman" w:cs="Times New Roman"/>
          <w:b/>
          <w:sz w:val="24"/>
          <w:szCs w:val="24"/>
        </w:rPr>
        <w:t>Figure 1.14.</w:t>
      </w:r>
      <w:proofErr w:type="gramEnd"/>
      <w:r w:rsidRPr="00432668">
        <w:rPr>
          <w:rFonts w:ascii="Times New Roman" w:hAnsi="Times New Roman" w:cs="Times New Roman"/>
          <w:b/>
          <w:sz w:val="24"/>
          <w:szCs w:val="24"/>
        </w:rPr>
        <w:t xml:space="preserve"> </w:t>
      </w:r>
      <w:proofErr w:type="gramStart"/>
      <w:r w:rsidRPr="00432668">
        <w:rPr>
          <w:rFonts w:ascii="Times New Roman" w:hAnsi="Times New Roman" w:cs="Times New Roman"/>
          <w:b/>
          <w:sz w:val="24"/>
          <w:szCs w:val="24"/>
        </w:rPr>
        <w:t>Relative orientation of cell wall hemispheres produced by division on orthogonal planes.</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A, Relative orientation of the cell wall after one division.</w:t>
      </w:r>
      <w:proofErr w:type="gramEnd"/>
      <w:r>
        <w:rPr>
          <w:rFonts w:ascii="Times New Roman" w:hAnsi="Times New Roman" w:cs="Times New Roman"/>
          <w:sz w:val="24"/>
          <w:szCs w:val="24"/>
        </w:rPr>
        <w:t xml:space="preserve"> B, </w:t>
      </w:r>
      <w:proofErr w:type="gramStart"/>
      <w:r>
        <w:rPr>
          <w:rFonts w:ascii="Times New Roman" w:hAnsi="Times New Roman" w:cs="Times New Roman"/>
          <w:sz w:val="24"/>
          <w:szCs w:val="24"/>
        </w:rPr>
        <w:t>After</w:t>
      </w:r>
      <w:proofErr w:type="gramEnd"/>
      <w:r>
        <w:rPr>
          <w:rFonts w:ascii="Times New Roman" w:hAnsi="Times New Roman" w:cs="Times New Roman"/>
          <w:sz w:val="24"/>
          <w:szCs w:val="24"/>
        </w:rPr>
        <w:t xml:space="preserve"> two rounds of cell division, the new cell wall hemisphere is reoriented by 90°. </w:t>
      </w:r>
      <w:proofErr w:type="gramStart"/>
      <w:r>
        <w:rPr>
          <w:rFonts w:ascii="Times New Roman" w:hAnsi="Times New Roman" w:cs="Times New Roman"/>
          <w:sz w:val="24"/>
          <w:szCs w:val="24"/>
        </w:rPr>
        <w:t xml:space="preserve">C, The </w:t>
      </w:r>
      <w:r w:rsidRPr="00C521B3">
        <w:rPr>
          <w:rFonts w:ascii="Times New Roman" w:hAnsi="Times New Roman" w:cs="Times New Roman"/>
          <w:color w:val="000000" w:themeColor="text1"/>
          <w:sz w:val="24"/>
          <w:szCs w:val="24"/>
        </w:rPr>
        <w:t>relative orientation of the cell wall after three rounds of division.</w:t>
      </w:r>
      <w:proofErr w:type="gramEnd"/>
      <w:r w:rsidRPr="00C521B3">
        <w:rPr>
          <w:rFonts w:ascii="Times New Roman" w:hAnsi="Times New Roman" w:cs="Times New Roman"/>
          <w:color w:val="000000" w:themeColor="text1"/>
          <w:sz w:val="24"/>
          <w:szCs w:val="24"/>
        </w:rPr>
        <w:t xml:space="preserve"> The fourth division will occur on the same plane as in (A). D, Black lines indicate the planes of division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{"citationID":"1cqi67ms18","properties":{"formattedCitation":"(Dmitriev et al., 2004)","plainCitation":"(Dmitriev et al., 2004)"},"citationItems":[{"id":105,"uris":["http://zotero.org/users/944474/items/TJQSNHHI"],"uri":["http://zotero.org/users/944474/items/TJQSNHHI"],"itemData":{"id":105,"type":"article-journal","title":"Tertiary structure of Staphylococcus aureus cell wall murein","container-title":"Journal of Bacteriology","page":"7141-7148","volume":"186","issue":"21","abstract":"The recently described scaffold model of murein architecture depicts the gram-negative bacterial cell wall as a gel-like matrix composed of cross-linked glycan strands oriented perpendicularly to the plasma membrane while peptide bridges adopt a parallel orientation (B. A. Dmitriev, F. V. Toukach, K. J. Schaper, O. Holst, E. T. Rietschel, and S. Ehlers, J. Bacteriol. 185:3458-3468, 2003). Based on the scaffold model, we now present computer simulation studies on the peptidoglycan arrangement of the gram-positive organism Staphylococcus aureus, which show that the orientation of peptide bridges is critical for the highly cross-linked murein architecture of this microorganism. According to the proposed refined model, staphylococcal murein is composed of glycan and oligopeptide chains, both running in a plane that is perpendicular to the plasma membrane, with oligopeptide chains adopting a zigzag conformation and zippering adjacent glycan strands along their lengths. In contrast to previous models of murein in gram-positive bacteria, this model reflects the high degree of cross-linking that is the hallmark of the staphylococcal cell wall and is compatible with distinguishing features of S. aureus cytokinesis such as the triple consecutive alteration of the division plane orientation and the strictly centripetal mode of septum closure.","DOI":"10.1128/JB.186.21.7141-7148.2004","note":"PMID: 15489425","journalAbbreviation":"J. Bacteriol.","author":[{"family":"Dmitriev","given":"Boris A"},{"family":"Toukach","given":"Filip V"},{"family":"Holst","given":"O"},{"family":"Rietschel","given":"E T"},{"family":"Ehlers","given":"S"}],"issued":{"year":2004,"month":11},"accessed":{"year":2012,"month":4,"day":2},"page-first":"7141"}}],"schema":"https://github.com/citation-style-language/schema/raw/master/csl-citation.json"}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 xml:space="preserve">(Dmitriev </w:t>
      </w:r>
      <w:r w:rsidRPr="002F5D6E">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2004)</w:t>
      </w:r>
      <w:r w:rsidRPr="00C521B3">
        <w:rPr>
          <w:rFonts w:ascii="Times New Roman" w:hAnsi="Times New Roman" w:cs="Times New Roman"/>
          <w:color w:val="000000" w:themeColor="text1"/>
          <w:sz w:val="24"/>
          <w:szCs w:val="24"/>
        </w:rPr>
        <w:fldChar w:fldCharType="end"/>
      </w:r>
      <w:r>
        <w:rPr>
          <w:rFonts w:ascii="Times New Roman" w:hAnsi="Times New Roman" w:cs="Times New Roman"/>
          <w:sz w:val="24"/>
          <w:szCs w:val="24"/>
        </w:rPr>
        <w:t>.</w:t>
      </w:r>
      <w:r>
        <w:rPr>
          <w:rFonts w:ascii="Times New Roman" w:hAnsi="Times New Roman" w:cs="Times New Roman"/>
          <w:sz w:val="24"/>
          <w:szCs w:val="24"/>
        </w:rPr>
        <w:br w:type="page"/>
      </w:r>
    </w:p>
    <w:p w:rsidR="00BC7652" w:rsidRPr="00C521B3" w:rsidRDefault="00BC7652" w:rsidP="00BC7652">
      <w:pPr>
        <w:spacing w:line="480" w:lineRule="auto"/>
        <w:jc w:val="both"/>
        <w:rPr>
          <w:rFonts w:ascii="Times New Roman" w:hAnsi="Times New Roman" w:cs="Times New Roman"/>
          <w:color w:val="000000" w:themeColor="text1"/>
          <w:sz w:val="24"/>
          <w:szCs w:val="24"/>
        </w:rPr>
      </w:pPr>
      <w:proofErr w:type="gramStart"/>
      <w:r>
        <w:rPr>
          <w:rFonts w:ascii="Times New Roman" w:hAnsi="Times New Roman" w:cs="Times New Roman"/>
          <w:sz w:val="24"/>
          <w:szCs w:val="24"/>
        </w:rPr>
        <w:lastRenderedPageBreak/>
        <w:t>concentric</w:t>
      </w:r>
      <w:proofErr w:type="gramEnd"/>
      <w:r>
        <w:rPr>
          <w:rFonts w:ascii="Times New Roman" w:hAnsi="Times New Roman" w:cs="Times New Roman"/>
          <w:sz w:val="24"/>
          <w:szCs w:val="24"/>
        </w:rPr>
        <w:t xml:space="preserve"> rings was</w:t>
      </w:r>
      <w:r w:rsidRPr="00C521B3">
        <w:rPr>
          <w:rFonts w:ascii="Times New Roman" w:hAnsi="Times New Roman" w:cs="Times New Roman"/>
          <w:color w:val="000000" w:themeColor="text1"/>
          <w:sz w:val="24"/>
          <w:szCs w:val="24"/>
        </w:rPr>
        <w:t xml:space="preserve"> observed, which was susceptible to lysozyme treatment. A centripetal orientation of the glycan strands at nascent cell walls was proposed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{"citationID":"16jjbso29e","properties":{"formattedCitation":"(Amako et al., 1982)","plainCitation":"(Amako et al., 1982)"},"citationItems":[{"id":43,"uris":["http://zotero.org/users/944474/items/P9M47BKB"],"uri":["http://zotero.org/users/944474/items/P9M47BKB"],"itemData":{"id":43,"type":"article-journal","title":"Arrangement of peptidoglycan in the cell wall of Staphylococcus spp","container-title":"Journal of Bacteriology","page":"844-850","volume":"150","issue":"2","abstract":"The arrangement of peptidoglycan in the cell wall of Staphylococcus was observed with the newly developed freeze-fracture technique, using n-octanol instead of water as the freezing medium. The replica of the trichloroacetic acid-extracted cell wall (TCA-wall) showed two areas. One of them has a concentric circular structure, a characteristic surface structure of the staphylococcal cell wall, and the other showed an irregular and rough surface. The chemical analysis of the wall revealed that the TCA-wall consisted of mostly peptidoglycan. By digesting the TCA-wall with lysozyme, the circular structures were greatly disturbed, and they disappeared after 60 min of treatment. From these observations it can be expected that the peptidoglycan is arranged in a concentric circular manner in the newly generated cell wall of Staphylococcus.","note":"PMID: 7068534","journalAbbreviation":"J. Bacteriol.","author":[{"family":"Amako","given":"K"},{"family":"Umeda","given":"A"},{"family":"Murata","given":"K"}],"issued":{"year":1982,"month":5},"accessed":{"year":2012,"month":3,"day":6},"page-first":"844"}}],"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 xml:space="preserve">(Amako </w:t>
      </w:r>
      <w:r w:rsidRPr="002F5D6E">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1982)</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xml:space="preserve">. AFM of living </w:t>
      </w:r>
      <w:r w:rsidRPr="00C521B3">
        <w:rPr>
          <w:rFonts w:ascii="Times New Roman" w:hAnsi="Times New Roman" w:cs="Times New Roman"/>
          <w:i/>
          <w:color w:val="000000" w:themeColor="text1"/>
          <w:sz w:val="24"/>
          <w:szCs w:val="24"/>
        </w:rPr>
        <w:t>S. aureus</w:t>
      </w:r>
      <w:r w:rsidRPr="00C521B3">
        <w:rPr>
          <w:rFonts w:ascii="Times New Roman" w:hAnsi="Times New Roman" w:cs="Times New Roman"/>
          <w:color w:val="000000" w:themeColor="text1"/>
          <w:sz w:val="24"/>
          <w:szCs w:val="24"/>
        </w:rPr>
        <w:t xml:space="preserve"> provided high resolution images of the nascent cell wall rings, the majority of which were separated by 13-25 nm (Figure 1.15A and B;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{"citationID":"qf3c1hnqd","properties":{"formattedCitation":"(Touhami et al., 2004)","plainCitation":"(Touhami et al., 2004)"},"citationItems":[{"id":147,"uris":["http://zotero.org/users/944474/items/H8B2DIMV"],"uri":["http://zotero.org/users/944474/items/H8B2DIMV"],"itemData":{"id":147,"type":"article-journal","title":"Atomic force microscopy of cell growth and division in Staphylococcus aureus","container-title":"Journal of Bacteriology","page":"3286-3295","volume":"186","issue":"11","abstract":"The growth and division of Staphylococcus aureus was monitored by atomic force microscopy (AFM) and thin-section transmission electron microscopy (TEM). A good correlation of the structural events of division was found using the two microscopies, and AFM was able to provide new additional information. AFM was performed under water, ensuring that all structures were in the hydrated condition. Sequential images on the same structure revealed progressive changes to surfaces, suggesting the cells were growing while images were being taken. Using AFM small depressions were seen around the septal annulus at the onset of division that could be attributed to so-called murosomes (Giesbrecht et al., Arch. Microbiol. 141:315-324, 1985). The new cell wall formed from the cross wall (i.e., completed septum) after cell separation and possessed concentric surface rings and a central depression; these structures could be correlated to a midline of reactive material in the developing septum that was seen by TEM. The older wall, that which was not derived from a newly formed cross wall, was partitioned into two different surface zones, smooth and gel-like zones, with different adhesive properties that could be attributed to cell wall turnover. The new and old wall topographies are equated to possible peptidoglycan arrangements, but no conclusion can be made regarding the planar or scaffolding models.","DOI":"10.1128/JB.186.11.3286-3295.2004","note":"PMID: 15150213","journalAbbreviation":"J. Bacteriol.","author":[{"family":"Touhami","given":"Ahmed"},{"family":"Jericho","given":"Manfred H"},{"family":"Beveridge","given":"Terry J"}],"issued":{"year":2004,"month":6},"accessed":{"year":2012,"month":4,"day":22},"page-first":"3286"}}],"schema":"https://github.com/citation-style-language/schema/raw/master/csl-citation.json"}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 xml:space="preserve">Touhami </w:t>
      </w:r>
      <w:r w:rsidRPr="002F5D6E">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2004)</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xml:space="preserve">. As crude cell walls contain a high proportion of protein material, the ring architecture could not be attributed exclusively to the peptidoglycan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{"citationID":"16d1l8p95g","properties":{"formattedCitation":"(Amako et al., 1982)","plainCitation":"(Amako et al., 1982)"},"citationItems":[{"id":43,"uris":["http://zotero.org/users/944474/items/P9M47BKB"],"uri":["http://zotero.org/users/944474/items/P9M47BKB"],"itemData":{"id":43,"type":"article-journal","title":"Arrangement of peptidoglycan in the cell wall of Staphylococcus spp","container-title":"Journal of Bacteriology","page":"844-850","volume":"150","issue":"2","abstract":"The arrangement of peptidoglycan in the cell wall of Staphylococcus was observed with the newly developed freeze-fracture technique, using n-octanol instead of water as the freezing medium. The replica of the trichloroacetic acid-extracted cell wall (TCA-wall) showed two areas. One of them has a concentric circular structure, a characteristic surface structure of the staphylococcal cell wall, and the other showed an irregular and rough surface. The chemical analysis of the wall revealed that the TCA-wall consisted of mostly peptidoglycan. By digesting the TCA-wall with lysozyme, the circular structures were greatly disturbed, and they disappeared after 60 min of treatment. From these observations it can be expected that the peptidoglycan is arranged in a concentric circular manner in the newly generated cell wall of Staphylococcus.","note":"PMID: 7068534","journalAbbreviation":"J. Bacteriol.","author":[{"family":"Amako","given":"K"},{"family":"Umeda","given":"A"},{"family":"Murata","given":"K"}],"issued":{"year":1982,"month":5},"accessed":{"year":2012,"month":3,"day":6},"page-first":"844"}}],"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 xml:space="preserve">(Amako </w:t>
      </w:r>
      <w:r w:rsidRPr="002F5D6E">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1982)</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w:t>
      </w:r>
    </w:p>
    <w:p w:rsidR="00BC7652" w:rsidRPr="00C521B3" w:rsidRDefault="00BC7652" w:rsidP="00BC7652">
      <w:pPr>
        <w:spacing w:line="480" w:lineRule="auto"/>
        <w:jc w:val="both"/>
        <w:rPr>
          <w:rFonts w:ascii="Times New Roman" w:hAnsi="Times New Roman" w:cs="Times New Roman"/>
          <w:color w:val="000000" w:themeColor="text1"/>
          <w:sz w:val="24"/>
          <w:szCs w:val="24"/>
        </w:rPr>
      </w:pPr>
    </w:p>
    <w:p w:rsidR="00BC7652" w:rsidRPr="00C521B3" w:rsidRDefault="00BC7652" w:rsidP="00BC7652">
      <w:pPr>
        <w:tabs>
          <w:tab w:val="left" w:pos="1276"/>
        </w:tabs>
        <w:spacing w:line="480" w:lineRule="auto"/>
        <w:jc w:val="both"/>
        <w:rPr>
          <w:rFonts w:ascii="Times New Roman" w:hAnsi="Times New Roman" w:cs="Times New Roman"/>
          <w:color w:val="000000" w:themeColor="text1"/>
          <w:sz w:val="28"/>
          <w:szCs w:val="28"/>
        </w:rPr>
      </w:pPr>
      <w:r w:rsidRPr="00C521B3">
        <w:rPr>
          <w:rFonts w:ascii="Times New Roman" w:hAnsi="Times New Roman" w:cs="Times New Roman"/>
          <w:color w:val="000000" w:themeColor="text1"/>
          <w:sz w:val="28"/>
          <w:szCs w:val="28"/>
        </w:rPr>
        <w:t>1.8.5.2</w:t>
      </w:r>
      <w:r w:rsidRPr="00C521B3">
        <w:rPr>
          <w:rFonts w:ascii="Times New Roman" w:hAnsi="Times New Roman" w:cs="Times New Roman"/>
          <w:color w:val="000000" w:themeColor="text1"/>
          <w:sz w:val="28"/>
          <w:szCs w:val="28"/>
        </w:rPr>
        <w:tab/>
        <w:t>Architecture of the old cell wall hemis</w:t>
      </w:r>
      <w:r>
        <w:rPr>
          <w:rFonts w:ascii="Times New Roman" w:hAnsi="Times New Roman" w:cs="Times New Roman"/>
          <w:color w:val="000000" w:themeColor="text1"/>
          <w:sz w:val="28"/>
          <w:szCs w:val="28"/>
        </w:rPr>
        <w:t>p</w:t>
      </w:r>
      <w:r w:rsidRPr="00C521B3">
        <w:rPr>
          <w:rFonts w:ascii="Times New Roman" w:hAnsi="Times New Roman" w:cs="Times New Roman"/>
          <w:color w:val="000000" w:themeColor="text1"/>
          <w:sz w:val="28"/>
          <w:szCs w:val="28"/>
        </w:rPr>
        <w:t>here</w:t>
      </w:r>
    </w:p>
    <w:p w:rsidR="00BC7652" w:rsidRDefault="00BC7652" w:rsidP="00BC7652">
      <w:pPr>
        <w:spacing w:after="120" w:line="480" w:lineRule="auto"/>
        <w:jc w:val="both"/>
        <w:rPr>
          <w:rFonts w:ascii="Times New Roman" w:hAnsi="Times New Roman" w:cs="Times New Roman"/>
          <w:sz w:val="24"/>
          <w:szCs w:val="24"/>
        </w:rPr>
      </w:pPr>
      <w:r w:rsidRPr="00C521B3">
        <w:rPr>
          <w:rFonts w:ascii="Times New Roman" w:hAnsi="Times New Roman" w:cs="Times New Roman"/>
          <w:color w:val="000000" w:themeColor="text1"/>
          <w:sz w:val="24"/>
          <w:szCs w:val="24"/>
        </w:rPr>
        <w:t xml:space="preserve">Electron microscopy analysis of the mature sacculus revealed a rough architecture with no evidence of centripetal glycan orientation. The rough architecture was hypothesised to result from hydrolytic maturation of the cell wall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{"citationID":"263k07i3cn","properties":{"formattedCitation":"(Amako et al., 1982)","plainCitation":"(Amako et al., 1982)"},"citationItems":[{"id":43,"uris":["http://zotero.org/users/944474/items/P9M47BKB"],"uri":["http://zotero.org/users/944474/items/P9M47BKB"],"itemData":{"id":43,"type":"article-journal","title":"Arrangement of peptidoglycan in the cell wall of Staphylococcus spp","container-title":"Journal of Bacteriology","page":"844-850","volume":"150","issue":"2","abstract":"The arrangement of peptidoglycan in the cell wall of Staphylococcus was observed with the newly developed freeze-fracture technique, using n-octanol instead of water as the freezing medium. The replica of the trichloroacetic acid-extracted cell wall (TCA-wall) showed two areas. One of them has a concentric circular structure, a characteristic surface structure of the staphylococcal cell wall, and the other showed an irregular and rough surface. The chemical analysis of the wall revealed that the TCA-wall consisted of mostly peptidoglycan. By digesting the TCA-wall with lysozyme, the circular structures were greatly disturbed, and they disappeared after 60 min of treatment. From these observations it can be expected that the peptidoglycan is arranged in a concentric circular manner in the newly generated cell wall of Staphylococcus.","note":"PMID: 7068534","journalAbbreviation":"J. Bacteriol.","author":[{"family":"Amako","given":"K"},{"family":"Umeda","given":"A"},{"family":"Murata","given":"K"}],"issued":{"year":1982,"month":5},"accessed":{"year":2012,"month":3,"day":6},"page-first":"844"}}],"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 xml:space="preserve">(Amako </w:t>
      </w:r>
      <w:r w:rsidRPr="002F5D6E">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1982)</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xml:space="preserve">. AFM imaging of the mature cell wall of living </w:t>
      </w:r>
      <w:r w:rsidRPr="00C521B3">
        <w:rPr>
          <w:rFonts w:ascii="Times New Roman" w:hAnsi="Times New Roman" w:cs="Times New Roman"/>
          <w:i/>
          <w:color w:val="000000" w:themeColor="text1"/>
          <w:sz w:val="24"/>
          <w:szCs w:val="24"/>
        </w:rPr>
        <w:t xml:space="preserve">S. aureus </w:t>
      </w:r>
      <w:r w:rsidRPr="00C521B3">
        <w:rPr>
          <w:rFonts w:ascii="Times New Roman" w:hAnsi="Times New Roman" w:cs="Times New Roman"/>
          <w:color w:val="000000" w:themeColor="text1"/>
          <w:sz w:val="24"/>
          <w:szCs w:val="24"/>
        </w:rPr>
        <w:t xml:space="preserve">revealed an irregular, fibrous network resembling a hydrated gel-like matrix (Figure 1.15C;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{"citationID":"2f0ogps9rv","properties":{"formattedCitation":"(Touhami et al., 2004)","plainCitation":"(Touhami et al., 2004)"},"citationItems":[{"id":147,"uris":["http://zotero.org/users/944474/items/H8B2DIMV"],"uri":["http://zotero.org/users/944474/items/H8B2DIMV"],"itemData":{"id":147,"type":"article-journal","title":"Atomic force microscopy of cell growth and division in Staphylococcus aureus","container-title":"Journal of Bacteriology","page":"3286-3295","volume":"186","issue":"11","abstract":"The growth and division of Staphylococcus aureus was monitored by atomic force microscopy (AFM) and thin-section transmission electron microscopy (TEM). A good correlation of the structural events of division was found using the two microscopies, and AFM was able to provide new additional information. AFM was performed under water, ensuring that all structures were in the hydrated condition. Sequential images on the same structure revealed progressive changes to surfaces, suggesting the cells were growing while images were being taken. Using AFM small depressions were seen around the septal annulus at the onset of division that could be attributed to so-called murosomes (Giesbrecht et al., Arch. Microbiol. 141:315-324, 1985). The new cell wall formed from the cross wall (i.e., completed septum) after cell separation and possessed concentric surface rings and a central depression; these structures could be correlated to a midline of reactive material in the developing septum that was seen by TEM. The older wall, that which was not derived from a newly formed cross wall, was partitioned into two different surface zones, smooth and gel-like zones, with different adhesive properties that could be attributed to cell wall turnover. The new and old wall topographies are equated to possible peptidoglycan arrangements, but no conclusion can be made regarding the planar or scaffolding models.","DOI":"10.1128/JB.186.11.3286-3295.2004","note":"PMID: 15150213","journalAbbreviation":"J. Bacteriol.","author":[{"family":"Touhami","given":"Ahmed"},{"family":"Jericho","given":"Manfred H"},{"family":"Beveridge","given":"Terry J"}],"issued":{"year":2004,"month":6},"accessed":{"year":2012,"month":4,"day":22},"page-first":"3286"}}],"schema":"https://github.com/citation-style-language/schema/raw/master/csl-citation.json"}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 xml:space="preserve">Touhami </w:t>
      </w:r>
      <w:r w:rsidRPr="002F5D6E">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2004)</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However, the fibre thickness was not compatible with the presence of individual glycan strands</w:t>
      </w:r>
      <w:r>
        <w:rPr>
          <w:rFonts w:ascii="Times New Roman" w:hAnsi="Times New Roman" w:cs="Times New Roman"/>
          <w:sz w:val="24"/>
          <w:szCs w:val="24"/>
        </w:rPr>
        <w:t>.</w:t>
      </w:r>
    </w:p>
    <w:p w:rsidR="00BC7652" w:rsidRDefault="00BC7652" w:rsidP="00BC7652">
      <w:pPr>
        <w:spacing w:after="120" w:line="480" w:lineRule="auto"/>
        <w:jc w:val="both"/>
        <w:rPr>
          <w:rFonts w:ascii="Times New Roman" w:hAnsi="Times New Roman" w:cs="Times New Roman"/>
          <w:sz w:val="24"/>
          <w:szCs w:val="24"/>
        </w:rPr>
      </w:pPr>
    </w:p>
    <w:p w:rsidR="00BC7652" w:rsidRPr="008B3E26" w:rsidRDefault="00BC7652" w:rsidP="00BC7652">
      <w:pPr>
        <w:tabs>
          <w:tab w:val="left" w:pos="1276"/>
        </w:tabs>
        <w:spacing w:after="120" w:line="480" w:lineRule="auto"/>
        <w:jc w:val="both"/>
        <w:rPr>
          <w:rFonts w:ascii="Times New Roman" w:hAnsi="Times New Roman" w:cs="Times New Roman"/>
          <w:sz w:val="28"/>
          <w:szCs w:val="28"/>
        </w:rPr>
      </w:pPr>
      <w:r>
        <w:rPr>
          <w:rFonts w:ascii="Times New Roman" w:hAnsi="Times New Roman" w:cs="Times New Roman"/>
          <w:sz w:val="28"/>
          <w:szCs w:val="28"/>
        </w:rPr>
        <w:t>1.8.6</w:t>
      </w:r>
      <w:r>
        <w:rPr>
          <w:rFonts w:ascii="Times New Roman" w:hAnsi="Times New Roman" w:cs="Times New Roman"/>
          <w:sz w:val="28"/>
          <w:szCs w:val="28"/>
        </w:rPr>
        <w:tab/>
      </w:r>
      <w:r w:rsidRPr="008B3E26">
        <w:rPr>
          <w:rFonts w:ascii="Times New Roman" w:hAnsi="Times New Roman" w:cs="Times New Roman"/>
          <w:sz w:val="28"/>
          <w:szCs w:val="28"/>
        </w:rPr>
        <w:t>Peptidoglycan architecture in ovocci</w:t>
      </w:r>
    </w:p>
    <w:p w:rsidR="00BC7652" w:rsidRDefault="00BC7652" w:rsidP="00BC7652">
      <w:pPr>
        <w:autoSpaceDE w:val="0"/>
        <w:autoSpaceDN w:val="0"/>
        <w:adjustRightInd w:val="0"/>
        <w:spacing w:after="120" w:line="480" w:lineRule="auto"/>
        <w:jc w:val="both"/>
        <w:rPr>
          <w:rFonts w:ascii="Times New Roman" w:hAnsi="Times New Roman" w:cs="Times New Roman"/>
          <w:sz w:val="24"/>
          <w:szCs w:val="24"/>
        </w:rPr>
        <w:sectPr w:rsidR="00BC7652" w:rsidSect="006C5A4E">
          <w:type w:val="continuous"/>
          <w:pgSz w:w="11906" w:h="16838"/>
          <w:pgMar w:top="1440" w:right="1134" w:bottom="1440" w:left="2268" w:header="708" w:footer="708" w:gutter="0"/>
          <w:cols w:space="708"/>
          <w:docGrid w:linePitch="360"/>
        </w:sectPr>
      </w:pPr>
      <w:r>
        <w:rPr>
          <w:rFonts w:ascii="Times New Roman" w:hAnsi="Times New Roman" w:cs="Times New Roman"/>
          <w:sz w:val="24"/>
          <w:szCs w:val="24"/>
        </w:rPr>
        <w:t xml:space="preserve">AFM of living </w:t>
      </w:r>
      <w:r>
        <w:rPr>
          <w:rFonts w:ascii="Times New Roman" w:hAnsi="Times New Roman" w:cs="Times New Roman"/>
          <w:i/>
          <w:sz w:val="24"/>
          <w:szCs w:val="24"/>
        </w:rPr>
        <w:t>L. lactis</w:t>
      </w:r>
      <w:r>
        <w:rPr>
          <w:rFonts w:ascii="Times New Roman" w:hAnsi="Times New Roman" w:cs="Times New Roman"/>
          <w:sz w:val="24"/>
          <w:szCs w:val="24"/>
        </w:rPr>
        <w:t xml:space="preserve"> </w:t>
      </w:r>
      <w:r w:rsidRPr="00C521B3">
        <w:rPr>
          <w:rFonts w:ascii="Times New Roman" w:hAnsi="Times New Roman" w:cs="Times New Roman"/>
          <w:color w:val="000000" w:themeColor="text1"/>
          <w:sz w:val="24"/>
          <w:szCs w:val="24"/>
        </w:rPr>
        <w:t xml:space="preserve">pellicle mutants revealed an architecture of ~25nm-wide circumferential bands running perpendicular to the long axis of the cell (Figure 1.16;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{"citationID":"2a1jj9svlv","properties":{"formattedCitation":"(Andre et al., 2010)","plainCitation":"(Andre et al., 2010)"},"citationItems":[{"id":92,"uris":["http://zotero.org/users/944474/items/HJM9TTUJ"],"uri":["http://zotero.org/users/944474/items/HJM9TTUJ"],"itemData":{"id":92,"type":"article-journal","title":"Imaging the nanoscale organization of peptidoglycan in living Lactococcus lactis cells","container-title":"Nature Communications","page":"27","volume":"1","abstract":"The spatial organization of peptidoglycan, the major constituent of bacterial cell-walls, is an important, yet still unsolved issue in microbiology. In this paper, we show that the combined use of atomic force microscopy and cell wall mutants is a powerful platform for probing the nanoscale architecture of cell wall peptidoglycan in living Gram-positive bacteria. Using topographic imaging, we found that Lactococcus lactis wild-type cells display a smooth, featureless surface morphology, whereas mutant strains lacking cell wall exopolysaccharides feature 25-nm-wide periodic bands running parallel to the short axis of the cell. In addition, we used single-molecule recognition imaging to show that parallel bands are made of peptidoglycan. Our data, obtained for the first time on living ovococci, argue for an architectural feature of the cell wall in the plane perpendicular to the long axis of the cell. The non-invasive live cell experiments presented here open new avenues for understanding the architecture and assembly of peptidoglycan in Gram-positive bacteria.","DOI":"10.1038/ncomms1027","note":"PMID: 20975688","journalAbbreviation":"Nat Commun","author":[{"family":"Andre","given":"Guillaume"},{"family":"Kulakauskas","given":"Saulius"},{"family":"Chapot-Chartier","given":"Marie-Pierre"},{"family":"Navet","given":"Benjamine"},{"family":"Deghorain","given":"Marie"},{"family":"Bernard","given":"Elvis"},{"family":"Hols","given":"Pascal"},{"family":"Dufrêne","given":"Yves F"}],"issued":{"year":2010},"accessed":{"year":2012,"month":4,"day":2},"page-first":"27"}}],"schema":"https://github.com/citation-style-language/schema/raw/master/csl-citation.json"}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 xml:space="preserve">Andre </w:t>
      </w:r>
      <w:r w:rsidRPr="002F5D6E">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2010)</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At low forces, interaction maps using LysM functionalised AFM tips showed interaction along the</w:t>
      </w:r>
      <w:r>
        <w:rPr>
          <w:rFonts w:ascii="Times New Roman" w:hAnsi="Times New Roman" w:cs="Times New Roman"/>
          <w:sz w:val="24"/>
          <w:szCs w:val="24"/>
        </w:rPr>
        <w:t xml:space="preserve"> orientation of these bands, indicating the presence of peptidoglycan. X-ray photoelectron spectroscopy (XPS) was used to determine the</w:t>
      </w:r>
    </w:p>
    <w:p w:rsidR="00BC7652" w:rsidRDefault="00BC7652" w:rsidP="00BC7652">
      <w:pPr>
        <w:autoSpaceDE w:val="0"/>
        <w:autoSpaceDN w:val="0"/>
        <w:adjustRightInd w:val="0"/>
        <w:spacing w:after="12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B95DFB">
        <w:rPr>
          <w:rFonts w:ascii="Times New Roman" w:hAnsi="Times New Roman" w:cs="Times New Roman"/>
          <w:noProof/>
          <w:sz w:val="24"/>
          <w:szCs w:val="24"/>
          <w:lang w:eastAsia="en-GB"/>
        </w:rPr>
        <w:drawing>
          <wp:inline distT="0" distB="0" distL="0" distR="0">
            <wp:extent cx="5278120" cy="2560114"/>
            <wp:effectExtent l="19050" t="0" r="0" b="0"/>
            <wp:docPr id="59" name="Picture 3"/>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27" cstate="print"/>
                    <a:srcRect b="40597"/>
                    <a:stretch>
                      <a:fillRect/>
                    </a:stretch>
                  </pic:blipFill>
                  <pic:spPr bwMode="auto">
                    <a:xfrm>
                      <a:off x="0" y="0"/>
                      <a:ext cx="5278120" cy="2560114"/>
                    </a:xfrm>
                    <a:prstGeom prst="rect">
                      <a:avLst/>
                    </a:prstGeom>
                    <a:noFill/>
                    <a:ln w="9525">
                      <a:noFill/>
                      <a:round/>
                      <a:headEnd/>
                      <a:tailEnd/>
                    </a:ln>
                    <a:effectLst/>
                  </pic:spPr>
                </pic:pic>
              </a:graphicData>
            </a:graphic>
          </wp:inline>
        </w:drawing>
      </w:r>
    </w:p>
    <w:p w:rsidR="00BC7652" w:rsidRDefault="00BC7652" w:rsidP="00BC7652">
      <w:pPr>
        <w:rPr>
          <w:rFonts w:ascii="Times New Roman" w:hAnsi="Times New Roman" w:cs="Times New Roman"/>
          <w:sz w:val="24"/>
          <w:szCs w:val="24"/>
        </w:rPr>
      </w:pPr>
      <w:r w:rsidRPr="00A74453">
        <w:rPr>
          <w:rFonts w:ascii="Times New Roman" w:hAnsi="Times New Roman" w:cs="Times New Roman"/>
          <w:noProof/>
          <w:sz w:val="24"/>
          <w:szCs w:val="24"/>
          <w:lang w:val="en-US" w:eastAsia="zh-TW"/>
        </w:rPr>
        <w:pict>
          <v:shape id="_x0000_s1026" type="#_x0000_t202" style="position:absolute;margin-left:6.3pt;margin-top:173.35pt;width:30.75pt;height:20.5pt;z-index:251660288;mso-width-relative:margin;mso-height-relative:margin;v-text-anchor:middle" stroked="f">
            <v:textbox inset="1.5mm,0,1.5mm,0">
              <w:txbxContent>
                <w:p w:rsidR="002D7C9B" w:rsidRPr="00B95DFB" w:rsidRDefault="002D7C9B" w:rsidP="00BC7652">
                  <w:pPr>
                    <w:jc w:val="center"/>
                    <w:rPr>
                      <w:rFonts w:ascii="Times New Roman" w:hAnsi="Times New Roman" w:cs="Times New Roman"/>
                      <w:b/>
                      <w:sz w:val="40"/>
                      <w:szCs w:val="40"/>
                    </w:rPr>
                  </w:pPr>
                  <w:r w:rsidRPr="00B95DFB">
                    <w:rPr>
                      <w:rFonts w:ascii="Times New Roman" w:hAnsi="Times New Roman" w:cs="Times New Roman"/>
                      <w:b/>
                      <w:sz w:val="40"/>
                      <w:szCs w:val="40"/>
                    </w:rPr>
                    <w:t>C</w:t>
                  </w:r>
                </w:p>
              </w:txbxContent>
            </v:textbox>
          </v:shape>
        </w:pict>
      </w:r>
      <w:r w:rsidRPr="00B95DFB">
        <w:rPr>
          <w:rFonts w:ascii="Times New Roman" w:hAnsi="Times New Roman" w:cs="Times New Roman"/>
          <w:noProof/>
          <w:sz w:val="24"/>
          <w:szCs w:val="24"/>
          <w:lang w:eastAsia="en-GB"/>
        </w:rPr>
        <w:drawing>
          <wp:inline distT="0" distB="0" distL="0" distR="0">
            <wp:extent cx="2520000" cy="2520000"/>
            <wp:effectExtent l="19050" t="0" r="0" b="0"/>
            <wp:docPr id="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28" cstate="print"/>
                    <a:srcRect/>
                    <a:stretch>
                      <a:fillRect/>
                    </a:stretch>
                  </pic:blipFill>
                  <pic:spPr bwMode="auto">
                    <a:xfrm>
                      <a:off x="0" y="0"/>
                      <a:ext cx="2520000" cy="2520000"/>
                    </a:xfrm>
                    <a:prstGeom prst="rect">
                      <a:avLst/>
                    </a:prstGeom>
                    <a:noFill/>
                    <a:ln w="9525">
                      <a:noFill/>
                      <a:round/>
                      <a:headEnd/>
                      <a:tailEnd/>
                    </a:ln>
                    <a:effectLst/>
                  </pic:spPr>
                </pic:pic>
              </a:graphicData>
            </a:graphic>
          </wp:inline>
        </w:drawing>
      </w:r>
    </w:p>
    <w:p w:rsidR="00BC7652" w:rsidRPr="00C521B3" w:rsidRDefault="00BC7652" w:rsidP="00BC7652">
      <w:pPr>
        <w:spacing w:after="120" w:line="360" w:lineRule="auto"/>
        <w:jc w:val="both"/>
        <w:rPr>
          <w:rFonts w:ascii="Times New Roman" w:hAnsi="Times New Roman" w:cs="Times New Roman"/>
          <w:color w:val="000000" w:themeColor="text1"/>
          <w:sz w:val="24"/>
          <w:szCs w:val="24"/>
        </w:rPr>
      </w:pPr>
      <w:proofErr w:type="gramStart"/>
      <w:r w:rsidRPr="001B710A">
        <w:rPr>
          <w:rFonts w:ascii="Times New Roman" w:hAnsi="Times New Roman" w:cs="Times New Roman"/>
          <w:b/>
          <w:sz w:val="24"/>
          <w:szCs w:val="24"/>
        </w:rPr>
        <w:t xml:space="preserve">Figure </w:t>
      </w:r>
      <w:r>
        <w:rPr>
          <w:rFonts w:ascii="Times New Roman" w:hAnsi="Times New Roman" w:cs="Times New Roman"/>
          <w:b/>
          <w:sz w:val="24"/>
          <w:szCs w:val="24"/>
        </w:rPr>
        <w:t>1.15</w:t>
      </w:r>
      <w:r w:rsidRPr="001B710A">
        <w:rPr>
          <w:rFonts w:ascii="Times New Roman" w:hAnsi="Times New Roman" w:cs="Times New Roman"/>
          <w:b/>
          <w:sz w:val="24"/>
          <w:szCs w:val="24"/>
        </w:rPr>
        <w:t>.</w:t>
      </w:r>
      <w:proofErr w:type="gramEnd"/>
      <w:r w:rsidRPr="001B710A">
        <w:rPr>
          <w:rFonts w:ascii="Times New Roman" w:hAnsi="Times New Roman" w:cs="Times New Roman"/>
          <w:b/>
          <w:sz w:val="24"/>
          <w:szCs w:val="24"/>
        </w:rPr>
        <w:t xml:space="preserve"> </w:t>
      </w:r>
      <w:proofErr w:type="gramStart"/>
      <w:r>
        <w:rPr>
          <w:rFonts w:ascii="Times New Roman" w:hAnsi="Times New Roman" w:cs="Times New Roman"/>
          <w:b/>
          <w:sz w:val="24"/>
          <w:szCs w:val="24"/>
        </w:rPr>
        <w:t>AFM imaging of t</w:t>
      </w:r>
      <w:r w:rsidRPr="001B710A">
        <w:rPr>
          <w:rFonts w:ascii="Times New Roman" w:hAnsi="Times New Roman" w:cs="Times New Roman"/>
          <w:b/>
          <w:sz w:val="24"/>
          <w:szCs w:val="24"/>
        </w:rPr>
        <w:t xml:space="preserve">he fine architecture of living </w:t>
      </w:r>
      <w:r w:rsidRPr="001B710A">
        <w:rPr>
          <w:rFonts w:ascii="Times New Roman" w:hAnsi="Times New Roman" w:cs="Times New Roman"/>
          <w:b/>
          <w:i/>
          <w:sz w:val="24"/>
          <w:szCs w:val="24"/>
        </w:rPr>
        <w:t xml:space="preserve">S. aureus </w:t>
      </w:r>
      <w:r w:rsidRPr="001B710A">
        <w:rPr>
          <w:rFonts w:ascii="Times New Roman" w:hAnsi="Times New Roman" w:cs="Times New Roman"/>
          <w:b/>
          <w:sz w:val="24"/>
          <w:szCs w:val="24"/>
        </w:rPr>
        <w:t>cell wall surfaces.</w:t>
      </w:r>
      <w:proofErr w:type="gramEnd"/>
      <w:r>
        <w:rPr>
          <w:rFonts w:ascii="Times New Roman" w:hAnsi="Times New Roman" w:cs="Times New Roman"/>
          <w:sz w:val="24"/>
          <w:szCs w:val="24"/>
        </w:rPr>
        <w:t xml:space="preserve"> </w:t>
      </w:r>
      <w:r w:rsidRPr="00B95DFB">
        <w:rPr>
          <w:rFonts w:ascii="Times New Roman" w:hAnsi="Times New Roman" w:cs="Times New Roman"/>
          <w:sz w:val="24"/>
          <w:szCs w:val="24"/>
        </w:rPr>
        <w:t>AFM deflection</w:t>
      </w:r>
      <w:r>
        <w:rPr>
          <w:rFonts w:ascii="Times New Roman" w:hAnsi="Times New Roman" w:cs="Times New Roman"/>
          <w:sz w:val="24"/>
          <w:szCs w:val="24"/>
        </w:rPr>
        <w:t xml:space="preserve"> (A)</w:t>
      </w:r>
      <w:r w:rsidRPr="00B95DFB">
        <w:rPr>
          <w:rFonts w:ascii="Times New Roman" w:hAnsi="Times New Roman" w:cs="Times New Roman"/>
          <w:sz w:val="24"/>
          <w:szCs w:val="24"/>
        </w:rPr>
        <w:t xml:space="preserve"> and height</w:t>
      </w:r>
      <w:r>
        <w:rPr>
          <w:rFonts w:ascii="Times New Roman" w:hAnsi="Times New Roman" w:cs="Times New Roman"/>
          <w:sz w:val="24"/>
          <w:szCs w:val="24"/>
        </w:rPr>
        <w:t xml:space="preserve"> (B)</w:t>
      </w:r>
      <w:r w:rsidRPr="00B95DFB">
        <w:rPr>
          <w:rFonts w:ascii="Times New Roman" w:hAnsi="Times New Roman" w:cs="Times New Roman"/>
          <w:sz w:val="24"/>
          <w:szCs w:val="24"/>
        </w:rPr>
        <w:t xml:space="preserve"> images </w:t>
      </w:r>
      <w:r>
        <w:rPr>
          <w:rFonts w:ascii="Times New Roman" w:hAnsi="Times New Roman" w:cs="Times New Roman"/>
          <w:sz w:val="24"/>
          <w:szCs w:val="24"/>
        </w:rPr>
        <w:t xml:space="preserve">of the nascent cell wall displaying </w:t>
      </w:r>
      <w:proofErr w:type="gramStart"/>
      <w:r>
        <w:rPr>
          <w:rFonts w:ascii="Times New Roman" w:hAnsi="Times New Roman" w:cs="Times New Roman"/>
          <w:sz w:val="24"/>
          <w:szCs w:val="24"/>
        </w:rPr>
        <w:t>an architecture</w:t>
      </w:r>
      <w:proofErr w:type="gramEnd"/>
      <w:r>
        <w:rPr>
          <w:rFonts w:ascii="Times New Roman" w:hAnsi="Times New Roman" w:cs="Times New Roman"/>
          <w:sz w:val="24"/>
          <w:szCs w:val="24"/>
        </w:rPr>
        <w:t xml:space="preserve"> of </w:t>
      </w:r>
      <w:r w:rsidRPr="00C521B3">
        <w:rPr>
          <w:rFonts w:ascii="Times New Roman" w:hAnsi="Times New Roman" w:cs="Times New Roman"/>
          <w:color w:val="000000" w:themeColor="text1"/>
          <w:sz w:val="24"/>
          <w:szCs w:val="24"/>
        </w:rPr>
        <w:t xml:space="preserve">concentric rings surrounding a central depression. </w:t>
      </w:r>
      <w:proofErr w:type="gramStart"/>
      <w:r w:rsidRPr="00C521B3">
        <w:rPr>
          <w:rFonts w:ascii="Times New Roman" w:hAnsi="Times New Roman" w:cs="Times New Roman"/>
          <w:color w:val="000000" w:themeColor="text1"/>
          <w:sz w:val="24"/>
          <w:szCs w:val="24"/>
        </w:rPr>
        <w:t>C, AFM image of an area of mature cell wall, displaying an irregular network of fibres.</w:t>
      </w:r>
      <w:proofErr w:type="gramEnd"/>
      <w:r w:rsidRPr="00C521B3">
        <w:rPr>
          <w:rFonts w:ascii="Times New Roman" w:hAnsi="Times New Roman" w:cs="Times New Roman"/>
          <w:color w:val="000000" w:themeColor="text1"/>
          <w:sz w:val="24"/>
          <w:szCs w:val="24"/>
        </w:rPr>
        <w:t xml:space="preserve"> Scale: 50 nm. Adapted from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{"citationID":"a0ttiqie1","properties":{"formattedCitation":"(Touhami et al., 2004)","plainCitation":"(Touhami et al., 2004)"},"citationItems":[{"id":147,"uris":["http://zotero.org/users/944474/items/H8B2DIMV"],"uri":["http://zotero.org/users/944474/items/H8B2DIMV"],"itemData":{"id":147,"type":"article-journal","title":"Atomic force microscopy of cell growth and division in Staphylococcus aureus","container-title":"Journal of Bacteriology","page":"3286-3295","volume":"186","issue":"11","abstract":"The growth and division of Staphylococcus aureus was monitored by atomic force microscopy (AFM) and thin-section transmission electron microscopy (TEM). A good correlation of the structural events of division was found using the two microscopies, and AFM was able to provide new additional information. AFM was performed under water, ensuring that all structures were in the hydrated condition. Sequential images on the same structure revealed progressive changes to surfaces, suggesting the cells were growing while images were being taken. Using AFM small depressions were seen around the septal annulus at the onset of division that could be attributed to so-called murosomes (Giesbrecht et al., Arch. Microbiol. 141:315-324, 1985). The new cell wall formed from the cross wall (i.e., completed septum) after cell separation and possessed concentric surface rings and a central depression; these structures could be correlated to a midline of reactive material in the developing septum that was seen by TEM. The older wall, that which was not derived from a newly formed cross wall, was partitioned into two different surface zones, smooth and gel-like zones, with different adhesive properties that could be attributed to cell wall turnover. The new and old wall topographies are equated to possible peptidoglycan arrangements, but no conclusion can be made regarding the planar or scaffolding models.","DOI":"10.1128/JB.186.11.3286-3295.2004","note":"PMID: 15150213","journalAbbreviation":"J. Bacteriol.","author":[{"family":"Touhami","given":"Ahmed"},{"family":"Jericho","given":"Manfred H"},{"family":"Beveridge","given":"Terry J"}],"issued":{"year":2004,"month":6},"accessed":{"year":2012,"month":4,"day":22},"page-first":"3286"}}],"schema":"https://github.com/citation-style-language/schema/raw/master/csl-citation.json"}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 xml:space="preserve">(Touhami </w:t>
      </w:r>
      <w:r w:rsidRPr="002F5D6E">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2004)</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w:t>
      </w:r>
    </w:p>
    <w:p w:rsidR="00BC7652" w:rsidRPr="00C521B3" w:rsidRDefault="00BC7652" w:rsidP="00BC7652">
      <w:pPr>
        <w:rPr>
          <w:rFonts w:ascii="Times New Roman" w:hAnsi="Times New Roman" w:cs="Times New Roman"/>
          <w:color w:val="000000" w:themeColor="text1"/>
          <w:sz w:val="24"/>
          <w:szCs w:val="24"/>
        </w:rPr>
      </w:pPr>
      <w:r w:rsidRPr="00C521B3">
        <w:rPr>
          <w:rFonts w:ascii="Times New Roman" w:hAnsi="Times New Roman" w:cs="Times New Roman"/>
          <w:color w:val="000000" w:themeColor="text1"/>
          <w:sz w:val="24"/>
          <w:szCs w:val="24"/>
        </w:rPr>
        <w:br w:type="page"/>
      </w:r>
    </w:p>
    <w:p w:rsidR="00BC7652" w:rsidRPr="00C521B3" w:rsidRDefault="00BC7652" w:rsidP="00BC7652">
      <w:pPr>
        <w:autoSpaceDE w:val="0"/>
        <w:autoSpaceDN w:val="0"/>
        <w:adjustRightInd w:val="0"/>
        <w:spacing w:after="120" w:line="48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lastRenderedPageBreak/>
        <w:t xml:space="preserve">biochemical composition of the </w:t>
      </w:r>
      <w:r w:rsidRPr="00C521B3">
        <w:rPr>
          <w:rFonts w:ascii="Times New Roman" w:hAnsi="Times New Roman" w:cs="Times New Roman"/>
          <w:color w:val="000000" w:themeColor="text1"/>
          <w:sz w:val="24"/>
          <w:szCs w:val="24"/>
        </w:rPr>
        <w:t xml:space="preserve">bacterial surface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{"citationID":"1to4jqae7t","properties":{"formattedCitation":"{\\rtf (Dufr\\uc0\\u234{}ne et al., 1997; Andre et al., 2010)}","plainCitation":"(Dufrêne et al., 1997; Andre et al., 2010)"},"citationItems":[{"id":323,"uris":["http://zotero.org/users/944474/items/NJ6P7EX4"],"uri":["http://zotero.org/users/944474/items/NJ6P7EX4"],"itemData":{"id":323,"type":"article-journal","title":"X-ray photoelectron spectroscopy analysis of whole cells and isolated cell walls of gram-positive bacteria: comparison with biochemical analysis","container-title":"Journal of bacteriology","page":"1023-1028","volume":"179","issue":"4","abstract":"The surface chemical composition of whole cells and isolated cell walls of four coryneform bacteria and of a Bacillus brevis strain has been determined by X-ray photoelectron spectroscopy (XPS). The XPS data were converted into concentrations of model compounds: peptides, polysaccharides, and hydrocarbonlike compounds. The composition of the surface of B. brevis differed markedly from that of coryneforms: the peptide concentration was about twice higher in the former case, which is attributed to the presence of an S-layer at the cell surface; in contrast, the surface of coryneforms was rich in hydrocarbonlike compounds (about 40%), which was concomitant with a high water contact angle. The peptide surface concentration of the isolated cell walls of the five strains deduced from XPS data fitted well with the total peptide content determined by biochemical analysis, which supports the validity of XPS to determine the overall macromolecular composition of the bacterial cell surface. Compared to biochemical analysis of isolated cell walls, XPS analysis of whole cells provides information which concerns directly the cell surface (2- to 5-nm-thick layer) and is less subject to alteration via losses of cell wall constituents or contamination by intracellular compounds.","note":"PMID: 9023179","shortTitle":"X-ray photoelectron spectroscopy analysis of whole cells and isolated cell walls of gram-positive bacteria","journalAbbreviation":"J. Bacteriol.","author":[{"family":"Dufrêne","given":"Y F"},{"family":"van der Wal","given":"A"},{"family":"Norde","given":"W"},{"family":"Rouxhet","given":"P G"}],"issued":{"year":1997,"month":2},"accessed":{"year":2012,"month":5,"day":31},"page-first":"1023"}},{"id":92,"uris":["http://zotero.org/users/944474/items/HJM9TTUJ"],"uri":["http://zotero.org/users/944474/items/HJM9TTUJ"],"itemData":{"id":92,"type":"article-journal","title":"Imaging the nanoscale organization of peptidoglycan in living Lactococcus lactis cells","container-title":"Nature Communications","page":"27","volume":"1","abstract":"The spatial organization of peptidoglycan, the major constituent of bacterial cell-walls, is an important, yet still unsolved issue in microbiology. In this paper, we show that the combined use of atomic force microscopy and cell wall mutants is a powerful platform for probing the nanoscale architecture of cell wall peptidoglycan in living Gram-positive bacteria. Using topographic imaging, we found that Lactococcus lactis wild-type cells display a smooth, featureless surface morphology, whereas mutant strains lacking cell wall exopolysaccharides feature 25-nm-wide periodic bands running parallel to the short axis of the cell. In addition, we used single-molecule recognition imaging to show that parallel bands are made of peptidoglycan. Our data, obtained for the first time on living ovococci, argue for an architectural feature of the cell wall in the plane perpendicular to the long axis of the cell. The non-invasive live cell experiments presented here open new avenues for understanding the architecture and assembly of peptidoglycan in Gram-positive bacteria.","DOI":"10.1038/ncomms1027","note":"PMID: 20975688","journalAbbreviation":"Nat Commun","author":[{"family":"Andre","given":"Guillaume"},{"family":"Kulakauskas","given":"Saulius"},{"family":"Chapot-Chartier","given":"Marie-Pierre"},{"family":"Navet","given":"Benjamine"},{"family":"Deghorain","given":"Marie"},{"family":"Bernard","given":"Elvis"},{"family":"Hols","given":"Pascal"},{"family":"Dufrêne","given":"Yves F"}],"issued":{"year":2010},"accessed":{"year":2012,"month":4,"day":2},"page-first":"27"}}],"schema":"https://github.com/citation-style-language/schema/raw/master/csl-citation.json"}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szCs w:val="24"/>
        </w:rPr>
        <w:t xml:space="preserve">(Dufrêne </w:t>
      </w:r>
      <w:r w:rsidRPr="002F5D6E">
        <w:rPr>
          <w:rFonts w:ascii="Times New Roman" w:hAnsi="Times New Roman" w:cs="Times New Roman"/>
          <w:i/>
          <w:color w:val="000000" w:themeColor="text1"/>
          <w:sz w:val="24"/>
          <w:szCs w:val="24"/>
        </w:rPr>
        <w:t>et al</w:t>
      </w:r>
      <w:r w:rsidRPr="00C521B3">
        <w:rPr>
          <w:rFonts w:ascii="Times New Roman" w:hAnsi="Times New Roman" w:cs="Times New Roman"/>
          <w:color w:val="000000" w:themeColor="text1"/>
          <w:sz w:val="24"/>
          <w:szCs w:val="24"/>
        </w:rPr>
        <w:t xml:space="preserve">., 1997; Andre </w:t>
      </w:r>
      <w:r w:rsidRPr="002F5D6E">
        <w:rPr>
          <w:rFonts w:ascii="Times New Roman" w:hAnsi="Times New Roman" w:cs="Times New Roman"/>
          <w:i/>
          <w:color w:val="000000" w:themeColor="text1"/>
          <w:sz w:val="24"/>
          <w:szCs w:val="24"/>
        </w:rPr>
        <w:t>et al</w:t>
      </w:r>
      <w:r w:rsidRPr="00C521B3">
        <w:rPr>
          <w:rFonts w:ascii="Times New Roman" w:hAnsi="Times New Roman" w:cs="Times New Roman"/>
          <w:color w:val="000000" w:themeColor="text1"/>
          <w:sz w:val="24"/>
          <w:szCs w:val="24"/>
        </w:rPr>
        <w:t>., 2010)</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xml:space="preserve">. As the presence of sulphur, found in proteins (cysteine and methionine residues) but not peptidoglycan, was very low (&lt;0.1%), the authors concluded that as the surface of </w:t>
      </w:r>
      <w:r w:rsidRPr="00C521B3">
        <w:rPr>
          <w:rFonts w:ascii="Times New Roman" w:hAnsi="Times New Roman" w:cs="Times New Roman"/>
          <w:i/>
          <w:color w:val="000000" w:themeColor="text1"/>
          <w:sz w:val="24"/>
          <w:szCs w:val="24"/>
        </w:rPr>
        <w:t>L. lactis</w:t>
      </w:r>
      <w:r w:rsidRPr="00C521B3">
        <w:rPr>
          <w:rFonts w:ascii="Times New Roman" w:hAnsi="Times New Roman" w:cs="Times New Roman"/>
          <w:color w:val="000000" w:themeColor="text1"/>
          <w:sz w:val="24"/>
          <w:szCs w:val="24"/>
        </w:rPr>
        <w:t xml:space="preserve"> was practically devoid of protein, and banding was due to the peptidoglycan architecture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{"citationID":"1ee3irdedv","properties":{"formattedCitation":"(Andre et al., 2010)","plainCitation":"(Andre et al., 2010)"},"citationItems":[{"id":92,"uris":["http://zotero.org/users/944474/items/HJM9TTUJ"],"uri":["http://zotero.org/users/944474/items/HJM9TTUJ"],"itemData":{"id":92,"type":"article-journal","title":"Imaging the nanoscale organization of peptidoglycan in living Lactococcus lactis cells","container-title":"Nature Communications","page":"27","volume":"1","abstract":"The spatial organization of peptidoglycan, the major constituent of bacterial cell-walls, is an important, yet still unsolved issue in microbiology. In this paper, we show that the combined use of atomic force microscopy and cell wall mutants is a powerful platform for probing the nanoscale architecture of cell wall peptidoglycan in living Gram-positive bacteria. Using topographic imaging, we found that Lactococcus lactis wild-type cells display a smooth, featureless surface morphology, whereas mutant strains lacking cell wall exopolysaccharides feature 25-nm-wide periodic bands running parallel to the short axis of the cell. In addition, we used single-molecule recognition imaging to show that parallel bands are made of peptidoglycan. Our data, obtained for the first time on living ovococci, argue for an architectural feature of the cell wall in the plane perpendicular to the long axis of the cell. The non-invasive live cell experiments presented here open new avenues for understanding the architecture and assembly of peptidoglycan in Gram-positive bacteria.","DOI":"10.1038/ncomms1027","note":"PMID: 20975688","journalAbbreviation":"Nat Commun","author":[{"family":"Andre","given":"Guillaume"},{"family":"Kulakauskas","given":"Saulius"},{"family":"Chapot-Chartier","given":"Marie-Pierre"},{"family":"Navet","given":"Benjamine"},{"family":"Deghorain","given":"Marie"},{"family":"Bernard","given":"Elvis"},{"family":"Hols","given":"Pascal"},{"family":"Dufrêne","given":"Yves F"}],"issued":{"year":2010},"accessed":{"year":2012,"month":4,"day":2},"page-first":"27"}}],"schema":"https://github.com/citation-style-language/schema/raw/master/csl-citation.json"}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 xml:space="preserve">(Andre </w:t>
      </w:r>
      <w:r w:rsidRPr="002F5D6E">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2010)</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xml:space="preserve">. The authors proposed that the peptidoglycan architecture in </w:t>
      </w:r>
      <w:r w:rsidRPr="00C521B3">
        <w:rPr>
          <w:rFonts w:ascii="Times New Roman" w:hAnsi="Times New Roman" w:cs="Times New Roman"/>
          <w:i/>
          <w:color w:val="000000" w:themeColor="text1"/>
          <w:sz w:val="24"/>
          <w:szCs w:val="24"/>
        </w:rPr>
        <w:t>L. lactis</w:t>
      </w:r>
      <w:r w:rsidRPr="00C521B3">
        <w:rPr>
          <w:rFonts w:ascii="Times New Roman" w:hAnsi="Times New Roman" w:cs="Times New Roman"/>
          <w:color w:val="000000" w:themeColor="text1"/>
          <w:sz w:val="24"/>
          <w:szCs w:val="24"/>
        </w:rPr>
        <w:t xml:space="preserve"> consists of periodic bands of peptidoglycan, one layer thick, running around the cell circumference, parallel to the plasma membrane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{"citationID":"chp26gbm5","properties":{"formattedCitation":"{\\rtf (Andre et al., 2010; M\\uc0\\u252{}ller and Dufr\\uc0\\u234{}ne, 2011)}","plainCitation":"(Andre et al., 2010; Müller and Dufrêne, 2011)"},"citationItems":[{"id":92,"uris":["http://zotero.org/users/944474/items/HJM9TTUJ"],"uri":["http://zotero.org/users/944474/items/HJM9TTUJ"],"itemData":{"id":92,"type":"article-journal","title":"Imaging the nanoscale organization of peptidoglycan in living Lactococcus lactis cells","container-title":"Nature Communications","page":"27","volume":"1","abstract":"The spatial organization of peptidoglycan, the major constituent of bacterial cell-walls, is an important, yet still unsolved issue in microbiology. In this paper, we show that the combined use of atomic force microscopy and cell wall mutants is a powerful platform for probing the nanoscale architecture of cell wall peptidoglycan in living Gram-positive bacteria. Using topographic imaging, we found that Lactococcus lactis wild-type cells display a smooth, featureless surface morphology, whereas mutant strains lacking cell wall exopolysaccharides feature 25-nm-wide periodic bands running parallel to the short axis of the cell. In addition, we used single-molecule recognition imaging to show that parallel bands are made of peptidoglycan. Our data, obtained for the first time on living ovococci, argue for an architectural feature of the cell wall in the plane perpendicular to the long axis of the cell. The non-invasive live cell experiments presented here open new avenues for understanding the architecture and assembly of peptidoglycan in Gram-positive bacteria.","DOI":"10.1038/ncomms1027","note":"PMID: 20975688","journalAbbreviation":"Nat Commun","author":[{"family":"Andre","given":"Guillaume"},{"family":"Kulakauskas","given":"Saulius"},{"family":"Chapot-Chartier","given":"Marie-Pierre"},{"family":"Navet","given":"Benjamine"},{"family":"Deghorain","given":"Marie"},{"family":"Bernard","given":"Elvis"},{"family":"Hols","given":"Pascal"},{"family":"Dufrêne","given":"Yves F"}],"issued":{"year":2010},"accessed":{"year":2012,"month":4,"day":2},"page-first":"27"}},{"id":340,"uris":["http://zotero.org/users/944474/items/N2Z23E77"],"uri":["http://zotero.org/users/944474/items/N2Z23E77"],"itemData":{"id":340,"type":"article-journal","title":"Atomic force microscopy: a nanoscopic window on the cell surface","container-title":"Trends in cell biology","page":"461-469","volume":"21","issue":"8","abstract":"Atomic force microscopy (AFM) techniques provide a versatile platform for imaging and manipulating living cells to single-molecule resolution, thereby enabling us to address pertinent questions in key areas of cell biology, including cell adhesion and signalling, embryonic and tissue development, cell division and shape, and microbial pathogenesis. In this review, we describe the principles of AFM, and survey recent breakthroughs made in AFM-based cell nanoscopy, showing how the technology has increased our molecular understanding of the organization, mechanics, interactions and processes of the cell surface. We also discuss the advantages and limitations of AFM techniques, and the challenges remaining to be addressed in future research.","DOI":"10.1016/j.tcb.2011.04.008","note":"PMID: 21664134","shortTitle":"Atomic force microscopy","journalAbbreviation":"Trends Cell Biol.","author":[{"family":"Müller","given":"Daniel J"},{"family":"Dufrêne","given":"Yves F"}],"issued":{"year":2011,"month":8},"accessed":{"year":2012,"month":6,"day":3},"page-first":"461"}}],"schema":"https://github.com/citation-style-language/schema/raw/master/csl-citation.json"}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szCs w:val="24"/>
        </w:rPr>
        <w:t xml:space="preserve">(Andre </w:t>
      </w:r>
      <w:r w:rsidRPr="002F5D6E">
        <w:rPr>
          <w:rFonts w:ascii="Times New Roman" w:hAnsi="Times New Roman" w:cs="Times New Roman"/>
          <w:i/>
          <w:color w:val="000000" w:themeColor="text1"/>
          <w:sz w:val="24"/>
          <w:szCs w:val="24"/>
        </w:rPr>
        <w:t>et al</w:t>
      </w:r>
      <w:r w:rsidRPr="00C521B3">
        <w:rPr>
          <w:rFonts w:ascii="Times New Roman" w:hAnsi="Times New Roman" w:cs="Times New Roman"/>
          <w:color w:val="000000" w:themeColor="text1"/>
          <w:sz w:val="24"/>
          <w:szCs w:val="24"/>
        </w:rPr>
        <w:t>., 2010; Müller and Dufrêne, 2011)</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xml:space="preserve">. </w:t>
      </w:r>
    </w:p>
    <w:p w:rsidR="00BC7652" w:rsidRDefault="00BC7652" w:rsidP="00BC7652">
      <w:pPr>
        <w:autoSpaceDE w:val="0"/>
        <w:autoSpaceDN w:val="0"/>
        <w:adjustRightInd w:val="0"/>
        <w:spacing w:after="120" w:line="480" w:lineRule="auto"/>
        <w:jc w:val="both"/>
        <w:rPr>
          <w:rFonts w:ascii="Times New Roman" w:hAnsi="Times New Roman" w:cs="Times New Roman"/>
          <w:sz w:val="24"/>
          <w:szCs w:val="24"/>
        </w:rPr>
      </w:pPr>
      <w:r w:rsidRPr="00C521B3">
        <w:rPr>
          <w:rFonts w:ascii="Times New Roman" w:hAnsi="Times New Roman" w:cs="Times New Roman"/>
          <w:color w:val="000000" w:themeColor="text1"/>
          <w:sz w:val="24"/>
          <w:szCs w:val="24"/>
        </w:rPr>
        <w:t xml:space="preserve">However, in practice the distribution in proteins of minor elements, such as sulphur, is typically below the detection limit of XPS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{"citationID":"13f5j6k4sl","properties":{"formattedCitation":"(McArthur, 2006)","plainCitation":"(McArthur, 2006)"},"citationItems":[{"id":255,"uris":["http://zotero.org/users/944474/items/PWHIWNR4"],"uri":["http://zotero.org/users/944474/items/PWHIWNR4"],"itemData":{"id":255,"type":"article-journal","title":"Applications of XPS in bioengineering","container-title":"Surface and Interface Analysis","page":"1380-1385","volume":"38","issue":"11","DOI":"10.1002/sia.2498","author":[{"family":"McArthur","given":"Sally L."}],"issued":{"year":2006,"month":11},"accessed":{"year":2012,"month":5,"day":23},"page-first":"1380"}}],"schema":"https://github.com/citation-style-language/schema/raw/master/csl-citation.json"}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(McArthur, 2006)</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xml:space="preserve">. Furthermore, the banded architecture was absent from peptidoglycan sacculi devoid of secondary wall polymers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{"citationID":"fo9uekqcf","properties":{"formattedCitation":"(Andre et al., 2010)","plainCitation":"(Andre et al., 2010)"},"citationItems":[{"id":92,"uris":["http://zotero.org/users/944474/items/HJM9TTUJ"],"uri":["http://zotero.org/users/944474/items/HJM9TTUJ"],"itemData":{"id":92,"type":"article-journal","title":"Imaging the nanoscale organization of peptidoglycan in living Lactococcus lactis cells","container-title":"Nature Communications","page":"27","volume":"1","abstract":"The spatial organization of peptidoglycan, the major constituent of bacterial cell-walls, is an important, yet still unsolved issue in microbiology. In this paper, we show that the combined use of atomic force microscopy and cell wall mutants is a powerful platform for probing the nanoscale architecture of cell wall peptidoglycan in living Gram-positive bacteria. Using topographic imaging, we found that Lactococcus lactis wild-type cells display a smooth, featureless surface morphology, whereas mutant strains lacking cell wall exopolysaccharides feature 25-nm-wide periodic bands running parallel to the short axis of the cell. In addition, we used single-molecule recognition imaging to show that parallel bands are made of peptidoglycan. Our data, obtained for the first time on living ovococci, argue for an architectural feature of the cell wall in the plane perpendicular to the long axis of the cell. The non-invasive live cell experiments presented here open new avenues for understanding the architecture and assembly of peptidoglycan in Gram-positive bacteria.","DOI":"10.1038/ncomms1027","note":"PMID: 20975688","journalAbbreviation":"Nat Commun","author":[{"family":"Andre","given":"Guillaume"},{"family":"Kulakauskas","given":"Saulius"},{"family":"Chapot-Chartier","given":"Marie-Pierre"},{"family":"Navet","given":"Benjamine"},{"family":"Deghorain","given":"Marie"},{"family":"Bernard","given":"Elvis"},{"family":"Hols","given":"Pascal"},{"family":"Dufrêne","given":"Yves F"}],"issued":{"year":2010},"accessed":{"year":2012,"month":4,"day":2},"page-first":"27"}}],"schema":"https://github.com/citation-style-language/schema/raw/master/csl-citation.json"}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 xml:space="preserve">(Andre </w:t>
      </w:r>
      <w:r w:rsidRPr="002F5D6E">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2010)</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Therefore the conclusions of this study are controversial, as in living Gram-positive organisms, peptidoglycan, teichoi</w:t>
      </w:r>
      <w:r>
        <w:rPr>
          <w:rFonts w:ascii="Times New Roman" w:hAnsi="Times New Roman" w:cs="Times New Roman"/>
          <w:color w:val="000000" w:themeColor="text1"/>
          <w:sz w:val="24"/>
          <w:szCs w:val="24"/>
        </w:rPr>
        <w:t>c acids, and proteins may all</w:t>
      </w:r>
      <w:r w:rsidRPr="00C521B3">
        <w:rPr>
          <w:rFonts w:ascii="Times New Roman" w:hAnsi="Times New Roman" w:cs="Times New Roman"/>
          <w:color w:val="000000" w:themeColor="text1"/>
          <w:sz w:val="24"/>
          <w:szCs w:val="24"/>
        </w:rPr>
        <w:t xml:space="preserve"> contribute to the cell surface architecture. AFM images and interaction maps using ConA (which binds glucose-based glycopolymers) functionalised tips, showed that the cell cylinder of living </w:t>
      </w:r>
      <w:r w:rsidRPr="00C521B3">
        <w:rPr>
          <w:rFonts w:ascii="Times New Roman" w:hAnsi="Times New Roman" w:cs="Times New Roman"/>
          <w:i/>
          <w:color w:val="000000" w:themeColor="text1"/>
          <w:sz w:val="24"/>
          <w:szCs w:val="24"/>
        </w:rPr>
        <w:t>Lactobacillus plantarum</w:t>
      </w:r>
      <w:r w:rsidRPr="00C521B3">
        <w:rPr>
          <w:rFonts w:ascii="Times New Roman" w:hAnsi="Times New Roman" w:cs="Times New Roman"/>
          <w:color w:val="000000" w:themeColor="text1"/>
          <w:sz w:val="24"/>
          <w:szCs w:val="24"/>
        </w:rPr>
        <w:t xml:space="preserve"> was abundant in WTAs and had a rough architecture, whilst cell poles were almost devoid of WTAs and were smooth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{"citationID":"2j17qk9aa7","properties":{"formattedCitation":"(Andre et al., 2011)","plainCitation":"(Andre et al., 2011)"},"citationItems":[{"id":259,"uris":["http://zotero.org/users/944474/items/GFME6FE5"],"uri":["http://zotero.org/users/944474/items/GFME6FE5"],"itemData":{"id":259,"type":"article-journal","title":"Fluorescence and atomic force microscopy imaging of wall teichoic acids in Lactobacillus plantarum","container-title":"ACS chemical biology","page":"366-376","volume":"6","issue":"4","abstract":"Although teichoic acids are major constituents of bacterial cell walls, little is known about the relationships between their spatial localization and their functional roles. Here, we used single-molecule atomic force microscopy (AFM) combined with fluorescence microscopy to image the distribution of wall teichoic acids (WTAs) in Lactobacillus plantarum, in relation with their physiological roles. Phenotype analysis of the wild-type strain and of mutant strains deficient for the synthesis of WTAs (ΔtagO) or cell wall polysaccharides (Δcps1-4) revealed that WTAs are required for proper cell elongation and cell division. Nanoscale imaging by AFM showed that strains expressing WTAs have a highly polarized surface morphology, the poles being much smoother than the side walls. AFM and fluorescence imaging with specific lectin probes demonstrated that the polarized surface structure correlates with a heterogeneous distribution of WTAs, the latter being absent from the surface of the poles. These observations indicate that the polarized distribution of WTAs in L. plantarum plays a key role in controlling cell morphogenesis (surface roughness, cell shape, elongation, and division).","DOI":"10.1021/cb1003509","note":"PMID: 21218855","journalAbbreviation":"ACS Chem. Biol.","author":[{"family":"Andre","given":"Guillaume"},{"family":"Deghorain","given":"Marie"},{"family":"Bron","given":"Peter A"},{"family":"van Swam","given":"Iris I"},{"family":"Kleerebezem","given":"Michiel"},{"family":"Hols","given":"Pascal"},{"family":"Dufrene","given":"Yves F"}],"issued":{"year":2011,"month":4,"day":15},"accessed":{"year":2012,"month":5,"day":24},"page-first":"366"}}],"schema":"https://github.com/citation-style-language/schema/raw/master/csl-citation.json"}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 xml:space="preserve">(Andre </w:t>
      </w:r>
      <w:r w:rsidRPr="002F5D6E">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2011)</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Therefore the presence of secondary wall polymers may contribute to the cell surface architecture. These studies highlight the necessit</w:t>
      </w:r>
      <w:r>
        <w:rPr>
          <w:rFonts w:ascii="Times New Roman" w:hAnsi="Times New Roman" w:cs="Times New Roman"/>
          <w:sz w:val="24"/>
          <w:szCs w:val="24"/>
        </w:rPr>
        <w:t>y of using purified sacculi to investigate the peptidoglycan architecture.</w:t>
      </w:r>
    </w:p>
    <w:p w:rsidR="00BC7652" w:rsidRDefault="00BC7652" w:rsidP="00BC7652">
      <w:pPr>
        <w:rPr>
          <w:rFonts w:ascii="Times New Roman" w:hAnsi="Times New Roman" w:cs="Times New Roman"/>
          <w:sz w:val="24"/>
          <w:szCs w:val="24"/>
        </w:rPr>
      </w:pPr>
      <w:r>
        <w:rPr>
          <w:rFonts w:ascii="Times New Roman" w:hAnsi="Times New Roman" w:cs="Times New Roman"/>
          <w:sz w:val="24"/>
          <w:szCs w:val="24"/>
        </w:rPr>
        <w:br w:type="page"/>
      </w:r>
    </w:p>
    <w:p w:rsidR="00BC7652" w:rsidRDefault="00BC7652" w:rsidP="00BC7652">
      <w:pPr>
        <w:spacing w:after="120" w:line="48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pict>
          <v:shape id="_x0000_s1033" type="#_x0000_t202" style="position:absolute;left:0;text-align:left;margin-left:-14.85pt;margin-top:148.45pt;width:40pt;height:48.95pt;z-index:251667456;mso-height-percent:200;mso-height-percent:200;mso-width-relative:margin;mso-height-relative:margin" filled="f" stroked="f">
            <v:textbox style="mso-fit-shape-to-text:t">
              <w:txbxContent>
                <w:p w:rsidR="002D7C9B" w:rsidRPr="000B0117" w:rsidRDefault="002D7C9B" w:rsidP="00BC7652">
                  <w:pPr>
                    <w:rPr>
                      <w:rFonts w:ascii="Times New Roman" w:hAnsi="Times New Roman" w:cs="Times New Roman"/>
                      <w:sz w:val="48"/>
                      <w:szCs w:val="48"/>
                    </w:rPr>
                  </w:pPr>
                  <w:r>
                    <w:rPr>
                      <w:rFonts w:ascii="Times New Roman" w:hAnsi="Times New Roman" w:cs="Times New Roman"/>
                      <w:sz w:val="48"/>
                      <w:szCs w:val="48"/>
                    </w:rPr>
                    <w:t>B</w:t>
                  </w:r>
                </w:p>
              </w:txbxContent>
            </v:textbox>
          </v:shape>
        </w:pict>
      </w:r>
      <w:r w:rsidRPr="00A74453">
        <w:rPr>
          <w:rFonts w:ascii="Times New Roman" w:hAnsi="Times New Roman" w:cs="Times New Roman"/>
          <w:noProof/>
          <w:sz w:val="24"/>
          <w:szCs w:val="24"/>
          <w:lang w:val="en-US" w:eastAsia="zh-TW"/>
        </w:rPr>
        <w:pict>
          <v:shape id="_x0000_s1032" type="#_x0000_t202" style="position:absolute;left:0;text-align:left;margin-left:-14.55pt;margin-top:-8.05pt;width:40pt;height:48.95pt;z-index:251666432;mso-height-percent:200;mso-height-percent:200;mso-width-relative:margin;mso-height-relative:margin" filled="f" stroked="f">
            <v:textbox style="mso-fit-shape-to-text:t">
              <w:txbxContent>
                <w:p w:rsidR="002D7C9B" w:rsidRPr="000B0117" w:rsidRDefault="002D7C9B" w:rsidP="00BC7652">
                  <w:pPr>
                    <w:rPr>
                      <w:rFonts w:ascii="Times New Roman" w:hAnsi="Times New Roman" w:cs="Times New Roman"/>
                      <w:sz w:val="48"/>
                      <w:szCs w:val="48"/>
                    </w:rPr>
                  </w:pPr>
                  <w:r w:rsidRPr="000B0117">
                    <w:rPr>
                      <w:rFonts w:ascii="Times New Roman" w:hAnsi="Times New Roman" w:cs="Times New Roman"/>
                      <w:sz w:val="48"/>
                      <w:szCs w:val="48"/>
                    </w:rPr>
                    <w:t>A</w:t>
                  </w:r>
                </w:p>
              </w:txbxContent>
            </v:textbox>
          </v:shape>
        </w:pict>
      </w:r>
      <w:r>
        <w:rPr>
          <w:rFonts w:ascii="Times New Roman" w:hAnsi="Times New Roman" w:cs="Times New Roman"/>
          <w:noProof/>
          <w:sz w:val="24"/>
          <w:szCs w:val="24"/>
          <w:lang w:eastAsia="en-GB"/>
        </w:rPr>
        <w:drawing>
          <wp:inline distT="0" distB="0" distL="0" distR="0">
            <wp:extent cx="5019472" cy="1692613"/>
            <wp:effectExtent l="0" t="0" r="0" b="0"/>
            <wp:docPr id="61" name="Picture 0" descr="DuFrene Lactococcu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Frene Lactococcus.emf"/>
                    <pic:cNvPicPr/>
                  </pic:nvPicPr>
                  <pic:blipFill>
                    <a:blip r:embed="rId29" cstate="print"/>
                    <a:srcRect l="4715" t="9669" b="44392"/>
                    <a:stretch>
                      <a:fillRect/>
                    </a:stretch>
                  </pic:blipFill>
                  <pic:spPr>
                    <a:xfrm>
                      <a:off x="0" y="0"/>
                      <a:ext cx="5019472" cy="1692613"/>
                    </a:xfrm>
                    <a:prstGeom prst="rect">
                      <a:avLst/>
                    </a:prstGeom>
                  </pic:spPr>
                </pic:pic>
              </a:graphicData>
            </a:graphic>
          </wp:inline>
        </w:drawing>
      </w:r>
    </w:p>
    <w:p w:rsidR="00BC7652" w:rsidRDefault="00BC7652" w:rsidP="00BC7652">
      <w:pPr>
        <w:spacing w:after="120" w:line="480" w:lineRule="auto"/>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4320000" cy="2944615"/>
            <wp:effectExtent l="0" t="0" r="4350" b="0"/>
            <wp:docPr id="62" name="Picture 7" descr="Figure 1-15B Dufrene model.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15B Dufrene model.emf"/>
                    <pic:cNvPicPr/>
                  </pic:nvPicPr>
                  <pic:blipFill>
                    <a:blip r:embed="rId30" cstate="print"/>
                    <a:stretch>
                      <a:fillRect/>
                    </a:stretch>
                  </pic:blipFill>
                  <pic:spPr>
                    <a:xfrm>
                      <a:off x="0" y="0"/>
                      <a:ext cx="4320000" cy="2944615"/>
                    </a:xfrm>
                    <a:prstGeom prst="rect">
                      <a:avLst/>
                    </a:prstGeom>
                  </pic:spPr>
                </pic:pic>
              </a:graphicData>
            </a:graphic>
          </wp:inline>
        </w:drawing>
      </w:r>
    </w:p>
    <w:p w:rsidR="00BC7652" w:rsidRPr="00C521B3" w:rsidRDefault="00BC7652" w:rsidP="00BC7652">
      <w:pPr>
        <w:spacing w:after="120" w:line="360" w:lineRule="auto"/>
        <w:jc w:val="both"/>
        <w:rPr>
          <w:rFonts w:ascii="Times New Roman" w:hAnsi="Times New Roman" w:cs="Times New Roman"/>
          <w:color w:val="000000" w:themeColor="text1"/>
          <w:sz w:val="24"/>
          <w:szCs w:val="24"/>
        </w:rPr>
      </w:pPr>
      <w:proofErr w:type="gramStart"/>
      <w:r w:rsidRPr="0074636C">
        <w:rPr>
          <w:rFonts w:ascii="Times New Roman" w:hAnsi="Times New Roman" w:cs="Times New Roman"/>
          <w:b/>
          <w:color w:val="000000"/>
          <w:sz w:val="24"/>
          <w:szCs w:val="24"/>
        </w:rPr>
        <w:t>Figure 1.1</w:t>
      </w:r>
      <w:r>
        <w:rPr>
          <w:rFonts w:ascii="Times New Roman" w:hAnsi="Times New Roman" w:cs="Times New Roman"/>
          <w:b/>
          <w:color w:val="000000"/>
          <w:sz w:val="24"/>
          <w:szCs w:val="24"/>
        </w:rPr>
        <w:t>6.</w:t>
      </w:r>
      <w:proofErr w:type="gramEnd"/>
      <w:r>
        <w:rPr>
          <w:rFonts w:ascii="Times New Roman" w:hAnsi="Times New Roman" w:cs="Times New Roman"/>
          <w:b/>
          <w:color w:val="000000"/>
          <w:sz w:val="24"/>
          <w:szCs w:val="24"/>
        </w:rPr>
        <w:t xml:space="preserve"> </w:t>
      </w:r>
      <w:proofErr w:type="gramStart"/>
      <w:r>
        <w:rPr>
          <w:rFonts w:ascii="Times New Roman" w:hAnsi="Times New Roman" w:cs="Times New Roman"/>
          <w:b/>
          <w:color w:val="000000"/>
          <w:sz w:val="24"/>
          <w:szCs w:val="24"/>
        </w:rPr>
        <w:t>A</w:t>
      </w:r>
      <w:r w:rsidRPr="0074636C">
        <w:rPr>
          <w:rFonts w:ascii="Times New Roman" w:hAnsi="Times New Roman" w:cs="Times New Roman"/>
          <w:b/>
          <w:color w:val="000000"/>
          <w:sz w:val="24"/>
          <w:szCs w:val="24"/>
        </w:rPr>
        <w:t>F</w:t>
      </w:r>
      <w:r>
        <w:rPr>
          <w:rFonts w:ascii="Times New Roman" w:hAnsi="Times New Roman" w:cs="Times New Roman"/>
          <w:b/>
          <w:color w:val="000000"/>
          <w:sz w:val="24"/>
          <w:szCs w:val="24"/>
        </w:rPr>
        <w:t>M</w:t>
      </w:r>
      <w:r w:rsidRPr="0074636C">
        <w:rPr>
          <w:rFonts w:ascii="Times New Roman" w:hAnsi="Times New Roman" w:cs="Times New Roman"/>
          <w:b/>
          <w:color w:val="000000"/>
          <w:sz w:val="24"/>
          <w:szCs w:val="24"/>
        </w:rPr>
        <w:t xml:space="preserve"> of the cell surface in living </w:t>
      </w:r>
      <w:r w:rsidRPr="0074636C">
        <w:rPr>
          <w:rFonts w:ascii="Times New Roman" w:hAnsi="Times New Roman" w:cs="Times New Roman"/>
          <w:b/>
          <w:i/>
          <w:color w:val="000000"/>
          <w:sz w:val="24"/>
          <w:szCs w:val="24"/>
        </w:rPr>
        <w:t xml:space="preserve">L. lactis </w:t>
      </w:r>
      <w:r w:rsidRPr="0074636C">
        <w:rPr>
          <w:rFonts w:ascii="Times New Roman" w:hAnsi="Times New Roman" w:cs="Times New Roman"/>
          <w:b/>
          <w:color w:val="000000"/>
          <w:sz w:val="24"/>
          <w:szCs w:val="24"/>
        </w:rPr>
        <w:t>cells.</w:t>
      </w:r>
      <w:proofErr w:type="gramEnd"/>
      <w:r>
        <w:rPr>
          <w:rFonts w:ascii="Times New Roman" w:hAnsi="Times New Roman" w:cs="Times New Roman"/>
          <w:color w:val="000000"/>
          <w:sz w:val="24"/>
          <w:szCs w:val="24"/>
        </w:rPr>
        <w:t xml:space="preserve"> </w:t>
      </w:r>
      <w:proofErr w:type="gramStart"/>
      <w:r>
        <w:rPr>
          <w:rFonts w:ascii="Times New Roman" w:hAnsi="Times New Roman" w:cs="Times New Roman"/>
          <w:color w:val="000000"/>
          <w:sz w:val="24"/>
          <w:szCs w:val="24"/>
        </w:rPr>
        <w:t xml:space="preserve">A, AFM images (a-c) of a living </w:t>
      </w:r>
      <w:r>
        <w:rPr>
          <w:rFonts w:ascii="Times New Roman" w:hAnsi="Times New Roman" w:cs="Times New Roman"/>
          <w:i/>
          <w:color w:val="000000"/>
          <w:sz w:val="24"/>
          <w:szCs w:val="24"/>
        </w:rPr>
        <w:t xml:space="preserve">L. lactis </w:t>
      </w:r>
      <w:r>
        <w:rPr>
          <w:rFonts w:ascii="Times New Roman" w:hAnsi="Times New Roman" w:cs="Times New Roman"/>
          <w:color w:val="000000"/>
          <w:sz w:val="24"/>
          <w:szCs w:val="24"/>
        </w:rPr>
        <w:t>pellicle mutant, displaying an architecture of circumferential bands, oriented perpendicular to the long axis of the cell.</w:t>
      </w:r>
      <w:proofErr w:type="gramEnd"/>
      <w:r>
        <w:rPr>
          <w:rFonts w:ascii="Times New Roman" w:hAnsi="Times New Roman" w:cs="Times New Roman"/>
          <w:color w:val="000000"/>
          <w:sz w:val="24"/>
          <w:szCs w:val="24"/>
        </w:rPr>
        <w:t xml:space="preserve"> B, Model of peptidoglycan architecture in </w:t>
      </w:r>
      <w:r>
        <w:rPr>
          <w:rFonts w:ascii="Times New Roman" w:hAnsi="Times New Roman" w:cs="Times New Roman"/>
          <w:i/>
          <w:color w:val="000000"/>
          <w:sz w:val="24"/>
          <w:szCs w:val="24"/>
        </w:rPr>
        <w:t>L. lactis</w:t>
      </w:r>
      <w:r>
        <w:rPr>
          <w:rFonts w:ascii="Times New Roman" w:hAnsi="Times New Roman" w:cs="Times New Roman"/>
          <w:color w:val="000000"/>
          <w:sz w:val="24"/>
          <w:szCs w:val="24"/>
        </w:rPr>
        <w:t xml:space="preserve"> showing circumferential hoops of peptidoglycan bundles, one layer thick. </w:t>
      </w:r>
      <w:r w:rsidRPr="00C521B3">
        <w:rPr>
          <w:rFonts w:ascii="Times New Roman" w:hAnsi="Times New Roman" w:cs="Times New Roman"/>
          <w:color w:val="000000" w:themeColor="text1"/>
          <w:sz w:val="24"/>
          <w:szCs w:val="24"/>
        </w:rPr>
        <w:t xml:space="preserve">Adapted from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{"citationID":"1u04jh0llf","properties":{"formattedCitation":"{\\rtf (Andre et al., 2010; M\\uc0\\u252{}ller and Dufr\\uc0\\u234{}ne, 2011)}","plainCitation":"(Andre et al., 2010; Müller and Dufrêne, 2011)"},"citationItems":[{"id":92,"uris":["http://zotero.org/users/944474/items/HJM9TTUJ"],"uri":["http://zotero.org/users/944474/items/HJM9TTUJ"],"itemData":{"id":92,"type":"article-journal","title":"Imaging the nanoscale organization of peptidoglycan in living Lactococcus lactis cells","container-title":"Nature Communications","page":"27","volume":"1","abstract":"The spatial organization of peptidoglycan, the major constituent of bacterial cell-walls, is an important, yet still unsolved issue in microbiology. In this paper, we show that the combined use of atomic force microscopy and cell wall mutants is a powerful platform for probing the nanoscale architecture of cell wall peptidoglycan in living Gram-positive bacteria. Using topographic imaging, we found that Lactococcus lactis wild-type cells display a smooth, featureless surface morphology, whereas mutant strains lacking cell wall exopolysaccharides feature 25-nm-wide periodic bands running parallel to the short axis of the cell. In addition, we used single-molecule recognition imaging to show that parallel bands are made of peptidoglycan. Our data, obtained for the first time on living ovococci, argue for an architectural feature of the cell wall in the plane perpendicular to the long axis of the cell. The non-invasive live cell experiments presented here open new avenues for understanding the architecture and assembly of peptidoglycan in Gram-positive bacteria.","DOI":"10.1038/ncomms1027","note":"PMID: 20975688","journalAbbreviation":"Nat Commun","author":[{"family":"Andre","given":"Guillaume"},{"family":"Kulakauskas","given":"Saulius"},{"family":"Chapot-Chartier","given":"Marie-Pierre"},{"family":"Navet","given":"Benjamine"},{"family":"Deghorain","given":"Marie"},{"family":"Bernard","given":"Elvis"},{"family":"Hols","given":"Pascal"},{"family":"Dufrêne","given":"Yves F"}],"issued":{"year":2010},"accessed":{"year":2012,"month":4,"day":2},"page-first":"27"}},{"id":340,"uris":["http://zotero.org/users/944474/items/N2Z23E77"],"uri":["http://zotero.org/users/944474/items/N2Z23E77"],"itemData":{"id":340,"type":"article-journal","title":"Atomic force microscopy: a nanoscopic window on the cell surface","container-title":"Trends in cell biology","page":"461-469","volume":"21","issue":"8","abstract":"Atomic force microscopy (AFM) techniques provide a versatile platform for imaging and manipulating living cells to single-molecule resolution, thereby enabling us to address pertinent questions in key areas of cell biology, including cell adhesion and signalling, embryonic and tissue development, cell division and shape, and microbial pathogenesis. In this review, we describe the principles of AFM, and survey recent breakthroughs made in AFM-based cell nanoscopy, showing how the technology has increased our molecular understanding of the organization, mechanics, interactions and processes of the cell surface. We also discuss the advantages and limitations of AFM techniques, and the challenges remaining to be addressed in future research.","DOI":"10.1016/j.tcb.2011.04.008","note":"PMID: 21664134","shortTitle":"Atomic force microscopy","journalAbbreviation":"Trends Cell Biol.","author":[{"family":"Müller","given":"Daniel J"},{"family":"Dufrêne","given":"Yves F"}],"issued":{"year":2011,"month":8},"accessed":{"year":2012,"month":6,"day":3},"page-first":"461"}}],"schema":"https://github.com/citation-style-language/schema/raw/master/csl-citation.json"}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szCs w:val="24"/>
        </w:rPr>
        <w:t xml:space="preserve">(Andre </w:t>
      </w:r>
      <w:r w:rsidRPr="002F5D6E">
        <w:rPr>
          <w:rFonts w:ascii="Times New Roman" w:hAnsi="Times New Roman" w:cs="Times New Roman"/>
          <w:i/>
          <w:color w:val="000000" w:themeColor="text1"/>
          <w:sz w:val="24"/>
          <w:szCs w:val="24"/>
        </w:rPr>
        <w:t>et al</w:t>
      </w:r>
      <w:r w:rsidRPr="00C521B3">
        <w:rPr>
          <w:rFonts w:ascii="Times New Roman" w:hAnsi="Times New Roman" w:cs="Times New Roman"/>
          <w:color w:val="000000" w:themeColor="text1"/>
          <w:sz w:val="24"/>
          <w:szCs w:val="24"/>
        </w:rPr>
        <w:t>., 2010; Müller and Dufrêne, 2011)</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w:t>
      </w:r>
    </w:p>
    <w:p w:rsidR="00BC7652" w:rsidRDefault="00BC7652" w:rsidP="00BC7652">
      <w:pPr>
        <w:rPr>
          <w:rFonts w:ascii="Times New Roman" w:hAnsi="Times New Roman" w:cs="Times New Roman"/>
          <w:color w:val="000000"/>
          <w:sz w:val="24"/>
          <w:szCs w:val="24"/>
        </w:rPr>
      </w:pPr>
      <w:r>
        <w:rPr>
          <w:rFonts w:ascii="Times New Roman" w:hAnsi="Times New Roman" w:cs="Times New Roman"/>
          <w:color w:val="000000"/>
          <w:sz w:val="24"/>
          <w:szCs w:val="24"/>
        </w:rPr>
        <w:br w:type="page"/>
      </w:r>
    </w:p>
    <w:p w:rsidR="00BC7652" w:rsidRPr="002B04AE" w:rsidRDefault="00BC7652" w:rsidP="00BC7652">
      <w:pPr>
        <w:autoSpaceDE w:val="0"/>
        <w:autoSpaceDN w:val="0"/>
        <w:adjustRightInd w:val="0"/>
        <w:spacing w:after="120" w:line="480" w:lineRule="auto"/>
        <w:jc w:val="both"/>
        <w:rPr>
          <w:rFonts w:ascii="Times New Roman" w:hAnsi="Times New Roman" w:cs="Times New Roman"/>
          <w:sz w:val="24"/>
          <w:szCs w:val="24"/>
        </w:rPr>
      </w:pPr>
      <w:r w:rsidRPr="006D48B6">
        <w:rPr>
          <w:rFonts w:ascii="Times New Roman" w:hAnsi="Times New Roman" w:cs="Times New Roman"/>
          <w:sz w:val="28"/>
          <w:szCs w:val="28"/>
        </w:rPr>
        <w:lastRenderedPageBreak/>
        <w:t>1.</w:t>
      </w:r>
      <w:r>
        <w:rPr>
          <w:rFonts w:ascii="Times New Roman" w:hAnsi="Times New Roman" w:cs="Times New Roman"/>
          <w:sz w:val="28"/>
          <w:szCs w:val="28"/>
        </w:rPr>
        <w:t>9</w:t>
      </w:r>
      <w:r>
        <w:rPr>
          <w:rFonts w:ascii="Times New Roman" w:hAnsi="Times New Roman" w:cs="Times New Roman"/>
          <w:sz w:val="28"/>
          <w:szCs w:val="28"/>
        </w:rPr>
        <w:tab/>
        <w:t>Project aims</w:t>
      </w:r>
    </w:p>
    <w:p w:rsidR="00BC7652" w:rsidRDefault="00BC7652" w:rsidP="00BC7652">
      <w:pPr>
        <w:tabs>
          <w:tab w:val="left" w:pos="1276"/>
        </w:tabs>
        <w:autoSpaceDE w:val="0"/>
        <w:autoSpaceDN w:val="0"/>
        <w:adjustRightInd w:val="0"/>
        <w:spacing w:after="120" w:line="48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Previous work in this lab has </w:t>
      </w:r>
      <w:r w:rsidRPr="00C521B3">
        <w:rPr>
          <w:rFonts w:ascii="Times New Roman" w:hAnsi="Times New Roman" w:cs="Times New Roman"/>
          <w:color w:val="000000" w:themeColor="text1"/>
          <w:sz w:val="24"/>
          <w:szCs w:val="24"/>
        </w:rPr>
        <w:t xml:space="preserve">characterised the peptidoglycan architecture of the Gram-positive rod-shaped bacterium </w:t>
      </w:r>
      <w:r w:rsidRPr="00C521B3">
        <w:rPr>
          <w:rFonts w:ascii="Times New Roman" w:hAnsi="Times New Roman" w:cs="Times New Roman"/>
          <w:i/>
          <w:color w:val="000000" w:themeColor="text1"/>
          <w:sz w:val="24"/>
          <w:szCs w:val="24"/>
        </w:rPr>
        <w:t>B. subtilis</w:t>
      </w:r>
      <w:r w:rsidRPr="00C521B3">
        <w:rPr>
          <w:rFonts w:ascii="Times New Roman" w:hAnsi="Times New Roman" w:cs="Times New Roman"/>
          <w:color w:val="000000" w:themeColor="text1"/>
          <w:sz w:val="24"/>
          <w:szCs w:val="24"/>
        </w:rPr>
        <w:t xml:space="preserve"> </w:t>
      </w:r>
      <w:r w:rsidRPr="00C521B3">
        <w:rPr>
          <w:rFonts w:ascii="Times New Roman" w:hAnsi="Times New Roman" w:cs="Times New Roman"/>
          <w:color w:val="000000" w:themeColor="text1"/>
          <w:sz w:val="24"/>
          <w:szCs w:val="24"/>
        </w:rPr>
        <w:fldChar w:fldCharType="begin"/>
      </w:r>
      <w:r w:rsidRPr="00C521B3">
        <w:rPr>
          <w:rFonts w:ascii="Times New Roman" w:hAnsi="Times New Roman" w:cs="Times New Roman"/>
          <w:color w:val="000000" w:themeColor="text1"/>
          <w:sz w:val="24"/>
          <w:szCs w:val="24"/>
        </w:rPr>
        <w:instrText xml:space="preserve"> ADDIN ZOTERO_ITEM CSL_CITATION {"citationID":"21rp8l7m49","properties":{"formattedCitation":"(Hayhurst et al., 2008)","plainCitation":"(Hayhurst et al., 2008)"},"citationItems":[{"id":77,"uris":["http://zotero.org/users/944474/items/Z6IUFDEB"],"uri":["http://zotero.org/users/944474/items/Z6IUFDEB"],"itemData":{"id":77,"type":"article-journal","title":"Cell wall peptidoglycan architecture in Bacillus subtilis","container-title":"Proceedings of the National Academy of Sciences of the United States of America","page":"14603-14608","volume":"105","issue":"38","abstract":"The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polymer.","DOI":"10.1073/pnas.0804138105","note":"PMID: 18784364","journalAbbreviation":"Proc. Natl. Acad. Sci. U.S.A.","author":[{"family":"Hayhurst","given":"Emma J"},{"family":"Kailas","given":"Lekshmi"},{"family":"Hobbs","given":"Jamie K"},{"family":"Foster","given":"Simon J"}],"issued":{"year":2008,"month":9,"day":23},"accessed":{"year":2012,"month":3,"day":7},"page-first":"14603"}}],"schema":"https://github.com/citation-style-language/schema/raw/master/csl-citation.json"} </w:instrText>
      </w:r>
      <w:r w:rsidRPr="00C521B3">
        <w:rPr>
          <w:rFonts w:ascii="Times New Roman" w:hAnsi="Times New Roman" w:cs="Times New Roman"/>
          <w:color w:val="000000" w:themeColor="text1"/>
          <w:sz w:val="24"/>
          <w:szCs w:val="24"/>
        </w:rPr>
        <w:fldChar w:fldCharType="separate"/>
      </w:r>
      <w:r w:rsidRPr="00C521B3">
        <w:rPr>
          <w:rFonts w:ascii="Times New Roman" w:hAnsi="Times New Roman" w:cs="Times New Roman"/>
          <w:color w:val="000000" w:themeColor="text1"/>
          <w:sz w:val="24"/>
        </w:rPr>
        <w:t xml:space="preserve">(Hayhurst </w:t>
      </w:r>
      <w:r w:rsidRPr="002F5D6E">
        <w:rPr>
          <w:rFonts w:ascii="Times New Roman" w:hAnsi="Times New Roman" w:cs="Times New Roman"/>
          <w:i/>
          <w:color w:val="000000" w:themeColor="text1"/>
          <w:sz w:val="24"/>
        </w:rPr>
        <w:t>et al</w:t>
      </w:r>
      <w:r w:rsidRPr="00C521B3">
        <w:rPr>
          <w:rFonts w:ascii="Times New Roman" w:hAnsi="Times New Roman" w:cs="Times New Roman"/>
          <w:color w:val="000000" w:themeColor="text1"/>
          <w:sz w:val="24"/>
        </w:rPr>
        <w:t>., 2008)</w:t>
      </w:r>
      <w:r w:rsidRPr="00C521B3">
        <w:rPr>
          <w:rFonts w:ascii="Times New Roman" w:hAnsi="Times New Roman" w:cs="Times New Roman"/>
          <w:color w:val="000000" w:themeColor="text1"/>
          <w:sz w:val="24"/>
          <w:szCs w:val="24"/>
        </w:rPr>
        <w:fldChar w:fldCharType="end"/>
      </w:r>
      <w:r w:rsidRPr="00C521B3">
        <w:rPr>
          <w:rFonts w:ascii="Times New Roman" w:hAnsi="Times New Roman" w:cs="Times New Roman"/>
          <w:color w:val="000000" w:themeColor="text1"/>
          <w:sz w:val="24"/>
          <w:szCs w:val="24"/>
        </w:rPr>
        <w:t>. The current study aim</w:t>
      </w:r>
      <w:r>
        <w:rPr>
          <w:rFonts w:ascii="Times New Roman" w:hAnsi="Times New Roman" w:cs="Times New Roman"/>
          <w:color w:val="000000" w:themeColor="text1"/>
          <w:sz w:val="24"/>
          <w:szCs w:val="24"/>
        </w:rPr>
        <w:t>ed</w:t>
      </w:r>
      <w:r w:rsidRPr="00C521B3">
        <w:rPr>
          <w:rFonts w:ascii="Times New Roman" w:hAnsi="Times New Roman" w:cs="Times New Roman"/>
          <w:color w:val="000000" w:themeColor="text1"/>
          <w:sz w:val="24"/>
          <w:szCs w:val="24"/>
        </w:rPr>
        <w:t xml:space="preserve"> to further characterise the peptidoglycan architecture of Gram-positive bacteria by analysis of organisms with alternative morphologies</w:t>
      </w:r>
      <w:r>
        <w:rPr>
          <w:rFonts w:ascii="Times New Roman" w:hAnsi="Times New Roman" w:cs="Times New Roman"/>
          <w:color w:val="000000" w:themeColor="text1"/>
          <w:sz w:val="24"/>
          <w:szCs w:val="24"/>
        </w:rPr>
        <w:t>.</w:t>
      </w:r>
    </w:p>
    <w:p w:rsidR="00BC7652" w:rsidRDefault="00BC7652" w:rsidP="00BC7652">
      <w:pPr>
        <w:tabs>
          <w:tab w:val="left" w:pos="1276"/>
        </w:tabs>
        <w:autoSpaceDE w:val="0"/>
        <w:autoSpaceDN w:val="0"/>
        <w:adjustRightInd w:val="0"/>
        <w:spacing w:after="120" w:line="480" w:lineRule="auto"/>
        <w:jc w:val="both"/>
        <w:rPr>
          <w:rFonts w:ascii="Times New Roman" w:hAnsi="Times New Roman" w:cs="Times New Roman"/>
          <w:noProof/>
          <w:color w:val="000000"/>
          <w:sz w:val="24"/>
          <w:szCs w:val="24"/>
          <w:lang w:eastAsia="en-GB"/>
        </w:rPr>
      </w:pPr>
      <w:r>
        <w:rPr>
          <w:rFonts w:ascii="Times New Roman" w:hAnsi="Times New Roman" w:cs="Times New Roman"/>
          <w:color w:val="000000" w:themeColor="text1"/>
          <w:sz w:val="24"/>
          <w:szCs w:val="24"/>
        </w:rPr>
        <w:t xml:space="preserve">The first aim of this study was </w:t>
      </w:r>
      <w:r>
        <w:rPr>
          <w:rFonts w:ascii="Times New Roman" w:hAnsi="Times New Roman" w:cs="Times New Roman"/>
          <w:sz w:val="24"/>
          <w:szCs w:val="24"/>
        </w:rPr>
        <w:t>to develop a model of peptidoglycan architecture in ovococcal bacteria</w:t>
      </w:r>
      <w:r>
        <w:rPr>
          <w:rFonts w:ascii="Times New Roman" w:hAnsi="Times New Roman" w:cs="Times New Roman"/>
          <w:noProof/>
          <w:color w:val="000000"/>
          <w:sz w:val="24"/>
          <w:szCs w:val="24"/>
          <w:lang w:eastAsia="en-GB"/>
        </w:rPr>
        <w:t>, by</w:t>
      </w:r>
      <w:r>
        <w:rPr>
          <w:rFonts w:ascii="Times New Roman" w:hAnsi="Times New Roman" w:cs="Times New Roman"/>
          <w:color w:val="000000" w:themeColor="text1"/>
          <w:sz w:val="24"/>
          <w:szCs w:val="24"/>
        </w:rPr>
        <w:t xml:space="preserve"> combining biochemical analysis of ovococcal peptidoglycan with </w:t>
      </w:r>
      <w:r w:rsidRPr="00C521B3">
        <w:rPr>
          <w:rFonts w:ascii="Times New Roman" w:hAnsi="Times New Roman" w:cs="Times New Roman"/>
          <w:color w:val="000000" w:themeColor="text1"/>
          <w:sz w:val="24"/>
          <w:szCs w:val="24"/>
        </w:rPr>
        <w:t>atomic force microscopy (AFM</w:t>
      </w:r>
      <w:r>
        <w:rPr>
          <w:rFonts w:ascii="Times New Roman" w:hAnsi="Times New Roman" w:cs="Times New Roman"/>
          <w:sz w:val="24"/>
          <w:szCs w:val="24"/>
        </w:rPr>
        <w:t>)</w:t>
      </w:r>
      <w:r>
        <w:rPr>
          <w:rFonts w:ascii="Times New Roman" w:hAnsi="Times New Roman" w:cs="Times New Roman"/>
          <w:color w:val="000000" w:themeColor="text1"/>
          <w:sz w:val="24"/>
          <w:szCs w:val="24"/>
        </w:rPr>
        <w:t xml:space="preserve"> of </w:t>
      </w:r>
      <w:r>
        <w:rPr>
          <w:rFonts w:ascii="Times New Roman" w:hAnsi="Times New Roman" w:cs="Times New Roman"/>
          <w:sz w:val="24"/>
          <w:szCs w:val="24"/>
        </w:rPr>
        <w:t>purified sacculi</w:t>
      </w:r>
      <w:r>
        <w:rPr>
          <w:rFonts w:ascii="Times New Roman" w:hAnsi="Times New Roman" w:cs="Times New Roman"/>
          <w:color w:val="000000" w:themeColor="text1"/>
          <w:sz w:val="24"/>
          <w:szCs w:val="24"/>
        </w:rPr>
        <w:t xml:space="preserve"> to identify architectural </w:t>
      </w:r>
      <w:r w:rsidRPr="00C521B3">
        <w:rPr>
          <w:rFonts w:ascii="Times New Roman" w:hAnsi="Times New Roman" w:cs="Times New Roman"/>
          <w:color w:val="000000" w:themeColor="text1"/>
          <w:sz w:val="24"/>
          <w:szCs w:val="24"/>
        </w:rPr>
        <w:t>features</w:t>
      </w:r>
      <w:r>
        <w:rPr>
          <w:rFonts w:ascii="Times New Roman" w:hAnsi="Times New Roman" w:cs="Times New Roman"/>
          <w:sz w:val="24"/>
          <w:szCs w:val="24"/>
        </w:rPr>
        <w:t xml:space="preserve">, and </w:t>
      </w:r>
      <w:r>
        <w:rPr>
          <w:rFonts w:ascii="Times New Roman" w:hAnsi="Times New Roman" w:cs="Times New Roman"/>
          <w:noProof/>
          <w:color w:val="000000"/>
          <w:sz w:val="24"/>
          <w:szCs w:val="24"/>
          <w:lang w:eastAsia="en-GB"/>
        </w:rPr>
        <w:t>super-resolution fluorescence microscopy</w:t>
      </w:r>
      <w:r>
        <w:rPr>
          <w:rFonts w:ascii="Times New Roman" w:hAnsi="Times New Roman" w:cs="Times New Roman"/>
          <w:sz w:val="24"/>
          <w:szCs w:val="24"/>
        </w:rPr>
        <w:t xml:space="preserve"> analysis of the growth dynamics of ovococcal cells.</w:t>
      </w:r>
    </w:p>
    <w:p w:rsidR="00BC7652" w:rsidRDefault="00BC7652" w:rsidP="00BC7652">
      <w:pPr>
        <w:tabs>
          <w:tab w:val="left" w:pos="1276"/>
        </w:tabs>
        <w:autoSpaceDE w:val="0"/>
        <w:autoSpaceDN w:val="0"/>
        <w:adjustRightInd w:val="0"/>
        <w:spacing w:after="120" w:line="480" w:lineRule="auto"/>
        <w:jc w:val="both"/>
        <w:rPr>
          <w:rFonts w:ascii="Times New Roman" w:hAnsi="Times New Roman" w:cs="Times New Roman"/>
          <w:noProof/>
          <w:color w:val="000000"/>
          <w:sz w:val="24"/>
          <w:szCs w:val="24"/>
          <w:lang w:eastAsia="en-GB"/>
        </w:rPr>
      </w:pPr>
      <w:r>
        <w:rPr>
          <w:rFonts w:ascii="Times New Roman" w:hAnsi="Times New Roman" w:cs="Times New Roman"/>
          <w:noProof/>
          <w:color w:val="000000"/>
          <w:sz w:val="24"/>
          <w:szCs w:val="24"/>
          <w:lang w:eastAsia="en-GB"/>
        </w:rPr>
        <w:t xml:space="preserve">The second aim of this study was to characterise the peptidoglycan architecture of the model Gram-positive coccus </w:t>
      </w:r>
      <w:r>
        <w:rPr>
          <w:rFonts w:ascii="Times New Roman" w:hAnsi="Times New Roman" w:cs="Times New Roman"/>
          <w:i/>
          <w:noProof/>
          <w:color w:val="000000"/>
          <w:sz w:val="24"/>
          <w:szCs w:val="24"/>
          <w:lang w:eastAsia="en-GB"/>
        </w:rPr>
        <w:t>S. aureus</w:t>
      </w:r>
      <w:r>
        <w:rPr>
          <w:rFonts w:ascii="Times New Roman" w:hAnsi="Times New Roman" w:cs="Times New Roman"/>
          <w:noProof/>
          <w:color w:val="000000"/>
          <w:sz w:val="24"/>
          <w:szCs w:val="24"/>
          <w:lang w:eastAsia="en-GB"/>
        </w:rPr>
        <w:t xml:space="preserve">, which represents the most basic bacterial morphology, a sphere, yet has a comparatively complex division strategy based on strictly orthogonal planes. </w:t>
      </w:r>
    </w:p>
    <w:p w:rsidR="006C5A4E" w:rsidRDefault="00BC7652" w:rsidP="00BC7652">
      <w:pPr>
        <w:tabs>
          <w:tab w:val="left" w:pos="1276"/>
        </w:tabs>
        <w:autoSpaceDE w:val="0"/>
        <w:autoSpaceDN w:val="0"/>
        <w:adjustRightInd w:val="0"/>
        <w:spacing w:after="120" w:line="480" w:lineRule="auto"/>
        <w:jc w:val="both"/>
        <w:rPr>
          <w:rFonts w:ascii="Times New Roman" w:hAnsi="Times New Roman" w:cs="Times New Roman"/>
          <w:noProof/>
          <w:color w:val="000000"/>
          <w:sz w:val="24"/>
          <w:szCs w:val="24"/>
          <w:lang w:eastAsia="en-GB"/>
        </w:rPr>
      </w:pPr>
      <w:r>
        <w:rPr>
          <w:rFonts w:ascii="Times New Roman" w:hAnsi="Times New Roman" w:cs="Times New Roman"/>
          <w:noProof/>
          <w:color w:val="000000"/>
          <w:sz w:val="24"/>
          <w:szCs w:val="24"/>
          <w:lang w:eastAsia="en-GB"/>
        </w:rPr>
        <w:t xml:space="preserve">Elucidation of the </w:t>
      </w:r>
      <w:r>
        <w:rPr>
          <w:rFonts w:ascii="Times New Roman" w:hAnsi="Times New Roman" w:cs="Times New Roman"/>
          <w:i/>
          <w:noProof/>
          <w:color w:val="000000"/>
          <w:sz w:val="24"/>
          <w:szCs w:val="24"/>
          <w:lang w:eastAsia="en-GB"/>
        </w:rPr>
        <w:t>S. aureus</w:t>
      </w:r>
      <w:r>
        <w:rPr>
          <w:rFonts w:ascii="Times New Roman" w:hAnsi="Times New Roman" w:cs="Times New Roman"/>
          <w:noProof/>
          <w:color w:val="000000"/>
          <w:sz w:val="24"/>
          <w:szCs w:val="24"/>
          <w:lang w:eastAsia="en-GB"/>
        </w:rPr>
        <w:t xml:space="preserve"> cell wall architecture would facilitate further investigation of the cell wall dynamics</w:t>
      </w:r>
      <w:r>
        <w:rPr>
          <w:rFonts w:ascii="Times New Roman" w:hAnsi="Times New Roman" w:cs="Times New Roman"/>
          <w:i/>
          <w:noProof/>
          <w:color w:val="000000"/>
          <w:sz w:val="24"/>
          <w:szCs w:val="24"/>
          <w:lang w:eastAsia="en-GB"/>
        </w:rPr>
        <w:t xml:space="preserve">. </w:t>
      </w:r>
      <w:r>
        <w:rPr>
          <w:rFonts w:ascii="Times New Roman" w:hAnsi="Times New Roman" w:cs="Times New Roman"/>
          <w:noProof/>
          <w:color w:val="000000"/>
          <w:sz w:val="24"/>
          <w:szCs w:val="24"/>
          <w:lang w:eastAsia="en-GB"/>
        </w:rPr>
        <w:t xml:space="preserve">Previous work in the lab identified four putative glucosaminidases in </w:t>
      </w:r>
      <w:r>
        <w:rPr>
          <w:rFonts w:ascii="Times New Roman" w:hAnsi="Times New Roman" w:cs="Times New Roman"/>
          <w:i/>
          <w:noProof/>
          <w:color w:val="000000"/>
          <w:sz w:val="24"/>
          <w:szCs w:val="24"/>
          <w:lang w:eastAsia="en-GB"/>
        </w:rPr>
        <w:t>S. aureus</w:t>
      </w:r>
      <w:r w:rsidRPr="00AB1F66">
        <w:rPr>
          <w:rFonts w:ascii="Times New Roman" w:hAnsi="Times New Roman" w:cs="Times New Roman"/>
          <w:noProof/>
          <w:color w:val="000000"/>
          <w:sz w:val="24"/>
          <w:szCs w:val="24"/>
          <w:lang w:eastAsia="en-GB"/>
        </w:rPr>
        <w:t>.</w:t>
      </w:r>
      <w:r>
        <w:rPr>
          <w:rFonts w:ascii="Times New Roman" w:hAnsi="Times New Roman" w:cs="Times New Roman"/>
          <w:noProof/>
          <w:color w:val="000000"/>
          <w:sz w:val="24"/>
          <w:szCs w:val="24"/>
          <w:lang w:eastAsia="en-GB"/>
        </w:rPr>
        <w:t xml:space="preserve"> The final aim of this study was to determine the role of these enzymes in the cell cycle of </w:t>
      </w:r>
      <w:r w:rsidRPr="00757CF6">
        <w:rPr>
          <w:rFonts w:ascii="Times New Roman" w:hAnsi="Times New Roman" w:cs="Times New Roman"/>
          <w:i/>
          <w:noProof/>
          <w:color w:val="000000"/>
          <w:sz w:val="24"/>
          <w:szCs w:val="24"/>
          <w:lang w:eastAsia="en-GB"/>
        </w:rPr>
        <w:t>S. aureus</w:t>
      </w:r>
      <w:r>
        <w:rPr>
          <w:rFonts w:ascii="Times New Roman" w:hAnsi="Times New Roman" w:cs="Times New Roman"/>
          <w:noProof/>
          <w:color w:val="000000"/>
          <w:sz w:val="24"/>
          <w:szCs w:val="24"/>
          <w:lang w:eastAsia="en-GB"/>
        </w:rPr>
        <w:t>.</w:t>
      </w:r>
    </w:p>
    <w:p w:rsidR="00513C8F" w:rsidRPr="0076399D" w:rsidRDefault="006C5A4E" w:rsidP="00513C8F">
      <w:pPr>
        <w:spacing w:line="360" w:lineRule="auto"/>
        <w:jc w:val="center"/>
        <w:rPr>
          <w:rFonts w:ascii="Times New Roman" w:hAnsi="Times New Roman" w:cs="Times New Roman"/>
          <w:sz w:val="28"/>
          <w:szCs w:val="28"/>
        </w:rPr>
      </w:pPr>
      <w:r>
        <w:rPr>
          <w:rFonts w:ascii="Times New Roman" w:hAnsi="Times New Roman" w:cs="Times New Roman"/>
          <w:noProof/>
          <w:color w:val="000000"/>
          <w:sz w:val="24"/>
          <w:szCs w:val="24"/>
          <w:lang w:eastAsia="en-GB"/>
        </w:rPr>
        <w:br w:type="page"/>
      </w:r>
      <w:r w:rsidR="00513C8F" w:rsidRPr="0076399D">
        <w:rPr>
          <w:rFonts w:ascii="Times New Roman" w:hAnsi="Times New Roman" w:cs="Times New Roman"/>
          <w:sz w:val="28"/>
          <w:szCs w:val="28"/>
        </w:rPr>
        <w:lastRenderedPageBreak/>
        <w:t>Chapter 2</w:t>
      </w:r>
    </w:p>
    <w:p w:rsidR="00513C8F" w:rsidRDefault="00513C8F" w:rsidP="00513C8F">
      <w:pPr>
        <w:spacing w:line="360" w:lineRule="auto"/>
        <w:jc w:val="center"/>
        <w:rPr>
          <w:rFonts w:ascii="Times New Roman" w:hAnsi="Times New Roman" w:cs="Times New Roman"/>
          <w:sz w:val="28"/>
          <w:szCs w:val="28"/>
        </w:rPr>
      </w:pPr>
      <w:r w:rsidRPr="0076399D">
        <w:rPr>
          <w:rFonts w:ascii="Times New Roman" w:hAnsi="Times New Roman" w:cs="Times New Roman"/>
          <w:sz w:val="28"/>
          <w:szCs w:val="28"/>
        </w:rPr>
        <w:t>Materials and Methods</w:t>
      </w:r>
    </w:p>
    <w:p w:rsidR="00513C8F" w:rsidRPr="0076399D" w:rsidRDefault="00513C8F" w:rsidP="00513C8F">
      <w:pPr>
        <w:spacing w:line="360" w:lineRule="auto"/>
        <w:jc w:val="center"/>
        <w:rPr>
          <w:rFonts w:ascii="Times New Roman" w:hAnsi="Times New Roman" w:cs="Times New Roman"/>
          <w:sz w:val="28"/>
          <w:szCs w:val="28"/>
        </w:rPr>
      </w:pPr>
    </w:p>
    <w:p w:rsidR="00513C8F" w:rsidRPr="0076399D" w:rsidRDefault="00513C8F" w:rsidP="00513C8F">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t>2.1</w:t>
      </w:r>
      <w:r w:rsidRPr="0076399D">
        <w:rPr>
          <w:rFonts w:ascii="Times New Roman" w:hAnsi="Times New Roman" w:cs="Times New Roman"/>
          <w:sz w:val="28"/>
          <w:szCs w:val="28"/>
        </w:rPr>
        <w:tab/>
      </w:r>
      <w:r w:rsidRPr="0076399D">
        <w:rPr>
          <w:rFonts w:ascii="Times New Roman" w:hAnsi="Times New Roman" w:cs="Times New Roman"/>
          <w:sz w:val="28"/>
          <w:szCs w:val="28"/>
        </w:rPr>
        <w:tab/>
        <w:t>Growth media</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Unless otherwise stated, all media were prepared using distilled water (dH</w:t>
      </w:r>
      <w:r w:rsidRPr="0076399D">
        <w:rPr>
          <w:rFonts w:ascii="Times New Roman" w:hAnsi="Times New Roman" w:cs="Times New Roman"/>
          <w:sz w:val="24"/>
          <w:szCs w:val="24"/>
          <w:vertAlign w:val="subscript"/>
        </w:rPr>
        <w:t>2</w:t>
      </w:r>
      <w:r w:rsidRPr="0076399D">
        <w:rPr>
          <w:rFonts w:ascii="Times New Roman" w:hAnsi="Times New Roman" w:cs="Times New Roman"/>
          <w:sz w:val="24"/>
          <w:szCs w:val="24"/>
        </w:rPr>
        <w:t>O) and were sterilised by autoclaving for 20 min at 121 °C (15 pounds per square inch).</w:t>
      </w:r>
    </w:p>
    <w:p w:rsidR="00513C8F" w:rsidRPr="0076399D" w:rsidRDefault="00513C8F" w:rsidP="00513C8F">
      <w:pPr>
        <w:spacing w:after="120" w:line="480" w:lineRule="auto"/>
        <w:jc w:val="both"/>
        <w:rPr>
          <w:rFonts w:ascii="Times New Roman" w:hAnsi="Times New Roman" w:cs="Times New Roman"/>
          <w:sz w:val="24"/>
          <w:szCs w:val="24"/>
        </w:rPr>
      </w:pPr>
    </w:p>
    <w:p w:rsidR="00513C8F" w:rsidRPr="0076399D" w:rsidRDefault="00513C8F" w:rsidP="00513C8F">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t>2.1.1</w:t>
      </w:r>
      <w:r w:rsidRPr="0076399D">
        <w:rPr>
          <w:rFonts w:ascii="Times New Roman" w:hAnsi="Times New Roman" w:cs="Times New Roman"/>
          <w:sz w:val="28"/>
          <w:szCs w:val="28"/>
        </w:rPr>
        <w:tab/>
      </w:r>
      <w:r>
        <w:rPr>
          <w:rFonts w:ascii="Times New Roman" w:hAnsi="Times New Roman" w:cs="Times New Roman"/>
          <w:sz w:val="28"/>
          <w:szCs w:val="28"/>
        </w:rPr>
        <w:tab/>
      </w:r>
      <w:r w:rsidRPr="0076399D">
        <w:rPr>
          <w:rFonts w:ascii="Times New Roman" w:hAnsi="Times New Roman" w:cs="Times New Roman"/>
          <w:sz w:val="28"/>
          <w:szCs w:val="28"/>
        </w:rPr>
        <w:t>Tryptone soy broth (TSB)</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Tryptone soy broth (Oxoid)</w:t>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 xml:space="preserve">30 </w:t>
      </w:r>
      <w:r>
        <w:rPr>
          <w:rFonts w:ascii="Times New Roman" w:hAnsi="Times New Roman" w:cs="Times New Roman"/>
          <w:sz w:val="24"/>
          <w:szCs w:val="24"/>
        </w:rPr>
        <w:t>g l</w:t>
      </w:r>
      <w:r w:rsidRPr="00A77109">
        <w:rPr>
          <w:rFonts w:ascii="Times New Roman" w:hAnsi="Times New Roman" w:cs="Times New Roman"/>
          <w:sz w:val="24"/>
          <w:szCs w:val="24"/>
          <w:vertAlign w:val="superscript"/>
        </w:rPr>
        <w:t>-1</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 xml:space="preserve">Oxoid Agar No. 1 (1.5% </w:t>
      </w:r>
      <w:r>
        <w:rPr>
          <w:rFonts w:ascii="Times New Roman" w:hAnsi="Times New Roman" w:cs="Times New Roman"/>
          <w:sz w:val="24"/>
          <w:szCs w:val="24"/>
        </w:rPr>
        <w:t>[</w:t>
      </w:r>
      <w:r w:rsidRPr="0076399D">
        <w:rPr>
          <w:rFonts w:ascii="Times New Roman" w:hAnsi="Times New Roman" w:cs="Times New Roman"/>
          <w:sz w:val="24"/>
          <w:szCs w:val="24"/>
        </w:rPr>
        <w:t>w/v</w:t>
      </w:r>
      <w:r>
        <w:rPr>
          <w:rFonts w:ascii="Times New Roman" w:hAnsi="Times New Roman" w:cs="Times New Roman"/>
          <w:sz w:val="24"/>
          <w:szCs w:val="24"/>
        </w:rPr>
        <w:t>]</w:t>
      </w:r>
      <w:r w:rsidRPr="0076399D">
        <w:rPr>
          <w:rFonts w:ascii="Times New Roman" w:hAnsi="Times New Roman" w:cs="Times New Roman"/>
          <w:sz w:val="24"/>
          <w:szCs w:val="24"/>
        </w:rPr>
        <w:t>) was added for TSB agar (TSA).</w:t>
      </w:r>
    </w:p>
    <w:p w:rsidR="00513C8F" w:rsidRPr="0076399D" w:rsidRDefault="00513C8F" w:rsidP="00513C8F">
      <w:pPr>
        <w:spacing w:after="120" w:line="480" w:lineRule="auto"/>
        <w:jc w:val="both"/>
        <w:rPr>
          <w:rFonts w:ascii="Times New Roman" w:hAnsi="Times New Roman" w:cs="Times New Roman"/>
          <w:sz w:val="24"/>
          <w:szCs w:val="24"/>
        </w:rPr>
      </w:pPr>
    </w:p>
    <w:p w:rsidR="00513C8F" w:rsidRPr="0076399D" w:rsidRDefault="00513C8F" w:rsidP="00513C8F">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t>2.1.2</w:t>
      </w:r>
      <w:r w:rsidRPr="0076399D">
        <w:rPr>
          <w:rFonts w:ascii="Times New Roman" w:hAnsi="Times New Roman" w:cs="Times New Roman"/>
          <w:sz w:val="28"/>
          <w:szCs w:val="28"/>
        </w:rPr>
        <w:tab/>
      </w:r>
      <w:r>
        <w:rPr>
          <w:rFonts w:ascii="Times New Roman" w:hAnsi="Times New Roman" w:cs="Times New Roman"/>
          <w:sz w:val="28"/>
          <w:szCs w:val="28"/>
        </w:rPr>
        <w:tab/>
      </w:r>
      <w:r w:rsidRPr="0076399D">
        <w:rPr>
          <w:rFonts w:ascii="Times New Roman" w:hAnsi="Times New Roman" w:cs="Times New Roman"/>
          <w:sz w:val="28"/>
          <w:szCs w:val="28"/>
        </w:rPr>
        <w:t>Todd Hewitt broth supplemented with yeast extract (THY)</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Todd Hewitt broth (Fluka)</w:t>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 xml:space="preserve">37 </w:t>
      </w:r>
      <w:r>
        <w:rPr>
          <w:rFonts w:ascii="Times New Roman" w:hAnsi="Times New Roman" w:cs="Times New Roman"/>
          <w:sz w:val="24"/>
          <w:szCs w:val="24"/>
        </w:rPr>
        <w:t>g l</w:t>
      </w:r>
      <w:r w:rsidRPr="00A77109">
        <w:rPr>
          <w:rFonts w:ascii="Times New Roman" w:hAnsi="Times New Roman" w:cs="Times New Roman"/>
          <w:sz w:val="24"/>
          <w:szCs w:val="24"/>
          <w:vertAlign w:val="superscript"/>
        </w:rPr>
        <w:t>-1</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 xml:space="preserve">Yeast </w:t>
      </w:r>
      <w:proofErr w:type="gramStart"/>
      <w:r w:rsidRPr="0076399D">
        <w:rPr>
          <w:rFonts w:ascii="Times New Roman" w:hAnsi="Times New Roman" w:cs="Times New Roman"/>
          <w:sz w:val="24"/>
          <w:szCs w:val="24"/>
        </w:rPr>
        <w:t>extract</w:t>
      </w:r>
      <w:proofErr w:type="gramEnd"/>
      <w:r w:rsidRPr="0076399D">
        <w:rPr>
          <w:rFonts w:ascii="Times New Roman" w:hAnsi="Times New Roman" w:cs="Times New Roman"/>
          <w:sz w:val="24"/>
          <w:szCs w:val="24"/>
        </w:rPr>
        <w:t xml:space="preserve"> (Oxoid)</w:t>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 xml:space="preserve">5 </w:t>
      </w:r>
      <w:r>
        <w:rPr>
          <w:rFonts w:ascii="Times New Roman" w:hAnsi="Times New Roman" w:cs="Times New Roman"/>
          <w:sz w:val="24"/>
          <w:szCs w:val="24"/>
        </w:rPr>
        <w:t>g l</w:t>
      </w:r>
      <w:r w:rsidRPr="00A77109">
        <w:rPr>
          <w:rFonts w:ascii="Times New Roman" w:hAnsi="Times New Roman" w:cs="Times New Roman"/>
          <w:sz w:val="24"/>
          <w:szCs w:val="24"/>
          <w:vertAlign w:val="superscript"/>
        </w:rPr>
        <w:t>-1</w:t>
      </w:r>
    </w:p>
    <w:p w:rsidR="00513C8F" w:rsidRPr="0076399D" w:rsidRDefault="00513C8F" w:rsidP="00513C8F">
      <w:pPr>
        <w:spacing w:after="120" w:line="480" w:lineRule="auto"/>
        <w:jc w:val="both"/>
        <w:rPr>
          <w:rFonts w:ascii="Times New Roman" w:hAnsi="Times New Roman" w:cs="Times New Roman"/>
          <w:sz w:val="24"/>
          <w:szCs w:val="24"/>
        </w:rPr>
      </w:pPr>
    </w:p>
    <w:p w:rsidR="00513C8F" w:rsidRPr="0076399D" w:rsidRDefault="00513C8F" w:rsidP="00513C8F">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t>2.1.3</w:t>
      </w:r>
      <w:r w:rsidRPr="0076399D">
        <w:rPr>
          <w:rFonts w:ascii="Times New Roman" w:hAnsi="Times New Roman" w:cs="Times New Roman"/>
          <w:sz w:val="28"/>
          <w:szCs w:val="28"/>
        </w:rPr>
        <w:tab/>
      </w:r>
      <w:r>
        <w:rPr>
          <w:rFonts w:ascii="Times New Roman" w:hAnsi="Times New Roman" w:cs="Times New Roman"/>
          <w:sz w:val="28"/>
          <w:szCs w:val="28"/>
        </w:rPr>
        <w:tab/>
      </w:r>
      <w:r w:rsidRPr="0076399D">
        <w:rPr>
          <w:rFonts w:ascii="Times New Roman" w:hAnsi="Times New Roman" w:cs="Times New Roman"/>
          <w:sz w:val="28"/>
          <w:szCs w:val="28"/>
        </w:rPr>
        <w:t>THY blood agar</w:t>
      </w:r>
    </w:p>
    <w:p w:rsidR="00513C8F"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 xml:space="preserve">Oxoid Agar No. 1 (1.5% </w:t>
      </w:r>
      <w:r>
        <w:rPr>
          <w:rFonts w:ascii="Times New Roman" w:hAnsi="Times New Roman" w:cs="Times New Roman"/>
          <w:sz w:val="24"/>
          <w:szCs w:val="24"/>
        </w:rPr>
        <w:t>[</w:t>
      </w:r>
      <w:r w:rsidRPr="0076399D">
        <w:rPr>
          <w:rFonts w:ascii="Times New Roman" w:hAnsi="Times New Roman" w:cs="Times New Roman"/>
          <w:sz w:val="24"/>
          <w:szCs w:val="24"/>
        </w:rPr>
        <w:t>w/v</w:t>
      </w:r>
      <w:r>
        <w:rPr>
          <w:rFonts w:ascii="Times New Roman" w:hAnsi="Times New Roman" w:cs="Times New Roman"/>
          <w:sz w:val="24"/>
          <w:szCs w:val="24"/>
        </w:rPr>
        <w:t>]</w:t>
      </w:r>
      <w:r w:rsidRPr="0076399D">
        <w:rPr>
          <w:rFonts w:ascii="Times New Roman" w:hAnsi="Times New Roman" w:cs="Times New Roman"/>
          <w:sz w:val="24"/>
          <w:szCs w:val="24"/>
        </w:rPr>
        <w:t xml:space="preserve">) was added to 380 ml </w:t>
      </w:r>
      <w:r>
        <w:rPr>
          <w:rFonts w:ascii="Times New Roman" w:hAnsi="Times New Roman" w:cs="Times New Roman"/>
          <w:sz w:val="24"/>
          <w:szCs w:val="24"/>
        </w:rPr>
        <w:t xml:space="preserve">THY, </w:t>
      </w:r>
      <w:r w:rsidRPr="0076399D">
        <w:rPr>
          <w:rFonts w:ascii="Times New Roman" w:hAnsi="Times New Roman" w:cs="Times New Roman"/>
          <w:sz w:val="24"/>
          <w:szCs w:val="24"/>
        </w:rPr>
        <w:t>autoclaved and cooled to 50 °C</w:t>
      </w:r>
      <w:r>
        <w:rPr>
          <w:rFonts w:ascii="Times New Roman" w:hAnsi="Times New Roman" w:cs="Times New Roman"/>
          <w:sz w:val="24"/>
          <w:szCs w:val="24"/>
        </w:rPr>
        <w:t>.</w:t>
      </w:r>
      <w:r w:rsidRPr="0076399D">
        <w:rPr>
          <w:rFonts w:ascii="Times New Roman" w:hAnsi="Times New Roman" w:cs="Times New Roman"/>
          <w:sz w:val="24"/>
          <w:szCs w:val="24"/>
        </w:rPr>
        <w:t xml:space="preserve"> 20 ml pre-warmed (room temperature) defibrinated horse blood (TCS Biosciences) was added, giving a final horse blood concentration was 5% (w/v). </w:t>
      </w:r>
    </w:p>
    <w:p w:rsidR="00513C8F" w:rsidRDefault="00513C8F" w:rsidP="00513C8F">
      <w:pPr>
        <w:rPr>
          <w:rFonts w:ascii="Times New Roman" w:hAnsi="Times New Roman" w:cs="Times New Roman"/>
          <w:sz w:val="24"/>
          <w:szCs w:val="24"/>
        </w:rPr>
      </w:pPr>
      <w:r>
        <w:rPr>
          <w:rFonts w:ascii="Times New Roman" w:hAnsi="Times New Roman" w:cs="Times New Roman"/>
          <w:sz w:val="24"/>
          <w:szCs w:val="24"/>
        </w:rPr>
        <w:br w:type="page"/>
      </w:r>
    </w:p>
    <w:p w:rsidR="00513C8F" w:rsidRPr="00FF474F" w:rsidRDefault="00513C8F" w:rsidP="00513C8F">
      <w:pPr>
        <w:spacing w:after="120" w:line="480" w:lineRule="auto"/>
        <w:jc w:val="both"/>
        <w:rPr>
          <w:rFonts w:ascii="Times New Roman" w:hAnsi="Times New Roman" w:cs="Times New Roman"/>
          <w:sz w:val="28"/>
          <w:szCs w:val="28"/>
        </w:rPr>
      </w:pPr>
      <w:r w:rsidRPr="00FF474F">
        <w:rPr>
          <w:rFonts w:ascii="Times New Roman" w:hAnsi="Times New Roman" w:cs="Times New Roman"/>
          <w:sz w:val="28"/>
          <w:szCs w:val="28"/>
        </w:rPr>
        <w:lastRenderedPageBreak/>
        <w:t>2.1.4</w:t>
      </w:r>
      <w:r w:rsidRPr="00FF474F">
        <w:rPr>
          <w:rFonts w:ascii="Times New Roman" w:hAnsi="Times New Roman" w:cs="Times New Roman"/>
          <w:sz w:val="28"/>
          <w:szCs w:val="28"/>
        </w:rPr>
        <w:tab/>
      </w:r>
      <w:r>
        <w:rPr>
          <w:rFonts w:ascii="Times New Roman" w:hAnsi="Times New Roman" w:cs="Times New Roman"/>
          <w:sz w:val="28"/>
          <w:szCs w:val="28"/>
        </w:rPr>
        <w:tab/>
        <w:t>Brain Heart Infusion (BHI)</w:t>
      </w:r>
    </w:p>
    <w:p w:rsidR="00513C8F" w:rsidRDefault="00513C8F" w:rsidP="00513C8F">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Brain heart infusion (Oxoid)</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37 g l</w:t>
      </w:r>
      <w:r w:rsidRPr="00A77109">
        <w:rPr>
          <w:rFonts w:ascii="Times New Roman" w:hAnsi="Times New Roman" w:cs="Times New Roman"/>
          <w:sz w:val="24"/>
          <w:szCs w:val="24"/>
          <w:vertAlign w:val="superscript"/>
        </w:rPr>
        <w:t>-1</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 xml:space="preserve">Oxoid Agar No. 1 (1.5% </w:t>
      </w:r>
      <w:r>
        <w:rPr>
          <w:rFonts w:ascii="Times New Roman" w:hAnsi="Times New Roman" w:cs="Times New Roman"/>
          <w:sz w:val="24"/>
          <w:szCs w:val="24"/>
        </w:rPr>
        <w:t>[</w:t>
      </w:r>
      <w:r w:rsidRPr="0076399D">
        <w:rPr>
          <w:rFonts w:ascii="Times New Roman" w:hAnsi="Times New Roman" w:cs="Times New Roman"/>
          <w:sz w:val="24"/>
          <w:szCs w:val="24"/>
        </w:rPr>
        <w:t>w/v</w:t>
      </w:r>
      <w:r>
        <w:rPr>
          <w:rFonts w:ascii="Times New Roman" w:hAnsi="Times New Roman" w:cs="Times New Roman"/>
          <w:sz w:val="24"/>
          <w:szCs w:val="24"/>
        </w:rPr>
        <w:t>]</w:t>
      </w:r>
      <w:r w:rsidRPr="0076399D">
        <w:rPr>
          <w:rFonts w:ascii="Times New Roman" w:hAnsi="Times New Roman" w:cs="Times New Roman"/>
          <w:sz w:val="24"/>
          <w:szCs w:val="24"/>
        </w:rPr>
        <w:t xml:space="preserve">) was added for </w:t>
      </w:r>
      <w:r>
        <w:rPr>
          <w:rFonts w:ascii="Times New Roman" w:hAnsi="Times New Roman" w:cs="Times New Roman"/>
          <w:sz w:val="24"/>
          <w:szCs w:val="24"/>
        </w:rPr>
        <w:t>BHI</w:t>
      </w:r>
      <w:r w:rsidRPr="0076399D">
        <w:rPr>
          <w:rFonts w:ascii="Times New Roman" w:hAnsi="Times New Roman" w:cs="Times New Roman"/>
          <w:sz w:val="24"/>
          <w:szCs w:val="24"/>
        </w:rPr>
        <w:t xml:space="preserve"> agar.</w:t>
      </w:r>
    </w:p>
    <w:p w:rsidR="00513C8F" w:rsidRPr="0076399D" w:rsidRDefault="00513C8F" w:rsidP="00513C8F">
      <w:pPr>
        <w:spacing w:after="120" w:line="480" w:lineRule="auto"/>
        <w:jc w:val="both"/>
        <w:rPr>
          <w:rFonts w:ascii="Times New Roman" w:hAnsi="Times New Roman" w:cs="Times New Roman"/>
          <w:sz w:val="24"/>
          <w:szCs w:val="24"/>
        </w:rPr>
      </w:pPr>
    </w:p>
    <w:p w:rsidR="00513C8F" w:rsidRPr="0076399D" w:rsidRDefault="00513C8F" w:rsidP="00513C8F">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t>2.1.</w:t>
      </w:r>
      <w:r>
        <w:rPr>
          <w:rFonts w:ascii="Times New Roman" w:hAnsi="Times New Roman" w:cs="Times New Roman"/>
          <w:sz w:val="28"/>
          <w:szCs w:val="28"/>
        </w:rPr>
        <w:t>5</w:t>
      </w:r>
      <w:r>
        <w:rPr>
          <w:rFonts w:ascii="Times New Roman" w:hAnsi="Times New Roman" w:cs="Times New Roman"/>
          <w:sz w:val="28"/>
          <w:szCs w:val="28"/>
        </w:rPr>
        <w:tab/>
      </w:r>
      <w:r w:rsidRPr="0076399D">
        <w:rPr>
          <w:rFonts w:ascii="Times New Roman" w:hAnsi="Times New Roman" w:cs="Times New Roman"/>
          <w:sz w:val="28"/>
          <w:szCs w:val="28"/>
        </w:rPr>
        <w:tab/>
        <w:t>Luria-Bertani (LB)</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Tryptone (Oxoid)</w:t>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 xml:space="preserve">10 </w:t>
      </w:r>
      <w:r>
        <w:rPr>
          <w:rFonts w:ascii="Times New Roman" w:hAnsi="Times New Roman" w:cs="Times New Roman"/>
          <w:sz w:val="24"/>
          <w:szCs w:val="24"/>
        </w:rPr>
        <w:t>g l</w:t>
      </w:r>
      <w:r w:rsidRPr="00A77109">
        <w:rPr>
          <w:rFonts w:ascii="Times New Roman" w:hAnsi="Times New Roman" w:cs="Times New Roman"/>
          <w:sz w:val="24"/>
          <w:szCs w:val="24"/>
          <w:vertAlign w:val="superscript"/>
        </w:rPr>
        <w:t>-1</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NaCl</w:t>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 xml:space="preserve">10 </w:t>
      </w:r>
      <w:r>
        <w:rPr>
          <w:rFonts w:ascii="Times New Roman" w:hAnsi="Times New Roman" w:cs="Times New Roman"/>
          <w:sz w:val="24"/>
          <w:szCs w:val="24"/>
        </w:rPr>
        <w:t>g l</w:t>
      </w:r>
      <w:r w:rsidRPr="00A77109">
        <w:rPr>
          <w:rFonts w:ascii="Times New Roman" w:hAnsi="Times New Roman" w:cs="Times New Roman"/>
          <w:sz w:val="24"/>
          <w:szCs w:val="24"/>
          <w:vertAlign w:val="superscript"/>
        </w:rPr>
        <w:t>-1</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 xml:space="preserve">Yeast </w:t>
      </w:r>
      <w:proofErr w:type="gramStart"/>
      <w:r w:rsidRPr="0076399D">
        <w:rPr>
          <w:rFonts w:ascii="Times New Roman" w:hAnsi="Times New Roman" w:cs="Times New Roman"/>
          <w:sz w:val="24"/>
          <w:szCs w:val="24"/>
        </w:rPr>
        <w:t>extract</w:t>
      </w:r>
      <w:proofErr w:type="gramEnd"/>
      <w:r w:rsidRPr="0076399D">
        <w:rPr>
          <w:rFonts w:ascii="Times New Roman" w:hAnsi="Times New Roman" w:cs="Times New Roman"/>
          <w:sz w:val="24"/>
          <w:szCs w:val="24"/>
        </w:rPr>
        <w:t xml:space="preserve"> (Oxoid)</w:t>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 xml:space="preserve">5 </w:t>
      </w:r>
      <w:r>
        <w:rPr>
          <w:rFonts w:ascii="Times New Roman" w:hAnsi="Times New Roman" w:cs="Times New Roman"/>
          <w:sz w:val="24"/>
          <w:szCs w:val="24"/>
        </w:rPr>
        <w:t>g l</w:t>
      </w:r>
      <w:r w:rsidRPr="00A77109">
        <w:rPr>
          <w:rFonts w:ascii="Times New Roman" w:hAnsi="Times New Roman" w:cs="Times New Roman"/>
          <w:sz w:val="24"/>
          <w:szCs w:val="24"/>
          <w:vertAlign w:val="superscript"/>
        </w:rPr>
        <w:t>-1</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 xml:space="preserve">Oxoid Agar No. 1 (1.5% </w:t>
      </w:r>
      <w:r>
        <w:rPr>
          <w:rFonts w:ascii="Times New Roman" w:hAnsi="Times New Roman" w:cs="Times New Roman"/>
          <w:sz w:val="24"/>
          <w:szCs w:val="24"/>
        </w:rPr>
        <w:t>[</w:t>
      </w:r>
      <w:r w:rsidRPr="0076399D">
        <w:rPr>
          <w:rFonts w:ascii="Times New Roman" w:hAnsi="Times New Roman" w:cs="Times New Roman"/>
          <w:sz w:val="24"/>
          <w:szCs w:val="24"/>
        </w:rPr>
        <w:t>w/v</w:t>
      </w:r>
      <w:r>
        <w:rPr>
          <w:rFonts w:ascii="Times New Roman" w:hAnsi="Times New Roman" w:cs="Times New Roman"/>
          <w:sz w:val="24"/>
          <w:szCs w:val="24"/>
        </w:rPr>
        <w:t>]</w:t>
      </w:r>
      <w:r w:rsidRPr="0076399D">
        <w:rPr>
          <w:rFonts w:ascii="Times New Roman" w:hAnsi="Times New Roman" w:cs="Times New Roman"/>
          <w:sz w:val="24"/>
          <w:szCs w:val="24"/>
        </w:rPr>
        <w:t>) was added for LB agar.</w:t>
      </w:r>
    </w:p>
    <w:p w:rsidR="00513C8F" w:rsidRPr="0076399D" w:rsidRDefault="00513C8F" w:rsidP="00513C8F">
      <w:pPr>
        <w:spacing w:after="120" w:line="480" w:lineRule="auto"/>
        <w:jc w:val="both"/>
        <w:rPr>
          <w:rFonts w:ascii="Times New Roman" w:hAnsi="Times New Roman" w:cs="Times New Roman"/>
          <w:sz w:val="24"/>
          <w:szCs w:val="24"/>
        </w:rPr>
      </w:pPr>
    </w:p>
    <w:p w:rsidR="00513C8F" w:rsidRPr="0076399D" w:rsidRDefault="00513C8F" w:rsidP="00513C8F">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t>2.1.</w:t>
      </w:r>
      <w:r>
        <w:rPr>
          <w:rFonts w:ascii="Times New Roman" w:hAnsi="Times New Roman" w:cs="Times New Roman"/>
          <w:sz w:val="28"/>
          <w:szCs w:val="28"/>
        </w:rPr>
        <w:t>6</w:t>
      </w:r>
      <w:r w:rsidRPr="0076399D">
        <w:rPr>
          <w:rFonts w:ascii="Times New Roman" w:hAnsi="Times New Roman" w:cs="Times New Roman"/>
          <w:sz w:val="28"/>
          <w:szCs w:val="28"/>
        </w:rPr>
        <w:tab/>
      </w:r>
      <w:r>
        <w:rPr>
          <w:rFonts w:ascii="Times New Roman" w:hAnsi="Times New Roman" w:cs="Times New Roman"/>
          <w:sz w:val="28"/>
          <w:szCs w:val="28"/>
        </w:rPr>
        <w:tab/>
      </w:r>
      <w:r w:rsidRPr="0076399D">
        <w:rPr>
          <w:rFonts w:ascii="Times New Roman" w:hAnsi="Times New Roman" w:cs="Times New Roman"/>
          <w:sz w:val="28"/>
          <w:szCs w:val="28"/>
        </w:rPr>
        <w:t>LK</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Tryptone (Oxoid)</w:t>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 xml:space="preserve">10 </w:t>
      </w:r>
      <w:r>
        <w:rPr>
          <w:rFonts w:ascii="Times New Roman" w:hAnsi="Times New Roman" w:cs="Times New Roman"/>
          <w:sz w:val="24"/>
          <w:szCs w:val="24"/>
        </w:rPr>
        <w:t>g l</w:t>
      </w:r>
      <w:r w:rsidRPr="00A77109">
        <w:rPr>
          <w:rFonts w:ascii="Times New Roman" w:hAnsi="Times New Roman" w:cs="Times New Roman"/>
          <w:sz w:val="24"/>
          <w:szCs w:val="24"/>
          <w:vertAlign w:val="superscript"/>
        </w:rPr>
        <w:t>-1</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KCl</w:t>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 xml:space="preserve">7 </w:t>
      </w:r>
      <w:r>
        <w:rPr>
          <w:rFonts w:ascii="Times New Roman" w:hAnsi="Times New Roman" w:cs="Times New Roman"/>
          <w:sz w:val="24"/>
          <w:szCs w:val="24"/>
        </w:rPr>
        <w:t>g l</w:t>
      </w:r>
      <w:r w:rsidRPr="00A77109">
        <w:rPr>
          <w:rFonts w:ascii="Times New Roman" w:hAnsi="Times New Roman" w:cs="Times New Roman"/>
          <w:sz w:val="24"/>
          <w:szCs w:val="24"/>
          <w:vertAlign w:val="superscript"/>
        </w:rPr>
        <w:t>-1</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 xml:space="preserve">Yeast </w:t>
      </w:r>
      <w:proofErr w:type="gramStart"/>
      <w:r w:rsidRPr="0076399D">
        <w:rPr>
          <w:rFonts w:ascii="Times New Roman" w:hAnsi="Times New Roman" w:cs="Times New Roman"/>
          <w:sz w:val="24"/>
          <w:szCs w:val="24"/>
        </w:rPr>
        <w:t>extract</w:t>
      </w:r>
      <w:proofErr w:type="gramEnd"/>
      <w:r w:rsidRPr="0076399D">
        <w:rPr>
          <w:rFonts w:ascii="Times New Roman" w:hAnsi="Times New Roman" w:cs="Times New Roman"/>
          <w:sz w:val="24"/>
          <w:szCs w:val="24"/>
        </w:rPr>
        <w:t xml:space="preserve"> (Oxoid)</w:t>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 xml:space="preserve">5 </w:t>
      </w:r>
      <w:r>
        <w:rPr>
          <w:rFonts w:ascii="Times New Roman" w:hAnsi="Times New Roman" w:cs="Times New Roman"/>
          <w:sz w:val="24"/>
          <w:szCs w:val="24"/>
        </w:rPr>
        <w:t>g l</w:t>
      </w:r>
      <w:r w:rsidRPr="00A77109">
        <w:rPr>
          <w:rFonts w:ascii="Times New Roman" w:hAnsi="Times New Roman" w:cs="Times New Roman"/>
          <w:sz w:val="24"/>
          <w:szCs w:val="24"/>
          <w:vertAlign w:val="superscript"/>
        </w:rPr>
        <w:t>-1</w:t>
      </w:r>
    </w:p>
    <w:p w:rsidR="00513C8F" w:rsidRPr="0076399D" w:rsidRDefault="00513C8F" w:rsidP="00513C8F">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For </w:t>
      </w:r>
      <w:r w:rsidRPr="0076399D">
        <w:rPr>
          <w:rFonts w:ascii="Times New Roman" w:hAnsi="Times New Roman" w:cs="Times New Roman"/>
          <w:sz w:val="24"/>
          <w:szCs w:val="24"/>
        </w:rPr>
        <w:t xml:space="preserve">LK citrate </w:t>
      </w:r>
      <w:r>
        <w:rPr>
          <w:rFonts w:ascii="Times New Roman" w:hAnsi="Times New Roman" w:cs="Times New Roman"/>
          <w:sz w:val="24"/>
          <w:szCs w:val="24"/>
        </w:rPr>
        <w:t xml:space="preserve">bottom </w:t>
      </w:r>
      <w:r w:rsidRPr="0076399D">
        <w:rPr>
          <w:rFonts w:ascii="Times New Roman" w:hAnsi="Times New Roman" w:cs="Times New Roman"/>
          <w:sz w:val="24"/>
          <w:szCs w:val="24"/>
        </w:rPr>
        <w:t>agar, 1.0% (w/v)</w:t>
      </w:r>
      <w:r>
        <w:rPr>
          <w:rFonts w:ascii="Times New Roman" w:hAnsi="Times New Roman" w:cs="Times New Roman"/>
          <w:sz w:val="24"/>
          <w:szCs w:val="24"/>
        </w:rPr>
        <w:t xml:space="preserve"> Oxoid Agar No. 1</w:t>
      </w:r>
      <w:r w:rsidRPr="0076399D">
        <w:rPr>
          <w:rFonts w:ascii="Times New Roman" w:hAnsi="Times New Roman" w:cs="Times New Roman"/>
          <w:sz w:val="24"/>
          <w:szCs w:val="24"/>
        </w:rPr>
        <w:t xml:space="preserve">, </w:t>
      </w:r>
      <w:r>
        <w:rPr>
          <w:rFonts w:ascii="Times New Roman" w:hAnsi="Times New Roman" w:cs="Times New Roman"/>
          <w:sz w:val="24"/>
          <w:szCs w:val="24"/>
        </w:rPr>
        <w:t>and</w:t>
      </w:r>
      <w:r w:rsidRPr="0076399D">
        <w:rPr>
          <w:rFonts w:ascii="Times New Roman" w:hAnsi="Times New Roman" w:cs="Times New Roman"/>
          <w:sz w:val="24"/>
          <w:szCs w:val="24"/>
        </w:rPr>
        <w:t xml:space="preserve"> 0.7% (w/v) Oxoid Agar No. 1for LK </w:t>
      </w:r>
      <w:r>
        <w:rPr>
          <w:rFonts w:ascii="Times New Roman" w:hAnsi="Times New Roman" w:cs="Times New Roman"/>
          <w:sz w:val="24"/>
          <w:szCs w:val="24"/>
        </w:rPr>
        <w:t xml:space="preserve">citrate </w:t>
      </w:r>
      <w:r w:rsidRPr="0076399D">
        <w:rPr>
          <w:rFonts w:ascii="Times New Roman" w:hAnsi="Times New Roman" w:cs="Times New Roman"/>
          <w:sz w:val="24"/>
          <w:szCs w:val="24"/>
        </w:rPr>
        <w:t>top agar. Autoclaved LK agar was cooled to 50 °C and then supplemented with 0.05% (w/v) sodium citrate.</w:t>
      </w:r>
    </w:p>
    <w:p w:rsidR="00513C8F" w:rsidRDefault="00513C8F" w:rsidP="00513C8F">
      <w:pPr>
        <w:spacing w:after="120" w:line="480" w:lineRule="auto"/>
        <w:jc w:val="both"/>
        <w:rPr>
          <w:rFonts w:ascii="Times New Roman" w:hAnsi="Times New Roman" w:cs="Times New Roman"/>
          <w:sz w:val="24"/>
          <w:szCs w:val="24"/>
        </w:rPr>
      </w:pPr>
    </w:p>
    <w:p w:rsidR="00513C8F" w:rsidRPr="0076399D" w:rsidRDefault="00513C8F" w:rsidP="00513C8F">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t>2.1.</w:t>
      </w:r>
      <w:r>
        <w:rPr>
          <w:rFonts w:ascii="Times New Roman" w:hAnsi="Times New Roman" w:cs="Times New Roman"/>
          <w:sz w:val="28"/>
          <w:szCs w:val="28"/>
        </w:rPr>
        <w:t>7</w:t>
      </w:r>
      <w:r w:rsidRPr="0076399D">
        <w:rPr>
          <w:rFonts w:ascii="Times New Roman" w:hAnsi="Times New Roman" w:cs="Times New Roman"/>
          <w:sz w:val="28"/>
          <w:szCs w:val="28"/>
        </w:rPr>
        <w:tab/>
      </w:r>
      <w:r>
        <w:rPr>
          <w:rFonts w:ascii="Times New Roman" w:hAnsi="Times New Roman" w:cs="Times New Roman"/>
          <w:sz w:val="28"/>
          <w:szCs w:val="28"/>
        </w:rPr>
        <w:tab/>
      </w:r>
      <w:r w:rsidRPr="0076399D">
        <w:rPr>
          <w:rFonts w:ascii="Times New Roman" w:hAnsi="Times New Roman" w:cs="Times New Roman"/>
          <w:sz w:val="28"/>
          <w:szCs w:val="28"/>
        </w:rPr>
        <w:t>M17</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M17 (Oxoid)</w:t>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 xml:space="preserve">37 </w:t>
      </w:r>
      <w:r>
        <w:rPr>
          <w:rFonts w:ascii="Times New Roman" w:hAnsi="Times New Roman" w:cs="Times New Roman"/>
          <w:sz w:val="24"/>
          <w:szCs w:val="24"/>
        </w:rPr>
        <w:t>g l</w:t>
      </w:r>
      <w:r w:rsidRPr="00A77109">
        <w:rPr>
          <w:rFonts w:ascii="Times New Roman" w:hAnsi="Times New Roman" w:cs="Times New Roman"/>
          <w:sz w:val="24"/>
          <w:szCs w:val="24"/>
          <w:vertAlign w:val="superscript"/>
        </w:rPr>
        <w:t>-1</w:t>
      </w:r>
    </w:p>
    <w:p w:rsidR="00513C8F"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lastRenderedPageBreak/>
        <w:t xml:space="preserve">Autoclaved M17 was cooled to 50 °C and sterile glucose solution added to 0.5% (w/v). Oxoid Agar No. 1 (1.5% </w:t>
      </w:r>
      <w:r>
        <w:rPr>
          <w:rFonts w:ascii="Times New Roman" w:hAnsi="Times New Roman" w:cs="Times New Roman"/>
          <w:sz w:val="24"/>
          <w:szCs w:val="24"/>
        </w:rPr>
        <w:t>[</w:t>
      </w:r>
      <w:r w:rsidRPr="0076399D">
        <w:rPr>
          <w:rFonts w:ascii="Times New Roman" w:hAnsi="Times New Roman" w:cs="Times New Roman"/>
          <w:sz w:val="24"/>
          <w:szCs w:val="24"/>
        </w:rPr>
        <w:t>w/v</w:t>
      </w:r>
      <w:r>
        <w:rPr>
          <w:rFonts w:ascii="Times New Roman" w:hAnsi="Times New Roman" w:cs="Times New Roman"/>
          <w:sz w:val="24"/>
          <w:szCs w:val="24"/>
        </w:rPr>
        <w:t>]</w:t>
      </w:r>
      <w:r w:rsidRPr="0076399D">
        <w:rPr>
          <w:rFonts w:ascii="Times New Roman" w:hAnsi="Times New Roman" w:cs="Times New Roman"/>
          <w:sz w:val="24"/>
          <w:szCs w:val="24"/>
        </w:rPr>
        <w:t>) was added for M17 agar.</w:t>
      </w:r>
    </w:p>
    <w:p w:rsidR="00513C8F" w:rsidRDefault="00513C8F" w:rsidP="00513C8F">
      <w:pPr>
        <w:spacing w:after="120" w:line="480" w:lineRule="auto"/>
        <w:jc w:val="both"/>
        <w:rPr>
          <w:rFonts w:ascii="Times New Roman" w:hAnsi="Times New Roman" w:cs="Times New Roman"/>
          <w:sz w:val="24"/>
          <w:szCs w:val="24"/>
        </w:rPr>
      </w:pPr>
    </w:p>
    <w:p w:rsidR="00513C8F" w:rsidRPr="001773B4" w:rsidRDefault="00513C8F" w:rsidP="00513C8F">
      <w:pPr>
        <w:spacing w:after="120" w:line="480" w:lineRule="auto"/>
        <w:jc w:val="both"/>
        <w:rPr>
          <w:rFonts w:ascii="Times New Roman" w:hAnsi="Times New Roman" w:cs="Times New Roman"/>
          <w:sz w:val="28"/>
          <w:szCs w:val="28"/>
        </w:rPr>
      </w:pPr>
      <w:r w:rsidRPr="001773B4">
        <w:rPr>
          <w:rFonts w:ascii="Times New Roman" w:hAnsi="Times New Roman" w:cs="Times New Roman"/>
          <w:sz w:val="28"/>
          <w:szCs w:val="28"/>
        </w:rPr>
        <w:t>2.1.8</w:t>
      </w:r>
      <w:r w:rsidRPr="001773B4">
        <w:rPr>
          <w:rFonts w:ascii="Times New Roman" w:hAnsi="Times New Roman" w:cs="Times New Roman"/>
          <w:sz w:val="28"/>
          <w:szCs w:val="28"/>
        </w:rPr>
        <w:tab/>
      </w:r>
      <w:r w:rsidRPr="001773B4">
        <w:rPr>
          <w:rFonts w:ascii="Times New Roman" w:hAnsi="Times New Roman" w:cs="Times New Roman"/>
          <w:sz w:val="28"/>
          <w:szCs w:val="28"/>
        </w:rPr>
        <w:tab/>
        <w:t>Nutrient broth (NB)</w:t>
      </w:r>
    </w:p>
    <w:p w:rsidR="00513C8F" w:rsidRDefault="00513C8F" w:rsidP="00513C8F">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Nutrient broth (Oxoid)</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13 g l</w:t>
      </w:r>
      <w:r w:rsidRPr="00A77109">
        <w:rPr>
          <w:rFonts w:ascii="Times New Roman" w:hAnsi="Times New Roman" w:cs="Times New Roman"/>
          <w:sz w:val="24"/>
          <w:szCs w:val="24"/>
          <w:vertAlign w:val="superscript"/>
        </w:rPr>
        <w:t>-1</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 xml:space="preserve">Oxoid Agar No. 1 (1.5% </w:t>
      </w:r>
      <w:r>
        <w:rPr>
          <w:rFonts w:ascii="Times New Roman" w:hAnsi="Times New Roman" w:cs="Times New Roman"/>
          <w:sz w:val="24"/>
          <w:szCs w:val="24"/>
        </w:rPr>
        <w:t>[</w:t>
      </w:r>
      <w:r w:rsidRPr="0076399D">
        <w:rPr>
          <w:rFonts w:ascii="Times New Roman" w:hAnsi="Times New Roman" w:cs="Times New Roman"/>
          <w:sz w:val="24"/>
          <w:szCs w:val="24"/>
        </w:rPr>
        <w:t>w/v</w:t>
      </w:r>
      <w:r>
        <w:rPr>
          <w:rFonts w:ascii="Times New Roman" w:hAnsi="Times New Roman" w:cs="Times New Roman"/>
          <w:sz w:val="24"/>
          <w:szCs w:val="24"/>
        </w:rPr>
        <w:t>]</w:t>
      </w:r>
      <w:r w:rsidRPr="0076399D">
        <w:rPr>
          <w:rFonts w:ascii="Times New Roman" w:hAnsi="Times New Roman" w:cs="Times New Roman"/>
          <w:sz w:val="24"/>
          <w:szCs w:val="24"/>
        </w:rPr>
        <w:t xml:space="preserve">) was added for </w:t>
      </w:r>
      <w:r>
        <w:rPr>
          <w:rFonts w:ascii="Times New Roman" w:hAnsi="Times New Roman" w:cs="Times New Roman"/>
          <w:sz w:val="24"/>
          <w:szCs w:val="24"/>
        </w:rPr>
        <w:t>Nutrient</w:t>
      </w:r>
      <w:r w:rsidRPr="0076399D">
        <w:rPr>
          <w:rFonts w:ascii="Times New Roman" w:hAnsi="Times New Roman" w:cs="Times New Roman"/>
          <w:sz w:val="24"/>
          <w:szCs w:val="24"/>
        </w:rPr>
        <w:t xml:space="preserve"> agar</w:t>
      </w:r>
      <w:r>
        <w:rPr>
          <w:rFonts w:ascii="Times New Roman" w:hAnsi="Times New Roman" w:cs="Times New Roman"/>
          <w:sz w:val="24"/>
          <w:szCs w:val="24"/>
        </w:rPr>
        <w:t xml:space="preserve"> (NA)</w:t>
      </w:r>
      <w:r w:rsidRPr="0076399D">
        <w:rPr>
          <w:rFonts w:ascii="Times New Roman" w:hAnsi="Times New Roman" w:cs="Times New Roman"/>
          <w:sz w:val="24"/>
          <w:szCs w:val="24"/>
        </w:rPr>
        <w:t>.</w:t>
      </w:r>
    </w:p>
    <w:p w:rsidR="00513C8F" w:rsidRDefault="00513C8F" w:rsidP="00513C8F">
      <w:pPr>
        <w:spacing w:after="120" w:line="480" w:lineRule="auto"/>
        <w:jc w:val="both"/>
        <w:rPr>
          <w:rFonts w:ascii="Times New Roman" w:hAnsi="Times New Roman" w:cs="Times New Roman"/>
          <w:sz w:val="24"/>
          <w:szCs w:val="24"/>
        </w:rPr>
      </w:pPr>
    </w:p>
    <w:p w:rsidR="00513C8F" w:rsidRPr="001773B4" w:rsidRDefault="00513C8F" w:rsidP="00513C8F">
      <w:pPr>
        <w:spacing w:after="120" w:line="480" w:lineRule="auto"/>
        <w:jc w:val="both"/>
        <w:rPr>
          <w:rFonts w:ascii="Times New Roman" w:hAnsi="Times New Roman" w:cs="Times New Roman"/>
          <w:sz w:val="28"/>
          <w:szCs w:val="28"/>
        </w:rPr>
      </w:pPr>
      <w:r w:rsidRPr="001773B4">
        <w:rPr>
          <w:rFonts w:ascii="Times New Roman" w:hAnsi="Times New Roman" w:cs="Times New Roman"/>
          <w:sz w:val="28"/>
          <w:szCs w:val="28"/>
        </w:rPr>
        <w:t>2.1.9</w:t>
      </w:r>
      <w:r w:rsidRPr="001773B4">
        <w:rPr>
          <w:rFonts w:ascii="Times New Roman" w:hAnsi="Times New Roman" w:cs="Times New Roman"/>
          <w:sz w:val="28"/>
          <w:szCs w:val="28"/>
        </w:rPr>
        <w:tab/>
      </w:r>
      <w:r w:rsidRPr="001773B4">
        <w:rPr>
          <w:rFonts w:ascii="Times New Roman" w:hAnsi="Times New Roman" w:cs="Times New Roman"/>
          <w:sz w:val="28"/>
          <w:szCs w:val="28"/>
        </w:rPr>
        <w:tab/>
        <w:t>Nutrient agar (NA)</w:t>
      </w:r>
    </w:p>
    <w:p w:rsidR="00513C8F" w:rsidRDefault="00513C8F" w:rsidP="00513C8F">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Nutrient agar (Oxoid)</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28 g l</w:t>
      </w:r>
      <w:r w:rsidRPr="00A77109">
        <w:rPr>
          <w:rFonts w:ascii="Times New Roman" w:hAnsi="Times New Roman" w:cs="Times New Roman"/>
          <w:sz w:val="24"/>
          <w:szCs w:val="24"/>
          <w:vertAlign w:val="superscript"/>
        </w:rPr>
        <w:t>-1</w:t>
      </w:r>
    </w:p>
    <w:p w:rsidR="00513C8F" w:rsidRPr="0076399D" w:rsidRDefault="00513C8F" w:rsidP="00513C8F">
      <w:pPr>
        <w:spacing w:after="120" w:line="480" w:lineRule="auto"/>
        <w:jc w:val="both"/>
        <w:rPr>
          <w:rFonts w:ascii="Times New Roman" w:hAnsi="Times New Roman" w:cs="Times New Roman"/>
          <w:sz w:val="24"/>
          <w:szCs w:val="24"/>
        </w:rPr>
      </w:pPr>
    </w:p>
    <w:p w:rsidR="00513C8F" w:rsidRPr="0076399D" w:rsidRDefault="00513C8F" w:rsidP="00513C8F">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t>2.</w:t>
      </w:r>
      <w:r>
        <w:rPr>
          <w:rFonts w:ascii="Times New Roman" w:hAnsi="Times New Roman" w:cs="Times New Roman"/>
          <w:sz w:val="28"/>
          <w:szCs w:val="28"/>
        </w:rPr>
        <w:t>1.10</w:t>
      </w:r>
      <w:r>
        <w:rPr>
          <w:rFonts w:ascii="Times New Roman" w:hAnsi="Times New Roman" w:cs="Times New Roman"/>
          <w:sz w:val="28"/>
          <w:szCs w:val="28"/>
        </w:rPr>
        <w:tab/>
      </w:r>
      <w:r>
        <w:rPr>
          <w:rFonts w:ascii="Times New Roman" w:hAnsi="Times New Roman" w:cs="Times New Roman"/>
          <w:sz w:val="28"/>
          <w:szCs w:val="28"/>
        </w:rPr>
        <w:tab/>
      </w:r>
      <w:r w:rsidRPr="0076399D">
        <w:rPr>
          <w:rFonts w:ascii="Times New Roman" w:hAnsi="Times New Roman" w:cs="Times New Roman"/>
          <w:sz w:val="28"/>
          <w:szCs w:val="28"/>
        </w:rPr>
        <w:t>Phage agar</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Casamino acids (Oxoid)</w:t>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 xml:space="preserve">3 </w:t>
      </w:r>
      <w:r>
        <w:rPr>
          <w:rFonts w:ascii="Times New Roman" w:hAnsi="Times New Roman" w:cs="Times New Roman"/>
          <w:sz w:val="24"/>
          <w:szCs w:val="24"/>
        </w:rPr>
        <w:t>g l</w:t>
      </w:r>
      <w:r w:rsidRPr="00A77109">
        <w:rPr>
          <w:rFonts w:ascii="Times New Roman" w:hAnsi="Times New Roman" w:cs="Times New Roman"/>
          <w:sz w:val="24"/>
          <w:szCs w:val="24"/>
          <w:vertAlign w:val="superscript"/>
        </w:rPr>
        <w:t>-1</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NaCl</w:t>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 xml:space="preserve">5.9 </w:t>
      </w:r>
      <w:r>
        <w:rPr>
          <w:rFonts w:ascii="Times New Roman" w:hAnsi="Times New Roman" w:cs="Times New Roman"/>
          <w:sz w:val="24"/>
          <w:szCs w:val="24"/>
        </w:rPr>
        <w:t>g l</w:t>
      </w:r>
      <w:r w:rsidRPr="00A77109">
        <w:rPr>
          <w:rFonts w:ascii="Times New Roman" w:hAnsi="Times New Roman" w:cs="Times New Roman"/>
          <w:sz w:val="24"/>
          <w:szCs w:val="24"/>
          <w:vertAlign w:val="superscript"/>
        </w:rPr>
        <w:t>-1</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 xml:space="preserve">Yeast </w:t>
      </w:r>
      <w:proofErr w:type="gramStart"/>
      <w:r w:rsidRPr="0076399D">
        <w:rPr>
          <w:rFonts w:ascii="Times New Roman" w:hAnsi="Times New Roman" w:cs="Times New Roman"/>
          <w:sz w:val="24"/>
          <w:szCs w:val="24"/>
        </w:rPr>
        <w:t>extract</w:t>
      </w:r>
      <w:proofErr w:type="gramEnd"/>
      <w:r w:rsidRPr="0076399D">
        <w:rPr>
          <w:rFonts w:ascii="Times New Roman" w:hAnsi="Times New Roman" w:cs="Times New Roman"/>
          <w:sz w:val="24"/>
          <w:szCs w:val="24"/>
        </w:rPr>
        <w:t xml:space="preserve"> (Oxoid)</w:t>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 xml:space="preserve">3 </w:t>
      </w:r>
      <w:r>
        <w:rPr>
          <w:rFonts w:ascii="Times New Roman" w:hAnsi="Times New Roman" w:cs="Times New Roman"/>
          <w:sz w:val="24"/>
          <w:szCs w:val="24"/>
        </w:rPr>
        <w:t>g l</w:t>
      </w:r>
      <w:r w:rsidRPr="00A77109">
        <w:rPr>
          <w:rFonts w:ascii="Times New Roman" w:hAnsi="Times New Roman" w:cs="Times New Roman"/>
          <w:sz w:val="24"/>
          <w:szCs w:val="24"/>
          <w:vertAlign w:val="superscript"/>
        </w:rPr>
        <w:t>-1</w:t>
      </w:r>
    </w:p>
    <w:p w:rsidR="00513C8F"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 xml:space="preserve">Oxoid Agar No. 1 (0.33% </w:t>
      </w:r>
      <w:r>
        <w:rPr>
          <w:rFonts w:ascii="Times New Roman" w:hAnsi="Times New Roman" w:cs="Times New Roman"/>
          <w:sz w:val="24"/>
          <w:szCs w:val="24"/>
        </w:rPr>
        <w:t>[</w:t>
      </w:r>
      <w:r w:rsidRPr="0076399D">
        <w:rPr>
          <w:rFonts w:ascii="Times New Roman" w:hAnsi="Times New Roman" w:cs="Times New Roman"/>
          <w:sz w:val="24"/>
          <w:szCs w:val="24"/>
        </w:rPr>
        <w:t>w/v</w:t>
      </w:r>
      <w:r>
        <w:rPr>
          <w:rFonts w:ascii="Times New Roman" w:hAnsi="Times New Roman" w:cs="Times New Roman"/>
          <w:sz w:val="24"/>
          <w:szCs w:val="24"/>
        </w:rPr>
        <w:t>]</w:t>
      </w:r>
      <w:r w:rsidRPr="0076399D">
        <w:rPr>
          <w:rFonts w:ascii="Times New Roman" w:hAnsi="Times New Roman" w:cs="Times New Roman"/>
          <w:sz w:val="24"/>
          <w:szCs w:val="24"/>
        </w:rPr>
        <w:t>) was added for phage top agar.</w:t>
      </w:r>
      <w:r>
        <w:rPr>
          <w:rFonts w:ascii="Times New Roman" w:hAnsi="Times New Roman" w:cs="Times New Roman"/>
          <w:sz w:val="24"/>
          <w:szCs w:val="24"/>
        </w:rPr>
        <w:t xml:space="preserve"> </w:t>
      </w:r>
      <w:r w:rsidRPr="0076399D">
        <w:rPr>
          <w:rFonts w:ascii="Times New Roman" w:hAnsi="Times New Roman" w:cs="Times New Roman"/>
          <w:sz w:val="24"/>
          <w:szCs w:val="24"/>
        </w:rPr>
        <w:t xml:space="preserve">Oxoid Agar No. 1 (1.0% </w:t>
      </w:r>
      <w:r>
        <w:rPr>
          <w:rFonts w:ascii="Times New Roman" w:hAnsi="Times New Roman" w:cs="Times New Roman"/>
          <w:sz w:val="24"/>
          <w:szCs w:val="24"/>
        </w:rPr>
        <w:t>[</w:t>
      </w:r>
      <w:r w:rsidRPr="0076399D">
        <w:rPr>
          <w:rFonts w:ascii="Times New Roman" w:hAnsi="Times New Roman" w:cs="Times New Roman"/>
          <w:sz w:val="24"/>
          <w:szCs w:val="24"/>
        </w:rPr>
        <w:t>w/v</w:t>
      </w:r>
      <w:r>
        <w:rPr>
          <w:rFonts w:ascii="Times New Roman" w:hAnsi="Times New Roman" w:cs="Times New Roman"/>
          <w:sz w:val="24"/>
          <w:szCs w:val="24"/>
        </w:rPr>
        <w:t>]</w:t>
      </w:r>
      <w:r w:rsidRPr="0076399D">
        <w:rPr>
          <w:rFonts w:ascii="Times New Roman" w:hAnsi="Times New Roman" w:cs="Times New Roman"/>
          <w:sz w:val="24"/>
          <w:szCs w:val="24"/>
        </w:rPr>
        <w:t>) was added for phage bottom agar.</w:t>
      </w:r>
    </w:p>
    <w:p w:rsidR="00513C8F" w:rsidRDefault="00513C8F" w:rsidP="00513C8F">
      <w:pPr>
        <w:spacing w:after="120" w:line="480" w:lineRule="auto"/>
        <w:jc w:val="both"/>
        <w:rPr>
          <w:rFonts w:ascii="Times New Roman" w:hAnsi="Times New Roman" w:cs="Times New Roman"/>
          <w:sz w:val="24"/>
          <w:szCs w:val="24"/>
        </w:rPr>
      </w:pPr>
    </w:p>
    <w:p w:rsidR="00513C8F" w:rsidRPr="00014ACD" w:rsidRDefault="00513C8F" w:rsidP="00513C8F">
      <w:pPr>
        <w:spacing w:after="120" w:line="480" w:lineRule="auto"/>
        <w:jc w:val="both"/>
        <w:rPr>
          <w:rFonts w:ascii="Times New Roman" w:hAnsi="Times New Roman" w:cs="Times New Roman"/>
          <w:sz w:val="28"/>
          <w:szCs w:val="28"/>
        </w:rPr>
      </w:pPr>
      <w:r w:rsidRPr="00014ACD">
        <w:rPr>
          <w:rFonts w:ascii="Times New Roman" w:hAnsi="Times New Roman" w:cs="Times New Roman"/>
          <w:sz w:val="28"/>
          <w:szCs w:val="28"/>
        </w:rPr>
        <w:t>2.</w:t>
      </w:r>
      <w:r>
        <w:rPr>
          <w:rFonts w:ascii="Times New Roman" w:hAnsi="Times New Roman" w:cs="Times New Roman"/>
          <w:sz w:val="28"/>
          <w:szCs w:val="28"/>
        </w:rPr>
        <w:t>1</w:t>
      </w:r>
      <w:r w:rsidRPr="00014ACD">
        <w:rPr>
          <w:rFonts w:ascii="Times New Roman" w:hAnsi="Times New Roman" w:cs="Times New Roman"/>
          <w:sz w:val="28"/>
          <w:szCs w:val="28"/>
        </w:rPr>
        <w:t>.</w:t>
      </w:r>
      <w:r>
        <w:rPr>
          <w:rFonts w:ascii="Times New Roman" w:hAnsi="Times New Roman" w:cs="Times New Roman"/>
          <w:sz w:val="28"/>
          <w:szCs w:val="28"/>
        </w:rPr>
        <w:t>11</w:t>
      </w:r>
      <w:r>
        <w:rPr>
          <w:rFonts w:ascii="Times New Roman" w:hAnsi="Times New Roman" w:cs="Times New Roman"/>
          <w:sz w:val="28"/>
          <w:szCs w:val="28"/>
        </w:rPr>
        <w:tab/>
      </w:r>
      <w:r>
        <w:rPr>
          <w:rFonts w:ascii="Times New Roman" w:hAnsi="Times New Roman" w:cs="Times New Roman"/>
          <w:sz w:val="28"/>
          <w:szCs w:val="28"/>
        </w:rPr>
        <w:tab/>
        <w:t>Hydrolysis assay plates</w:t>
      </w:r>
    </w:p>
    <w:p w:rsidR="00513C8F" w:rsidRDefault="00513C8F" w:rsidP="00513C8F">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TSA (Chapter 2.1.1) was supplemented with autoclaved </w:t>
      </w:r>
      <w:r w:rsidRPr="00014ACD">
        <w:rPr>
          <w:rFonts w:ascii="Times New Roman" w:hAnsi="Times New Roman" w:cs="Times New Roman"/>
          <w:i/>
          <w:sz w:val="24"/>
          <w:szCs w:val="24"/>
        </w:rPr>
        <w:t xml:space="preserve">M. </w:t>
      </w:r>
      <w:r>
        <w:rPr>
          <w:rFonts w:ascii="Times New Roman" w:hAnsi="Times New Roman" w:cs="Times New Roman"/>
          <w:i/>
          <w:sz w:val="24"/>
          <w:szCs w:val="24"/>
        </w:rPr>
        <w:t xml:space="preserve">lysodeikticus </w:t>
      </w:r>
      <w:r>
        <w:rPr>
          <w:rFonts w:ascii="Times New Roman" w:hAnsi="Times New Roman" w:cs="Times New Roman"/>
          <w:sz w:val="24"/>
          <w:szCs w:val="24"/>
        </w:rPr>
        <w:t>ATCC No. 4698 (Sigma)</w:t>
      </w:r>
      <w:r>
        <w:rPr>
          <w:rFonts w:ascii="Times New Roman" w:hAnsi="Times New Roman" w:cs="Times New Roman"/>
          <w:i/>
          <w:sz w:val="24"/>
          <w:szCs w:val="24"/>
        </w:rPr>
        <w:t xml:space="preserve"> </w:t>
      </w:r>
      <w:r w:rsidRPr="00014ACD">
        <w:rPr>
          <w:rFonts w:ascii="Times New Roman" w:hAnsi="Times New Roman" w:cs="Times New Roman"/>
          <w:sz w:val="24"/>
          <w:szCs w:val="24"/>
        </w:rPr>
        <w:t>cell</w:t>
      </w:r>
      <w:r>
        <w:rPr>
          <w:rFonts w:ascii="Times New Roman" w:hAnsi="Times New Roman" w:cs="Times New Roman"/>
          <w:sz w:val="24"/>
          <w:szCs w:val="24"/>
        </w:rPr>
        <w:t xml:space="preserve"> walls such that the final concentration corresponded to an OD</w:t>
      </w:r>
      <w:r w:rsidRPr="00014ACD">
        <w:rPr>
          <w:rFonts w:ascii="Times New Roman" w:hAnsi="Times New Roman" w:cs="Times New Roman"/>
          <w:sz w:val="24"/>
          <w:szCs w:val="24"/>
          <w:vertAlign w:val="subscript"/>
        </w:rPr>
        <w:t>600</w:t>
      </w:r>
      <w:r>
        <w:rPr>
          <w:rFonts w:ascii="Times New Roman" w:hAnsi="Times New Roman" w:cs="Times New Roman"/>
          <w:sz w:val="24"/>
          <w:szCs w:val="24"/>
        </w:rPr>
        <w:t xml:space="preserve"> of ~3.0.</w:t>
      </w:r>
    </w:p>
    <w:p w:rsidR="00513C8F" w:rsidRDefault="00513C8F" w:rsidP="00513C8F">
      <w:pPr>
        <w:spacing w:after="120" w:line="480" w:lineRule="auto"/>
        <w:jc w:val="both"/>
        <w:rPr>
          <w:rFonts w:ascii="Times New Roman" w:hAnsi="Times New Roman" w:cs="Times New Roman"/>
          <w:sz w:val="28"/>
          <w:szCs w:val="28"/>
        </w:rPr>
      </w:pPr>
      <w:r w:rsidRPr="009C1A81">
        <w:rPr>
          <w:rFonts w:ascii="Times New Roman" w:hAnsi="Times New Roman" w:cs="Times New Roman"/>
          <w:sz w:val="28"/>
          <w:szCs w:val="28"/>
        </w:rPr>
        <w:lastRenderedPageBreak/>
        <w:t>2.1.</w:t>
      </w:r>
      <w:r>
        <w:rPr>
          <w:rFonts w:ascii="Times New Roman" w:hAnsi="Times New Roman" w:cs="Times New Roman"/>
          <w:sz w:val="28"/>
          <w:szCs w:val="28"/>
        </w:rPr>
        <w:t>12</w:t>
      </w:r>
      <w:r w:rsidRPr="009C1A81">
        <w:rPr>
          <w:rFonts w:ascii="Times New Roman" w:hAnsi="Times New Roman" w:cs="Times New Roman"/>
          <w:sz w:val="28"/>
          <w:szCs w:val="28"/>
        </w:rPr>
        <w:tab/>
      </w:r>
      <w:r w:rsidRPr="009C1A81">
        <w:rPr>
          <w:rFonts w:ascii="Times New Roman" w:hAnsi="Times New Roman" w:cs="Times New Roman"/>
          <w:sz w:val="28"/>
          <w:szCs w:val="28"/>
        </w:rPr>
        <w:tab/>
      </w:r>
      <w:r>
        <w:rPr>
          <w:rFonts w:ascii="Times New Roman" w:hAnsi="Times New Roman" w:cs="Times New Roman"/>
          <w:sz w:val="28"/>
          <w:szCs w:val="28"/>
        </w:rPr>
        <w:t>Blue-white colony selection</w:t>
      </w:r>
      <w:r w:rsidRPr="009C1A81">
        <w:rPr>
          <w:rFonts w:ascii="Times New Roman" w:hAnsi="Times New Roman" w:cs="Times New Roman"/>
          <w:sz w:val="28"/>
          <w:szCs w:val="28"/>
        </w:rPr>
        <w:t xml:space="preserve"> on X-gal plates</w:t>
      </w:r>
    </w:p>
    <w:p w:rsidR="00513C8F" w:rsidRPr="00881A42" w:rsidRDefault="00513C8F" w:rsidP="00513C8F">
      <w:pPr>
        <w:spacing w:after="12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β-galactosidase</w:t>
      </w:r>
      <w:proofErr w:type="gramEnd"/>
      <w:r>
        <w:rPr>
          <w:rFonts w:ascii="Times New Roman" w:hAnsi="Times New Roman" w:cs="Times New Roman"/>
          <w:sz w:val="24"/>
          <w:szCs w:val="24"/>
        </w:rPr>
        <w:t xml:space="preserve"> activity from constructs containing </w:t>
      </w:r>
      <w:r w:rsidRPr="00FE1D32">
        <w:rPr>
          <w:rFonts w:ascii="Times New Roman" w:hAnsi="Times New Roman" w:cs="Times New Roman"/>
          <w:i/>
          <w:sz w:val="24"/>
          <w:szCs w:val="24"/>
        </w:rPr>
        <w:t>lacZ</w:t>
      </w:r>
      <w:r>
        <w:rPr>
          <w:rFonts w:ascii="Times New Roman" w:hAnsi="Times New Roman" w:cs="Times New Roman"/>
          <w:sz w:val="24"/>
          <w:szCs w:val="24"/>
        </w:rPr>
        <w:t xml:space="preserve"> as a reporter gene was detected by supplementing TSA with 40 µg ml</w:t>
      </w:r>
      <w:r w:rsidRPr="00A77109">
        <w:rPr>
          <w:rFonts w:ascii="Times New Roman" w:hAnsi="Times New Roman" w:cs="Times New Roman"/>
          <w:sz w:val="24"/>
          <w:szCs w:val="24"/>
          <w:vertAlign w:val="superscript"/>
        </w:rPr>
        <w:t>-1</w:t>
      </w:r>
      <w:r>
        <w:rPr>
          <w:rFonts w:ascii="Times New Roman" w:hAnsi="Times New Roman" w:cs="Times New Roman"/>
          <w:sz w:val="24"/>
          <w:szCs w:val="24"/>
        </w:rPr>
        <w:t xml:space="preserve"> filter-sterilised X-gal. Hydrolysis of X-gal by β-galactosidase produces β-</w:t>
      </w:r>
      <w:r w:rsidRPr="00881A42">
        <w:rPr>
          <w:rFonts w:ascii="Times New Roman" w:hAnsi="Times New Roman" w:cs="Times New Roman"/>
          <w:sz w:val="16"/>
          <w:szCs w:val="16"/>
        </w:rPr>
        <w:t>D</w:t>
      </w:r>
      <w:r w:rsidRPr="00881A42">
        <w:rPr>
          <w:rFonts w:ascii="Times New Roman" w:hAnsi="Times New Roman" w:cs="Times New Roman"/>
          <w:sz w:val="24"/>
          <w:szCs w:val="24"/>
        </w:rPr>
        <w:t>-</w:t>
      </w:r>
      <w:r>
        <w:rPr>
          <w:rFonts w:ascii="Times New Roman" w:hAnsi="Times New Roman" w:cs="Times New Roman"/>
          <w:sz w:val="24"/>
          <w:szCs w:val="24"/>
        </w:rPr>
        <w:t xml:space="preserve">galactopyranoside and 5-bromo-4-chloro-3-indolyl, an insoluble blue dye that visually indicates </w:t>
      </w:r>
      <w:r>
        <w:rPr>
          <w:rFonts w:ascii="Times New Roman" w:hAnsi="Times New Roman" w:cs="Times New Roman"/>
          <w:i/>
          <w:sz w:val="24"/>
          <w:szCs w:val="24"/>
        </w:rPr>
        <w:t>lacZ</w:t>
      </w:r>
      <w:r>
        <w:rPr>
          <w:rFonts w:ascii="Times New Roman" w:hAnsi="Times New Roman" w:cs="Times New Roman"/>
          <w:sz w:val="24"/>
          <w:szCs w:val="24"/>
        </w:rPr>
        <w:t xml:space="preserve"> expression.</w:t>
      </w:r>
    </w:p>
    <w:p w:rsidR="00513C8F" w:rsidRDefault="00513C8F" w:rsidP="00513C8F">
      <w:pPr>
        <w:rPr>
          <w:rFonts w:ascii="Times New Roman" w:hAnsi="Times New Roman" w:cs="Times New Roman"/>
          <w:sz w:val="24"/>
          <w:szCs w:val="24"/>
        </w:rPr>
      </w:pPr>
    </w:p>
    <w:p w:rsidR="00513C8F" w:rsidRPr="0076399D" w:rsidRDefault="00513C8F" w:rsidP="00513C8F">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t>2.2</w:t>
      </w:r>
      <w:r w:rsidRPr="0076399D">
        <w:rPr>
          <w:rFonts w:ascii="Times New Roman" w:hAnsi="Times New Roman" w:cs="Times New Roman"/>
          <w:sz w:val="28"/>
          <w:szCs w:val="28"/>
        </w:rPr>
        <w:tab/>
      </w:r>
      <w:r w:rsidRPr="0076399D">
        <w:rPr>
          <w:rFonts w:ascii="Times New Roman" w:hAnsi="Times New Roman" w:cs="Times New Roman"/>
          <w:sz w:val="28"/>
          <w:szCs w:val="28"/>
        </w:rPr>
        <w:tab/>
        <w:t>Antibiotics</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 xml:space="preserve">Antibiotics used in this study are listed in </w:t>
      </w:r>
      <w:r>
        <w:rPr>
          <w:rFonts w:ascii="Times New Roman" w:hAnsi="Times New Roman" w:cs="Times New Roman"/>
          <w:sz w:val="24"/>
          <w:szCs w:val="24"/>
        </w:rPr>
        <w:t>Table</w:t>
      </w:r>
      <w:r w:rsidRPr="0076399D">
        <w:rPr>
          <w:rFonts w:ascii="Times New Roman" w:hAnsi="Times New Roman" w:cs="Times New Roman"/>
          <w:sz w:val="24"/>
          <w:szCs w:val="24"/>
        </w:rPr>
        <w:t xml:space="preserve"> 2.1. For stock solutions, antibiotics were dissolved in the appropriate solvent, filter sterilised (0.2 </w:t>
      </w:r>
      <w:r>
        <w:rPr>
          <w:rFonts w:ascii="Times New Roman" w:hAnsi="Times New Roman" w:cs="Times New Roman"/>
          <w:sz w:val="24"/>
          <w:szCs w:val="24"/>
        </w:rPr>
        <w:t>µ</w:t>
      </w:r>
      <w:r w:rsidRPr="0076399D">
        <w:rPr>
          <w:rFonts w:ascii="Times New Roman" w:hAnsi="Times New Roman" w:cs="Times New Roman"/>
          <w:sz w:val="24"/>
          <w:szCs w:val="24"/>
        </w:rPr>
        <w:t xml:space="preserve">m pore size) and aliquots stored at -20 °C. For agar plates, media was cooled to approximately 50 °C prior to addition of antibiotic stock solution. For liquid media, antibiotic stock solutions were added just before use. Concentrations for antibiotic selection were as shown in </w:t>
      </w:r>
      <w:r>
        <w:rPr>
          <w:rFonts w:ascii="Times New Roman" w:hAnsi="Times New Roman" w:cs="Times New Roman"/>
          <w:sz w:val="24"/>
          <w:szCs w:val="24"/>
        </w:rPr>
        <w:t>Table</w:t>
      </w:r>
      <w:r w:rsidRPr="0076399D">
        <w:rPr>
          <w:rFonts w:ascii="Times New Roman" w:hAnsi="Times New Roman" w:cs="Times New Roman"/>
          <w:sz w:val="24"/>
          <w:szCs w:val="24"/>
        </w:rPr>
        <w:t xml:space="preserve"> 2.1, unless otherwise stated.</w:t>
      </w:r>
    </w:p>
    <w:p w:rsidR="00513C8F" w:rsidRDefault="00513C8F" w:rsidP="00513C8F">
      <w:pPr>
        <w:spacing w:after="120" w:line="480" w:lineRule="auto"/>
        <w:jc w:val="both"/>
        <w:rPr>
          <w:rFonts w:ascii="Times New Roman" w:hAnsi="Times New Roman" w:cs="Times New Roman"/>
          <w:sz w:val="24"/>
          <w:szCs w:val="24"/>
        </w:rPr>
      </w:pPr>
    </w:p>
    <w:p w:rsidR="00513C8F" w:rsidRPr="0076399D" w:rsidRDefault="00513C8F" w:rsidP="00513C8F">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t xml:space="preserve">2.3 </w:t>
      </w:r>
      <w:r w:rsidRPr="0076399D">
        <w:rPr>
          <w:rFonts w:ascii="Times New Roman" w:hAnsi="Times New Roman" w:cs="Times New Roman"/>
          <w:sz w:val="28"/>
          <w:szCs w:val="28"/>
        </w:rPr>
        <w:tab/>
      </w:r>
      <w:r w:rsidRPr="0076399D">
        <w:rPr>
          <w:rFonts w:ascii="Times New Roman" w:hAnsi="Times New Roman" w:cs="Times New Roman"/>
          <w:sz w:val="28"/>
          <w:szCs w:val="28"/>
        </w:rPr>
        <w:tab/>
        <w:t>Buffers and stock solutions</w:t>
      </w:r>
    </w:p>
    <w:p w:rsidR="00513C8F"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Stock solutions were prepared using dH</w:t>
      </w:r>
      <w:r w:rsidRPr="0076399D">
        <w:rPr>
          <w:rFonts w:ascii="Times New Roman" w:hAnsi="Times New Roman" w:cs="Times New Roman"/>
          <w:sz w:val="24"/>
          <w:szCs w:val="24"/>
          <w:vertAlign w:val="subscript"/>
        </w:rPr>
        <w:t>2</w:t>
      </w:r>
      <w:r w:rsidRPr="0076399D">
        <w:rPr>
          <w:rFonts w:ascii="Times New Roman" w:hAnsi="Times New Roman" w:cs="Times New Roman"/>
          <w:sz w:val="24"/>
          <w:szCs w:val="24"/>
        </w:rPr>
        <w:t xml:space="preserve">O unless otherwise stated, and stored at room temperature. Solutions used for microbiological work or </w:t>
      </w:r>
      <w:r w:rsidRPr="0076399D">
        <w:rPr>
          <w:rFonts w:ascii="Times New Roman" w:hAnsi="Times New Roman" w:cs="Times New Roman"/>
          <w:i/>
          <w:sz w:val="24"/>
          <w:szCs w:val="24"/>
        </w:rPr>
        <w:t>in vitro</w:t>
      </w:r>
      <w:r w:rsidRPr="0076399D">
        <w:rPr>
          <w:rFonts w:ascii="Times New Roman" w:hAnsi="Times New Roman" w:cs="Times New Roman"/>
          <w:sz w:val="24"/>
          <w:szCs w:val="24"/>
        </w:rPr>
        <w:t xml:space="preserve"> DNA manipulation were sterilised by autoclaving. All methods described in this chapter are in accordance with </w:t>
      </w:r>
      <w:r w:rsidRPr="00F115D3">
        <w:rPr>
          <w:rFonts w:ascii="Times New Roman" w:hAnsi="Times New Roman" w:cs="Times New Roman"/>
          <w:color w:val="000000" w:themeColor="text1"/>
          <w:sz w:val="24"/>
          <w:szCs w:val="24"/>
        </w:rPr>
        <w:fldChar w:fldCharType="begin"/>
      </w:r>
      <w:r w:rsidRPr="00F115D3">
        <w:rPr>
          <w:rFonts w:ascii="Times New Roman" w:hAnsi="Times New Roman" w:cs="Times New Roman"/>
          <w:color w:val="000000" w:themeColor="text1"/>
          <w:sz w:val="24"/>
          <w:szCs w:val="24"/>
        </w:rPr>
        <w:instrText xml:space="preserve"> ADDIN ZOTERO_ITEM CSL_CITATION {"citationID":"h4n87vnci","properties":{"formattedCitation":"(Sambrook and Russel, 2001)","plainCitation":"(Sambrook and Russel, 2001)"},"citationItems":[{"id":70,"uris":["http://zotero.org/users/944474/items/IGZIQVCS"],"uri":["http://zotero.org/users/944474/items/IGZIQVCS"],"itemData":{"id":70,"type":"book","title":"Molecular cloning : a laboratory manual","publisher":"Cold Spring Harbor Laboratory Press","publisher-place":"New York","event-place":"New York","ISBN":"0879695773 9780879695774","shortTitle":"Molecular cloning","language":"English","author":[{"family":"Sambrook","given":"Joseph"},{"family":"Russel","given":"David William"}],"issued":{"year":2001}}}],"schema":"https://github.com/citation-style-language/schema/raw/master/csl-citation.json"} </w:instrText>
      </w:r>
      <w:r w:rsidRPr="00F115D3">
        <w:rPr>
          <w:rFonts w:ascii="Times New Roman" w:hAnsi="Times New Roman" w:cs="Times New Roman"/>
          <w:color w:val="000000" w:themeColor="text1"/>
          <w:sz w:val="24"/>
          <w:szCs w:val="24"/>
        </w:rPr>
        <w:fldChar w:fldCharType="separate"/>
      </w:r>
      <w:r w:rsidRPr="00F115D3">
        <w:rPr>
          <w:rFonts w:ascii="Times New Roman" w:hAnsi="Times New Roman" w:cs="Times New Roman"/>
          <w:color w:val="000000" w:themeColor="text1"/>
          <w:sz w:val="24"/>
        </w:rPr>
        <w:t xml:space="preserve">Sambrook and Russel </w:t>
      </w:r>
      <w:r>
        <w:rPr>
          <w:rFonts w:ascii="Times New Roman" w:hAnsi="Times New Roman" w:cs="Times New Roman"/>
          <w:color w:val="000000" w:themeColor="text1"/>
          <w:sz w:val="24"/>
        </w:rPr>
        <w:t>(</w:t>
      </w:r>
      <w:r w:rsidRPr="00F115D3">
        <w:rPr>
          <w:rFonts w:ascii="Times New Roman" w:hAnsi="Times New Roman" w:cs="Times New Roman"/>
          <w:color w:val="000000" w:themeColor="text1"/>
          <w:sz w:val="24"/>
        </w:rPr>
        <w:t>2001)</w:t>
      </w:r>
      <w:r w:rsidRPr="00F115D3">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w:t>
      </w:r>
      <w:r w:rsidRPr="00F115D3">
        <w:rPr>
          <w:rFonts w:ascii="Times New Roman" w:hAnsi="Times New Roman" w:cs="Times New Roman"/>
          <w:color w:val="000000" w:themeColor="text1"/>
          <w:sz w:val="24"/>
          <w:szCs w:val="24"/>
        </w:rPr>
        <w:t>unless</w:t>
      </w:r>
      <w:r w:rsidRPr="0076399D">
        <w:rPr>
          <w:rFonts w:ascii="Times New Roman" w:hAnsi="Times New Roman" w:cs="Times New Roman"/>
          <w:sz w:val="24"/>
          <w:szCs w:val="24"/>
        </w:rPr>
        <w:t xml:space="preserve"> otherwise stated.</w:t>
      </w:r>
    </w:p>
    <w:p w:rsidR="00513C8F" w:rsidRPr="0076399D" w:rsidRDefault="00513C8F" w:rsidP="00513C8F">
      <w:pPr>
        <w:spacing w:after="120" w:line="480" w:lineRule="auto"/>
        <w:jc w:val="both"/>
        <w:rPr>
          <w:rFonts w:ascii="Times New Roman" w:hAnsi="Times New Roman" w:cs="Times New Roman"/>
          <w:sz w:val="24"/>
          <w:szCs w:val="24"/>
        </w:rPr>
      </w:pPr>
    </w:p>
    <w:p w:rsidR="00513C8F" w:rsidRPr="0076399D" w:rsidRDefault="00513C8F" w:rsidP="00513C8F">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t>2.3.1</w:t>
      </w:r>
      <w:r w:rsidRPr="0076399D">
        <w:rPr>
          <w:rFonts w:ascii="Times New Roman" w:hAnsi="Times New Roman" w:cs="Times New Roman"/>
          <w:sz w:val="28"/>
          <w:szCs w:val="28"/>
        </w:rPr>
        <w:tab/>
      </w:r>
      <w:r w:rsidRPr="0076399D">
        <w:rPr>
          <w:rFonts w:ascii="Times New Roman" w:hAnsi="Times New Roman" w:cs="Times New Roman"/>
          <w:sz w:val="28"/>
          <w:szCs w:val="28"/>
        </w:rPr>
        <w:tab/>
        <w:t>Phosphate buffered saline (PBS)</w:t>
      </w:r>
    </w:p>
    <w:p w:rsidR="00513C8F" w:rsidRPr="00746EE6" w:rsidRDefault="00513C8F" w:rsidP="00513C8F">
      <w:pPr>
        <w:spacing w:after="120" w:line="480" w:lineRule="auto"/>
        <w:jc w:val="both"/>
        <w:rPr>
          <w:rFonts w:ascii="Times New Roman" w:hAnsi="Times New Roman" w:cs="Times New Roman"/>
          <w:sz w:val="24"/>
          <w:szCs w:val="24"/>
        </w:rPr>
      </w:pPr>
      <w:r w:rsidRPr="00746EE6">
        <w:rPr>
          <w:rFonts w:ascii="Times New Roman" w:hAnsi="Times New Roman" w:cs="Times New Roman"/>
          <w:sz w:val="24"/>
          <w:szCs w:val="24"/>
        </w:rPr>
        <w:t>NaCl</w:t>
      </w:r>
      <w:r w:rsidRPr="00746EE6">
        <w:rPr>
          <w:rFonts w:ascii="Times New Roman" w:hAnsi="Times New Roman" w:cs="Times New Roman"/>
          <w:sz w:val="24"/>
          <w:szCs w:val="24"/>
        </w:rPr>
        <w:tab/>
      </w:r>
      <w:r w:rsidRPr="00746EE6">
        <w:rPr>
          <w:rFonts w:ascii="Times New Roman" w:hAnsi="Times New Roman" w:cs="Times New Roman"/>
          <w:sz w:val="24"/>
          <w:szCs w:val="24"/>
        </w:rPr>
        <w:tab/>
      </w:r>
      <w:r w:rsidRPr="00746EE6">
        <w:rPr>
          <w:rFonts w:ascii="Times New Roman" w:hAnsi="Times New Roman" w:cs="Times New Roman"/>
          <w:sz w:val="24"/>
          <w:szCs w:val="24"/>
        </w:rPr>
        <w:tab/>
      </w:r>
      <w:r w:rsidRPr="00746EE6">
        <w:rPr>
          <w:rFonts w:ascii="Times New Roman" w:hAnsi="Times New Roman" w:cs="Times New Roman"/>
          <w:sz w:val="24"/>
          <w:szCs w:val="24"/>
        </w:rPr>
        <w:tab/>
      </w:r>
      <w:r w:rsidRPr="00746EE6">
        <w:rPr>
          <w:rFonts w:ascii="Times New Roman" w:hAnsi="Times New Roman" w:cs="Times New Roman"/>
          <w:sz w:val="24"/>
          <w:szCs w:val="24"/>
        </w:rPr>
        <w:tab/>
      </w:r>
      <w:r w:rsidRPr="00746EE6">
        <w:rPr>
          <w:rFonts w:ascii="Times New Roman" w:hAnsi="Times New Roman" w:cs="Times New Roman"/>
          <w:sz w:val="24"/>
          <w:szCs w:val="24"/>
        </w:rPr>
        <w:tab/>
      </w:r>
      <w:r w:rsidRPr="00746EE6">
        <w:rPr>
          <w:rFonts w:ascii="Times New Roman" w:hAnsi="Times New Roman" w:cs="Times New Roman"/>
          <w:sz w:val="24"/>
          <w:szCs w:val="24"/>
        </w:rPr>
        <w:tab/>
      </w:r>
      <w:r w:rsidRPr="00746EE6">
        <w:rPr>
          <w:rFonts w:ascii="Times New Roman" w:hAnsi="Times New Roman" w:cs="Times New Roman"/>
          <w:sz w:val="24"/>
          <w:szCs w:val="24"/>
        </w:rPr>
        <w:tab/>
      </w:r>
      <w:r w:rsidRPr="00746EE6">
        <w:rPr>
          <w:rFonts w:ascii="Times New Roman" w:hAnsi="Times New Roman" w:cs="Times New Roman"/>
          <w:sz w:val="24"/>
          <w:szCs w:val="24"/>
        </w:rPr>
        <w:tab/>
        <w:t>8.0 g l</w:t>
      </w:r>
      <w:r w:rsidRPr="00746EE6">
        <w:rPr>
          <w:rFonts w:ascii="Times New Roman" w:hAnsi="Times New Roman" w:cs="Times New Roman"/>
          <w:sz w:val="24"/>
          <w:szCs w:val="24"/>
          <w:vertAlign w:val="superscript"/>
        </w:rPr>
        <w:t>-1</w:t>
      </w:r>
    </w:p>
    <w:p w:rsidR="00513C8F" w:rsidRPr="00746EE6" w:rsidRDefault="00513C8F" w:rsidP="00513C8F">
      <w:pPr>
        <w:spacing w:after="120" w:line="480" w:lineRule="auto"/>
        <w:jc w:val="both"/>
        <w:rPr>
          <w:rFonts w:ascii="Times New Roman" w:hAnsi="Times New Roman" w:cs="Times New Roman"/>
          <w:sz w:val="24"/>
          <w:szCs w:val="24"/>
        </w:rPr>
      </w:pPr>
      <w:r w:rsidRPr="00746EE6">
        <w:rPr>
          <w:rFonts w:ascii="Times New Roman" w:hAnsi="Times New Roman" w:cs="Times New Roman"/>
          <w:sz w:val="24"/>
          <w:szCs w:val="24"/>
        </w:rPr>
        <w:t>KCl</w:t>
      </w:r>
      <w:r w:rsidRPr="00746EE6">
        <w:rPr>
          <w:rFonts w:ascii="Times New Roman" w:hAnsi="Times New Roman" w:cs="Times New Roman"/>
          <w:sz w:val="24"/>
          <w:szCs w:val="24"/>
        </w:rPr>
        <w:tab/>
      </w:r>
      <w:r w:rsidRPr="00746EE6">
        <w:rPr>
          <w:rFonts w:ascii="Times New Roman" w:hAnsi="Times New Roman" w:cs="Times New Roman"/>
          <w:sz w:val="24"/>
          <w:szCs w:val="24"/>
        </w:rPr>
        <w:tab/>
      </w:r>
      <w:r w:rsidRPr="00746EE6">
        <w:rPr>
          <w:rFonts w:ascii="Times New Roman" w:hAnsi="Times New Roman" w:cs="Times New Roman"/>
          <w:sz w:val="24"/>
          <w:szCs w:val="24"/>
        </w:rPr>
        <w:tab/>
      </w:r>
      <w:r w:rsidRPr="00746EE6">
        <w:rPr>
          <w:rFonts w:ascii="Times New Roman" w:hAnsi="Times New Roman" w:cs="Times New Roman"/>
          <w:sz w:val="24"/>
          <w:szCs w:val="24"/>
        </w:rPr>
        <w:tab/>
      </w:r>
      <w:r w:rsidRPr="00746EE6">
        <w:rPr>
          <w:rFonts w:ascii="Times New Roman" w:hAnsi="Times New Roman" w:cs="Times New Roman"/>
          <w:sz w:val="24"/>
          <w:szCs w:val="24"/>
        </w:rPr>
        <w:tab/>
      </w:r>
      <w:r w:rsidRPr="00746EE6">
        <w:rPr>
          <w:rFonts w:ascii="Times New Roman" w:hAnsi="Times New Roman" w:cs="Times New Roman"/>
          <w:sz w:val="24"/>
          <w:szCs w:val="24"/>
        </w:rPr>
        <w:tab/>
      </w:r>
      <w:r w:rsidRPr="00746EE6">
        <w:rPr>
          <w:rFonts w:ascii="Times New Roman" w:hAnsi="Times New Roman" w:cs="Times New Roman"/>
          <w:sz w:val="24"/>
          <w:szCs w:val="24"/>
        </w:rPr>
        <w:tab/>
      </w:r>
      <w:r w:rsidRPr="00746EE6">
        <w:rPr>
          <w:rFonts w:ascii="Times New Roman" w:hAnsi="Times New Roman" w:cs="Times New Roman"/>
          <w:sz w:val="24"/>
          <w:szCs w:val="24"/>
        </w:rPr>
        <w:tab/>
      </w:r>
      <w:r w:rsidRPr="00746EE6">
        <w:rPr>
          <w:rFonts w:ascii="Times New Roman" w:hAnsi="Times New Roman" w:cs="Times New Roman"/>
          <w:sz w:val="24"/>
          <w:szCs w:val="24"/>
        </w:rPr>
        <w:tab/>
        <w:t>0.2 g l</w:t>
      </w:r>
      <w:r w:rsidRPr="00746EE6">
        <w:rPr>
          <w:rFonts w:ascii="Times New Roman" w:hAnsi="Times New Roman" w:cs="Times New Roman"/>
          <w:sz w:val="24"/>
          <w:szCs w:val="24"/>
          <w:vertAlign w:val="superscript"/>
        </w:rPr>
        <w:t>-1</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lastRenderedPageBreak/>
        <w:t>Na</w:t>
      </w:r>
      <w:r w:rsidRPr="0076399D">
        <w:rPr>
          <w:rFonts w:ascii="Times New Roman" w:hAnsi="Times New Roman" w:cs="Times New Roman"/>
          <w:sz w:val="24"/>
          <w:szCs w:val="24"/>
          <w:vertAlign w:val="subscript"/>
        </w:rPr>
        <w:t>2</w:t>
      </w:r>
      <w:r w:rsidRPr="0076399D">
        <w:rPr>
          <w:rFonts w:ascii="Times New Roman" w:hAnsi="Times New Roman" w:cs="Times New Roman"/>
          <w:sz w:val="24"/>
          <w:szCs w:val="24"/>
        </w:rPr>
        <w:t>HPO</w:t>
      </w:r>
      <w:r w:rsidRPr="0076399D">
        <w:rPr>
          <w:rFonts w:ascii="Times New Roman" w:hAnsi="Times New Roman" w:cs="Times New Roman"/>
          <w:sz w:val="24"/>
          <w:szCs w:val="24"/>
          <w:vertAlign w:val="subscript"/>
        </w:rPr>
        <w:t>4</w:t>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 xml:space="preserve">1.4 </w:t>
      </w:r>
      <w:r>
        <w:rPr>
          <w:rFonts w:ascii="Times New Roman" w:hAnsi="Times New Roman" w:cs="Times New Roman"/>
          <w:sz w:val="24"/>
          <w:szCs w:val="24"/>
        </w:rPr>
        <w:t>g l</w:t>
      </w:r>
      <w:r w:rsidRPr="00A77109">
        <w:rPr>
          <w:rFonts w:ascii="Times New Roman" w:hAnsi="Times New Roman" w:cs="Times New Roman"/>
          <w:sz w:val="24"/>
          <w:szCs w:val="24"/>
          <w:vertAlign w:val="superscript"/>
        </w:rPr>
        <w:t>-1</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KH</w:t>
      </w:r>
      <w:r w:rsidRPr="0076399D">
        <w:rPr>
          <w:rFonts w:ascii="Times New Roman" w:hAnsi="Times New Roman" w:cs="Times New Roman"/>
          <w:sz w:val="24"/>
          <w:szCs w:val="24"/>
          <w:vertAlign w:val="subscript"/>
        </w:rPr>
        <w:t>2</w:t>
      </w:r>
      <w:r w:rsidRPr="0076399D">
        <w:rPr>
          <w:rFonts w:ascii="Times New Roman" w:hAnsi="Times New Roman" w:cs="Times New Roman"/>
          <w:sz w:val="24"/>
          <w:szCs w:val="24"/>
        </w:rPr>
        <w:t>PO</w:t>
      </w:r>
      <w:r w:rsidRPr="0076399D">
        <w:rPr>
          <w:rFonts w:ascii="Times New Roman" w:hAnsi="Times New Roman" w:cs="Times New Roman"/>
          <w:sz w:val="24"/>
          <w:szCs w:val="24"/>
          <w:vertAlign w:val="subscript"/>
        </w:rPr>
        <w:t>4</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 xml:space="preserve">0.2 </w:t>
      </w:r>
      <w:r>
        <w:rPr>
          <w:rFonts w:ascii="Times New Roman" w:hAnsi="Times New Roman" w:cs="Times New Roman"/>
          <w:sz w:val="24"/>
          <w:szCs w:val="24"/>
        </w:rPr>
        <w:t>g l</w:t>
      </w:r>
      <w:r w:rsidRPr="00A77109">
        <w:rPr>
          <w:rFonts w:ascii="Times New Roman" w:hAnsi="Times New Roman" w:cs="Times New Roman"/>
          <w:sz w:val="24"/>
          <w:szCs w:val="24"/>
          <w:vertAlign w:val="superscript"/>
        </w:rPr>
        <w:t>-1</w:t>
      </w:r>
    </w:p>
    <w:p w:rsidR="00513C8F"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The pH was adjusted to 7.4 using a dilute solution of Na</w:t>
      </w:r>
      <w:r w:rsidRPr="0076399D">
        <w:rPr>
          <w:rFonts w:ascii="Times New Roman" w:hAnsi="Times New Roman" w:cs="Times New Roman"/>
          <w:sz w:val="24"/>
          <w:szCs w:val="24"/>
          <w:vertAlign w:val="subscript"/>
        </w:rPr>
        <w:t>2</w:t>
      </w:r>
      <w:r w:rsidRPr="0076399D">
        <w:rPr>
          <w:rFonts w:ascii="Times New Roman" w:hAnsi="Times New Roman" w:cs="Times New Roman"/>
          <w:sz w:val="24"/>
          <w:szCs w:val="24"/>
        </w:rPr>
        <w:t>HPO</w:t>
      </w:r>
      <w:r w:rsidRPr="0076399D">
        <w:rPr>
          <w:rFonts w:ascii="Times New Roman" w:hAnsi="Times New Roman" w:cs="Times New Roman"/>
          <w:sz w:val="24"/>
          <w:szCs w:val="24"/>
          <w:vertAlign w:val="subscript"/>
        </w:rPr>
        <w:t>4</w:t>
      </w:r>
      <w:r w:rsidRPr="0076399D">
        <w:rPr>
          <w:rFonts w:ascii="Times New Roman" w:hAnsi="Times New Roman" w:cs="Times New Roman"/>
          <w:sz w:val="24"/>
          <w:szCs w:val="24"/>
        </w:rPr>
        <w:t xml:space="preserve"> or KH</w:t>
      </w:r>
      <w:r w:rsidRPr="0076399D">
        <w:rPr>
          <w:rFonts w:ascii="Times New Roman" w:hAnsi="Times New Roman" w:cs="Times New Roman"/>
          <w:sz w:val="24"/>
          <w:szCs w:val="24"/>
          <w:vertAlign w:val="subscript"/>
        </w:rPr>
        <w:t>2</w:t>
      </w:r>
      <w:r w:rsidRPr="0076399D">
        <w:rPr>
          <w:rFonts w:ascii="Times New Roman" w:hAnsi="Times New Roman" w:cs="Times New Roman"/>
          <w:sz w:val="24"/>
          <w:szCs w:val="24"/>
        </w:rPr>
        <w:t>PO</w:t>
      </w:r>
      <w:r w:rsidRPr="0076399D">
        <w:rPr>
          <w:rFonts w:ascii="Times New Roman" w:hAnsi="Times New Roman" w:cs="Times New Roman"/>
          <w:sz w:val="24"/>
          <w:szCs w:val="24"/>
          <w:vertAlign w:val="subscript"/>
        </w:rPr>
        <w:t>4</w:t>
      </w:r>
      <w:r w:rsidRPr="0076399D">
        <w:rPr>
          <w:rFonts w:ascii="Times New Roman" w:hAnsi="Times New Roman" w:cs="Times New Roman"/>
          <w:sz w:val="24"/>
          <w:szCs w:val="24"/>
        </w:rPr>
        <w:t xml:space="preserve"> as appropriate.</w:t>
      </w:r>
    </w:p>
    <w:p w:rsidR="00513C8F" w:rsidRDefault="00513C8F" w:rsidP="00513C8F">
      <w:pPr>
        <w:spacing w:after="120" w:line="480" w:lineRule="auto"/>
        <w:jc w:val="both"/>
        <w:rPr>
          <w:rFonts w:ascii="Times New Roman" w:hAnsi="Times New Roman" w:cs="Times New Roman"/>
          <w:sz w:val="24"/>
          <w:szCs w:val="24"/>
        </w:rPr>
      </w:pPr>
    </w:p>
    <w:p w:rsidR="00513C8F" w:rsidRPr="0076399D" w:rsidRDefault="00513C8F" w:rsidP="00513C8F">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t>2.3.2</w:t>
      </w:r>
      <w:r w:rsidRPr="0076399D">
        <w:rPr>
          <w:rFonts w:ascii="Times New Roman" w:hAnsi="Times New Roman" w:cs="Times New Roman"/>
          <w:sz w:val="28"/>
          <w:szCs w:val="28"/>
        </w:rPr>
        <w:tab/>
      </w:r>
      <w:r w:rsidRPr="0076399D">
        <w:rPr>
          <w:rFonts w:ascii="Times New Roman" w:hAnsi="Times New Roman" w:cs="Times New Roman"/>
          <w:sz w:val="28"/>
          <w:szCs w:val="28"/>
        </w:rPr>
        <w:tab/>
        <w:t>Tris/Acetate/EDTA buffer (TAE) (50x)</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Trizma base</w:t>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 xml:space="preserve">242 </w:t>
      </w:r>
      <w:r>
        <w:rPr>
          <w:rFonts w:ascii="Times New Roman" w:hAnsi="Times New Roman" w:cs="Times New Roman"/>
          <w:sz w:val="24"/>
          <w:szCs w:val="24"/>
        </w:rPr>
        <w:t>g l</w:t>
      </w:r>
      <w:r w:rsidRPr="00A77109">
        <w:rPr>
          <w:rFonts w:ascii="Times New Roman" w:hAnsi="Times New Roman" w:cs="Times New Roman"/>
          <w:sz w:val="24"/>
          <w:szCs w:val="24"/>
          <w:vertAlign w:val="superscript"/>
        </w:rPr>
        <w:t>-1</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Glacial acetic acid</w:t>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 xml:space="preserve">57.1 </w:t>
      </w:r>
      <w:r>
        <w:rPr>
          <w:rFonts w:ascii="Times New Roman" w:hAnsi="Times New Roman" w:cs="Times New Roman"/>
          <w:sz w:val="24"/>
          <w:szCs w:val="24"/>
        </w:rPr>
        <w:t>ml l</w:t>
      </w:r>
      <w:r w:rsidRPr="00A77109">
        <w:rPr>
          <w:rFonts w:ascii="Times New Roman" w:hAnsi="Times New Roman" w:cs="Times New Roman"/>
          <w:sz w:val="24"/>
          <w:szCs w:val="24"/>
          <w:vertAlign w:val="superscript"/>
        </w:rPr>
        <w:t>-1</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Na</w:t>
      </w:r>
      <w:r w:rsidRPr="0076399D">
        <w:rPr>
          <w:rFonts w:ascii="Times New Roman" w:hAnsi="Times New Roman" w:cs="Times New Roman"/>
          <w:sz w:val="24"/>
          <w:szCs w:val="24"/>
          <w:vertAlign w:val="subscript"/>
        </w:rPr>
        <w:t>2</w:t>
      </w:r>
      <w:r w:rsidRPr="0076399D">
        <w:rPr>
          <w:rFonts w:ascii="Times New Roman" w:hAnsi="Times New Roman" w:cs="Times New Roman"/>
          <w:sz w:val="24"/>
          <w:szCs w:val="24"/>
        </w:rPr>
        <w:t>EDTA (0.5 M pH 8.0)</w:t>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 xml:space="preserve">100 </w:t>
      </w:r>
      <w:r>
        <w:rPr>
          <w:rFonts w:ascii="Times New Roman" w:hAnsi="Times New Roman" w:cs="Times New Roman"/>
          <w:sz w:val="24"/>
          <w:szCs w:val="24"/>
        </w:rPr>
        <w:t>ml l</w:t>
      </w:r>
      <w:r w:rsidRPr="00A77109">
        <w:rPr>
          <w:rFonts w:ascii="Times New Roman" w:hAnsi="Times New Roman" w:cs="Times New Roman"/>
          <w:sz w:val="24"/>
          <w:szCs w:val="24"/>
          <w:vertAlign w:val="superscript"/>
        </w:rPr>
        <w:t>-1</w:t>
      </w:r>
    </w:p>
    <w:p w:rsidR="00513C8F"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 xml:space="preserve">50x TAE buffer was diluted 1:50 to provide working concentration TAE. </w:t>
      </w:r>
    </w:p>
    <w:p w:rsidR="00513C8F" w:rsidRDefault="00513C8F" w:rsidP="00513C8F">
      <w:pPr>
        <w:spacing w:after="120" w:line="480" w:lineRule="auto"/>
        <w:jc w:val="both"/>
        <w:rPr>
          <w:rFonts w:ascii="Times New Roman" w:hAnsi="Times New Roman" w:cs="Times New Roman"/>
          <w:sz w:val="24"/>
          <w:szCs w:val="24"/>
        </w:rPr>
      </w:pPr>
    </w:p>
    <w:p w:rsidR="00513C8F" w:rsidRDefault="00513C8F" w:rsidP="00513C8F">
      <w:pPr>
        <w:spacing w:after="120" w:line="480" w:lineRule="auto"/>
        <w:jc w:val="both"/>
        <w:rPr>
          <w:rFonts w:ascii="Times New Roman" w:hAnsi="Times New Roman" w:cs="Times New Roman"/>
          <w:sz w:val="28"/>
          <w:szCs w:val="28"/>
        </w:rPr>
      </w:pPr>
      <w:r w:rsidRPr="00B25BEE">
        <w:rPr>
          <w:rFonts w:ascii="Times New Roman" w:hAnsi="Times New Roman" w:cs="Times New Roman"/>
          <w:sz w:val="28"/>
          <w:szCs w:val="28"/>
        </w:rPr>
        <w:t>2.3.</w:t>
      </w:r>
      <w:r>
        <w:rPr>
          <w:rFonts w:ascii="Times New Roman" w:hAnsi="Times New Roman" w:cs="Times New Roman"/>
          <w:sz w:val="28"/>
          <w:szCs w:val="28"/>
        </w:rPr>
        <w:t>3</w:t>
      </w:r>
      <w:r w:rsidRPr="00B25BEE">
        <w:rPr>
          <w:rFonts w:ascii="Times New Roman" w:hAnsi="Times New Roman" w:cs="Times New Roman"/>
          <w:sz w:val="28"/>
          <w:szCs w:val="28"/>
        </w:rPr>
        <w:tab/>
      </w:r>
      <w:r w:rsidRPr="00B25BEE">
        <w:rPr>
          <w:rFonts w:ascii="Times New Roman" w:hAnsi="Times New Roman" w:cs="Times New Roman"/>
          <w:sz w:val="28"/>
          <w:szCs w:val="28"/>
        </w:rPr>
        <w:tab/>
      </w:r>
      <w:r>
        <w:rPr>
          <w:rFonts w:ascii="Times New Roman" w:hAnsi="Times New Roman" w:cs="Times New Roman"/>
          <w:sz w:val="28"/>
          <w:szCs w:val="28"/>
        </w:rPr>
        <w:t>Tris/EDTA/NaCl buffer (TES)</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Trizma base</w:t>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2</w:t>
      </w:r>
      <w:r>
        <w:rPr>
          <w:rFonts w:ascii="Times New Roman" w:hAnsi="Times New Roman" w:cs="Times New Roman"/>
          <w:sz w:val="24"/>
          <w:szCs w:val="24"/>
        </w:rPr>
        <w:t>.</w:t>
      </w:r>
      <w:r w:rsidRPr="0076399D">
        <w:rPr>
          <w:rFonts w:ascii="Times New Roman" w:hAnsi="Times New Roman" w:cs="Times New Roman"/>
          <w:sz w:val="24"/>
          <w:szCs w:val="24"/>
        </w:rPr>
        <w:t xml:space="preserve">42 </w:t>
      </w:r>
      <w:r>
        <w:rPr>
          <w:rFonts w:ascii="Times New Roman" w:hAnsi="Times New Roman" w:cs="Times New Roman"/>
          <w:sz w:val="24"/>
          <w:szCs w:val="24"/>
        </w:rPr>
        <w:t>g l</w:t>
      </w:r>
      <w:r w:rsidRPr="00A77109">
        <w:rPr>
          <w:rFonts w:ascii="Times New Roman" w:hAnsi="Times New Roman" w:cs="Times New Roman"/>
          <w:sz w:val="24"/>
          <w:szCs w:val="24"/>
          <w:vertAlign w:val="superscript"/>
        </w:rPr>
        <w:t>-1</w:t>
      </w:r>
    </w:p>
    <w:p w:rsidR="00513C8F" w:rsidRDefault="00513C8F" w:rsidP="00513C8F">
      <w:pPr>
        <w:spacing w:after="120" w:line="480" w:lineRule="auto"/>
        <w:rPr>
          <w:rFonts w:ascii="Times New Roman" w:hAnsi="Times New Roman" w:cs="Times New Roman"/>
          <w:sz w:val="24"/>
          <w:szCs w:val="24"/>
        </w:rPr>
      </w:pPr>
      <w:r w:rsidRPr="00B25BEE">
        <w:rPr>
          <w:rFonts w:ascii="Times New Roman" w:hAnsi="Times New Roman" w:cs="Times New Roman"/>
          <w:sz w:val="24"/>
          <w:szCs w:val="24"/>
        </w:rPr>
        <w:t>EDTA</w:t>
      </w:r>
      <w:r w:rsidRPr="00B25BEE">
        <w:rPr>
          <w:rFonts w:ascii="Times New Roman" w:hAnsi="Times New Roman" w:cs="Times New Roman"/>
          <w:sz w:val="24"/>
          <w:szCs w:val="24"/>
        </w:rPr>
        <w:tab/>
      </w:r>
      <w:r w:rsidRPr="00B25BEE">
        <w:rPr>
          <w:rFonts w:ascii="Times New Roman" w:hAnsi="Times New Roman" w:cs="Times New Roman"/>
          <w:sz w:val="24"/>
          <w:szCs w:val="24"/>
        </w:rPr>
        <w:tab/>
      </w:r>
      <w:r w:rsidRPr="00B25BEE">
        <w:rPr>
          <w:rFonts w:ascii="Times New Roman" w:hAnsi="Times New Roman" w:cs="Times New Roman"/>
          <w:sz w:val="24"/>
          <w:szCs w:val="24"/>
        </w:rPr>
        <w:tab/>
      </w:r>
      <w:r w:rsidRPr="00B25BEE">
        <w:rPr>
          <w:rFonts w:ascii="Times New Roman" w:hAnsi="Times New Roman" w:cs="Times New Roman"/>
          <w:sz w:val="24"/>
          <w:szCs w:val="24"/>
        </w:rPr>
        <w:tab/>
      </w:r>
      <w:r w:rsidRPr="00B25BEE">
        <w:rPr>
          <w:rFonts w:ascii="Times New Roman" w:hAnsi="Times New Roman" w:cs="Times New Roman"/>
          <w:sz w:val="24"/>
          <w:szCs w:val="24"/>
        </w:rPr>
        <w:tab/>
      </w:r>
      <w:r w:rsidRPr="00B25BEE">
        <w:rPr>
          <w:rFonts w:ascii="Times New Roman" w:hAnsi="Times New Roman" w:cs="Times New Roman"/>
          <w:sz w:val="24"/>
          <w:szCs w:val="24"/>
        </w:rPr>
        <w:tab/>
      </w:r>
      <w:r w:rsidRPr="00B25BEE">
        <w:rPr>
          <w:rFonts w:ascii="Times New Roman" w:hAnsi="Times New Roman" w:cs="Times New Roman"/>
          <w:sz w:val="24"/>
          <w:szCs w:val="24"/>
        </w:rPr>
        <w:tab/>
      </w:r>
      <w:r w:rsidRPr="00B25BEE">
        <w:rPr>
          <w:rFonts w:ascii="Times New Roman" w:hAnsi="Times New Roman" w:cs="Times New Roman"/>
          <w:sz w:val="24"/>
          <w:szCs w:val="24"/>
        </w:rPr>
        <w:tab/>
      </w:r>
      <w:r>
        <w:rPr>
          <w:rFonts w:ascii="Times New Roman" w:hAnsi="Times New Roman" w:cs="Times New Roman"/>
          <w:sz w:val="24"/>
          <w:szCs w:val="24"/>
        </w:rPr>
        <w:tab/>
      </w:r>
      <w:r w:rsidRPr="00B25BEE">
        <w:rPr>
          <w:rFonts w:ascii="Times New Roman" w:hAnsi="Times New Roman" w:cs="Times New Roman"/>
          <w:sz w:val="24"/>
          <w:szCs w:val="24"/>
        </w:rPr>
        <w:t xml:space="preserve">1.86 </w:t>
      </w:r>
      <w:r>
        <w:rPr>
          <w:rFonts w:ascii="Times New Roman" w:hAnsi="Times New Roman" w:cs="Times New Roman"/>
          <w:sz w:val="24"/>
          <w:szCs w:val="24"/>
        </w:rPr>
        <w:t>g l</w:t>
      </w:r>
      <w:r w:rsidRPr="00A77109">
        <w:rPr>
          <w:rFonts w:ascii="Times New Roman" w:hAnsi="Times New Roman" w:cs="Times New Roman"/>
          <w:sz w:val="24"/>
          <w:szCs w:val="24"/>
          <w:vertAlign w:val="superscript"/>
        </w:rPr>
        <w:t>-1</w:t>
      </w:r>
    </w:p>
    <w:p w:rsidR="00513C8F" w:rsidRDefault="00513C8F" w:rsidP="00513C8F">
      <w:pPr>
        <w:spacing w:after="120" w:line="480" w:lineRule="auto"/>
        <w:rPr>
          <w:rFonts w:ascii="Times New Roman" w:hAnsi="Times New Roman" w:cs="Times New Roman"/>
          <w:sz w:val="24"/>
          <w:szCs w:val="24"/>
        </w:rPr>
      </w:pPr>
      <w:r>
        <w:rPr>
          <w:rFonts w:ascii="Times New Roman" w:hAnsi="Times New Roman" w:cs="Times New Roman"/>
          <w:sz w:val="24"/>
          <w:szCs w:val="24"/>
        </w:rPr>
        <w:t>NaCl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5.84 g l</w:t>
      </w:r>
      <w:r w:rsidRPr="00A77109">
        <w:rPr>
          <w:rFonts w:ascii="Times New Roman" w:hAnsi="Times New Roman" w:cs="Times New Roman"/>
          <w:sz w:val="24"/>
          <w:szCs w:val="24"/>
          <w:vertAlign w:val="superscript"/>
        </w:rPr>
        <w:t>-1</w:t>
      </w:r>
    </w:p>
    <w:p w:rsidR="00513C8F" w:rsidRDefault="00513C8F" w:rsidP="00513C8F">
      <w:pPr>
        <w:spacing w:after="120" w:line="480" w:lineRule="auto"/>
        <w:rPr>
          <w:rFonts w:ascii="Times New Roman" w:hAnsi="Times New Roman" w:cs="Times New Roman"/>
          <w:sz w:val="24"/>
          <w:szCs w:val="24"/>
        </w:rPr>
      </w:pPr>
      <w:r>
        <w:rPr>
          <w:rFonts w:ascii="Times New Roman" w:hAnsi="Times New Roman" w:cs="Times New Roman"/>
          <w:sz w:val="24"/>
          <w:szCs w:val="24"/>
        </w:rPr>
        <w:t>The pH was adjusted to 8.0 before autoclaving.</w:t>
      </w:r>
    </w:p>
    <w:p w:rsidR="00513C8F" w:rsidRPr="0076399D" w:rsidRDefault="00513C8F" w:rsidP="00513C8F">
      <w:pPr>
        <w:spacing w:after="120" w:line="480" w:lineRule="auto"/>
        <w:jc w:val="both"/>
        <w:rPr>
          <w:rFonts w:ascii="Times New Roman" w:hAnsi="Times New Roman" w:cs="Times New Roman"/>
          <w:sz w:val="24"/>
          <w:szCs w:val="24"/>
        </w:rPr>
      </w:pPr>
    </w:p>
    <w:p w:rsidR="00513C8F" w:rsidRPr="0076399D" w:rsidRDefault="00513C8F" w:rsidP="00513C8F">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t>2.3.</w:t>
      </w:r>
      <w:r>
        <w:rPr>
          <w:rFonts w:ascii="Times New Roman" w:hAnsi="Times New Roman" w:cs="Times New Roman"/>
          <w:sz w:val="28"/>
          <w:szCs w:val="28"/>
        </w:rPr>
        <w:t>4</w:t>
      </w:r>
      <w:r w:rsidRPr="0076399D">
        <w:rPr>
          <w:rFonts w:ascii="Times New Roman" w:hAnsi="Times New Roman" w:cs="Times New Roman"/>
          <w:sz w:val="28"/>
          <w:szCs w:val="28"/>
        </w:rPr>
        <w:tab/>
      </w:r>
      <w:r w:rsidRPr="0076399D">
        <w:rPr>
          <w:rFonts w:ascii="Times New Roman" w:hAnsi="Times New Roman" w:cs="Times New Roman"/>
          <w:sz w:val="28"/>
          <w:szCs w:val="28"/>
        </w:rPr>
        <w:tab/>
        <w:t>Boric acid buffer</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Boric acid</w:t>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0.5 M</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The pH was adjusted to 8.7 with NaOH prior to autoclaving.</w:t>
      </w:r>
    </w:p>
    <w:p w:rsidR="00513C8F" w:rsidRPr="0076399D" w:rsidRDefault="00513C8F" w:rsidP="00513C8F">
      <w:pPr>
        <w:spacing w:after="120" w:line="480" w:lineRule="auto"/>
        <w:jc w:val="both"/>
        <w:rPr>
          <w:rFonts w:ascii="Times New Roman" w:hAnsi="Times New Roman" w:cs="Times New Roman"/>
          <w:sz w:val="24"/>
          <w:szCs w:val="24"/>
        </w:rPr>
      </w:pPr>
    </w:p>
    <w:p w:rsidR="00513C8F" w:rsidRPr="0076399D" w:rsidRDefault="00513C8F" w:rsidP="00513C8F">
      <w:pPr>
        <w:jc w:val="both"/>
        <w:rPr>
          <w:rFonts w:ascii="Times New Roman" w:hAnsi="Times New Roman" w:cs="Times New Roman"/>
          <w:b/>
          <w:sz w:val="24"/>
          <w:szCs w:val="24"/>
        </w:rPr>
      </w:pPr>
      <w:r w:rsidRPr="0076399D">
        <w:rPr>
          <w:rFonts w:ascii="Times New Roman" w:hAnsi="Times New Roman" w:cs="Times New Roman"/>
          <w:b/>
          <w:sz w:val="24"/>
          <w:szCs w:val="24"/>
        </w:rPr>
        <w:lastRenderedPageBreak/>
        <w:t>Table 2.1 Antibiotic stock solutions and concentrations</w:t>
      </w:r>
    </w:p>
    <w:tbl>
      <w:tblPr>
        <w:tblStyle w:val="TableGrid"/>
        <w:tblW w:w="8561" w:type="dxa"/>
        <w:tblLook w:val="04A0"/>
      </w:tblPr>
      <w:tblGrid>
        <w:gridCol w:w="2268"/>
        <w:gridCol w:w="1984"/>
        <w:gridCol w:w="2410"/>
        <w:gridCol w:w="1899"/>
      </w:tblGrid>
      <w:tr w:rsidR="00513C8F" w:rsidRPr="0076399D" w:rsidTr="002D7C9B">
        <w:tc>
          <w:tcPr>
            <w:tcW w:w="2268" w:type="dxa"/>
            <w:tcBorders>
              <w:left w:val="nil"/>
              <w:bottom w:val="single" w:sz="4" w:space="0" w:color="auto"/>
              <w:right w:val="nil"/>
            </w:tcBorders>
            <w:tcMar>
              <w:top w:w="57" w:type="dxa"/>
              <w:left w:w="0" w:type="dxa"/>
              <w:bottom w:w="85" w:type="dxa"/>
              <w:right w:w="0" w:type="dxa"/>
            </w:tcMar>
          </w:tcPr>
          <w:p w:rsidR="00513C8F" w:rsidRPr="0076399D" w:rsidRDefault="00513C8F" w:rsidP="002D7C9B">
            <w:pPr>
              <w:jc w:val="center"/>
              <w:rPr>
                <w:rFonts w:ascii="Times New Roman" w:hAnsi="Times New Roman" w:cs="Times New Roman"/>
                <w:b/>
              </w:rPr>
            </w:pPr>
            <w:r w:rsidRPr="0076399D">
              <w:rPr>
                <w:rFonts w:ascii="Times New Roman" w:hAnsi="Times New Roman" w:cs="Times New Roman"/>
                <w:b/>
              </w:rPr>
              <w:t>Antibiotic</w:t>
            </w:r>
          </w:p>
        </w:tc>
        <w:tc>
          <w:tcPr>
            <w:tcW w:w="1984" w:type="dxa"/>
            <w:tcBorders>
              <w:left w:val="nil"/>
              <w:bottom w:val="single" w:sz="4" w:space="0" w:color="auto"/>
              <w:right w:val="nil"/>
            </w:tcBorders>
            <w:tcMar>
              <w:top w:w="57" w:type="dxa"/>
              <w:left w:w="0" w:type="dxa"/>
              <w:bottom w:w="85" w:type="dxa"/>
              <w:right w:w="0" w:type="dxa"/>
            </w:tcMar>
          </w:tcPr>
          <w:p w:rsidR="00513C8F" w:rsidRPr="0076399D" w:rsidRDefault="00513C8F" w:rsidP="002D7C9B">
            <w:pPr>
              <w:jc w:val="center"/>
              <w:rPr>
                <w:rFonts w:ascii="Times New Roman" w:hAnsi="Times New Roman" w:cs="Times New Roman"/>
                <w:b/>
              </w:rPr>
            </w:pPr>
            <w:r w:rsidRPr="0076399D">
              <w:rPr>
                <w:rFonts w:ascii="Times New Roman" w:hAnsi="Times New Roman" w:cs="Times New Roman"/>
                <w:b/>
              </w:rPr>
              <w:t>Stock concentration</w:t>
            </w:r>
          </w:p>
          <w:p w:rsidR="00513C8F" w:rsidRPr="0076399D" w:rsidRDefault="00513C8F" w:rsidP="002D7C9B">
            <w:pPr>
              <w:jc w:val="center"/>
              <w:rPr>
                <w:rFonts w:ascii="Times New Roman" w:hAnsi="Times New Roman" w:cs="Times New Roman"/>
                <w:b/>
              </w:rPr>
            </w:pPr>
            <w:r w:rsidRPr="0076399D">
              <w:rPr>
                <w:rFonts w:ascii="Times New Roman" w:hAnsi="Times New Roman" w:cs="Times New Roman"/>
                <w:b/>
              </w:rPr>
              <w:t>(</w:t>
            </w:r>
            <w:r w:rsidRPr="00A77109">
              <w:rPr>
                <w:rFonts w:ascii="Times New Roman" w:hAnsi="Times New Roman" w:cs="Times New Roman"/>
                <w:b/>
              </w:rPr>
              <w:t>mg ml</w:t>
            </w:r>
            <w:r w:rsidRPr="00A77109">
              <w:rPr>
                <w:rFonts w:ascii="Times New Roman" w:hAnsi="Times New Roman" w:cs="Times New Roman"/>
                <w:b/>
                <w:vertAlign w:val="superscript"/>
              </w:rPr>
              <w:t>-1</w:t>
            </w:r>
            <w:r w:rsidRPr="0076399D">
              <w:rPr>
                <w:rFonts w:ascii="Times New Roman" w:hAnsi="Times New Roman" w:cs="Times New Roman"/>
                <w:b/>
              </w:rPr>
              <w:t>)</w:t>
            </w:r>
          </w:p>
        </w:tc>
        <w:tc>
          <w:tcPr>
            <w:tcW w:w="2410" w:type="dxa"/>
            <w:tcBorders>
              <w:left w:val="nil"/>
              <w:bottom w:val="single" w:sz="4" w:space="0" w:color="auto"/>
              <w:right w:val="nil"/>
            </w:tcBorders>
            <w:noWrap/>
            <w:tcMar>
              <w:top w:w="57" w:type="dxa"/>
              <w:bottom w:w="85" w:type="dxa"/>
            </w:tcMar>
          </w:tcPr>
          <w:p w:rsidR="00513C8F" w:rsidRPr="0076399D" w:rsidRDefault="00513C8F" w:rsidP="002D7C9B">
            <w:pPr>
              <w:jc w:val="center"/>
              <w:rPr>
                <w:rFonts w:ascii="Times New Roman" w:hAnsi="Times New Roman" w:cs="Times New Roman"/>
                <w:b/>
              </w:rPr>
            </w:pPr>
            <w:r w:rsidRPr="0076399D">
              <w:rPr>
                <w:rFonts w:ascii="Times New Roman" w:hAnsi="Times New Roman" w:cs="Times New Roman"/>
                <w:b/>
              </w:rPr>
              <w:t>Working concentration</w:t>
            </w:r>
          </w:p>
          <w:p w:rsidR="00513C8F" w:rsidRPr="0076399D" w:rsidRDefault="00513C8F" w:rsidP="002D7C9B">
            <w:pPr>
              <w:jc w:val="center"/>
              <w:rPr>
                <w:rFonts w:ascii="Times New Roman" w:hAnsi="Times New Roman" w:cs="Times New Roman"/>
                <w:b/>
              </w:rPr>
            </w:pPr>
            <w:r w:rsidRPr="0076399D">
              <w:rPr>
                <w:rFonts w:ascii="Times New Roman" w:hAnsi="Times New Roman" w:cs="Times New Roman"/>
                <w:b/>
              </w:rPr>
              <w:t>(</w:t>
            </w:r>
            <w:r>
              <w:rPr>
                <w:rFonts w:ascii="Times New Roman" w:hAnsi="Times New Roman" w:cs="Times New Roman"/>
                <w:b/>
              </w:rPr>
              <w:t>µg ml</w:t>
            </w:r>
            <w:r w:rsidRPr="00A77109">
              <w:rPr>
                <w:rFonts w:ascii="Times New Roman" w:hAnsi="Times New Roman" w:cs="Times New Roman"/>
                <w:b/>
                <w:vertAlign w:val="superscript"/>
              </w:rPr>
              <w:t>-1</w:t>
            </w:r>
            <w:r w:rsidRPr="0076399D">
              <w:rPr>
                <w:rFonts w:ascii="Times New Roman" w:hAnsi="Times New Roman" w:cs="Times New Roman"/>
                <w:b/>
              </w:rPr>
              <w:t>)</w:t>
            </w:r>
          </w:p>
        </w:tc>
        <w:tc>
          <w:tcPr>
            <w:tcW w:w="1899" w:type="dxa"/>
            <w:tcBorders>
              <w:left w:val="nil"/>
              <w:bottom w:val="single" w:sz="4" w:space="0" w:color="auto"/>
              <w:right w:val="nil"/>
            </w:tcBorders>
            <w:tcMar>
              <w:top w:w="57" w:type="dxa"/>
              <w:bottom w:w="85" w:type="dxa"/>
            </w:tcMar>
          </w:tcPr>
          <w:p w:rsidR="00513C8F" w:rsidRPr="0076399D" w:rsidRDefault="00513C8F" w:rsidP="002D7C9B">
            <w:pPr>
              <w:jc w:val="center"/>
              <w:rPr>
                <w:rFonts w:ascii="Times New Roman" w:hAnsi="Times New Roman" w:cs="Times New Roman"/>
                <w:b/>
              </w:rPr>
            </w:pPr>
            <w:r w:rsidRPr="0076399D">
              <w:rPr>
                <w:rFonts w:ascii="Times New Roman" w:hAnsi="Times New Roman" w:cs="Times New Roman"/>
                <w:b/>
              </w:rPr>
              <w:t>Solvent</w:t>
            </w:r>
          </w:p>
        </w:tc>
      </w:tr>
      <w:tr w:rsidR="00513C8F" w:rsidRPr="0076399D" w:rsidTr="002D7C9B">
        <w:tc>
          <w:tcPr>
            <w:tcW w:w="2268" w:type="dxa"/>
            <w:tcBorders>
              <w:left w:val="nil"/>
              <w:bottom w:val="nil"/>
              <w:right w:val="nil"/>
            </w:tcBorders>
            <w:tcMar>
              <w:top w:w="57" w:type="dxa"/>
              <w:left w:w="0" w:type="dxa"/>
              <w:bottom w:w="85" w:type="dxa"/>
              <w:right w:w="0" w:type="dxa"/>
            </w:tcMar>
          </w:tcPr>
          <w:p w:rsidR="00513C8F" w:rsidRPr="0076399D" w:rsidRDefault="00513C8F" w:rsidP="002D7C9B">
            <w:pPr>
              <w:tabs>
                <w:tab w:val="left" w:pos="1560"/>
              </w:tabs>
              <w:jc w:val="both"/>
              <w:rPr>
                <w:rFonts w:ascii="Times New Roman" w:hAnsi="Times New Roman" w:cs="Times New Roman"/>
              </w:rPr>
            </w:pPr>
            <w:r w:rsidRPr="0076399D">
              <w:rPr>
                <w:rFonts w:ascii="Times New Roman" w:hAnsi="Times New Roman" w:cs="Times New Roman"/>
              </w:rPr>
              <w:t xml:space="preserve">Ampicillin </w:t>
            </w:r>
            <w:r>
              <w:rPr>
                <w:rFonts w:ascii="Times New Roman" w:hAnsi="Times New Roman" w:cs="Times New Roman"/>
              </w:rPr>
              <w:tab/>
            </w:r>
            <w:r w:rsidRPr="0076399D">
              <w:rPr>
                <w:rFonts w:ascii="Times New Roman" w:hAnsi="Times New Roman" w:cs="Times New Roman"/>
              </w:rPr>
              <w:t>(</w:t>
            </w:r>
            <w:r>
              <w:rPr>
                <w:rFonts w:ascii="Times New Roman" w:hAnsi="Times New Roman" w:cs="Times New Roman"/>
              </w:rPr>
              <w:t>A</w:t>
            </w:r>
            <w:r w:rsidRPr="0076399D">
              <w:rPr>
                <w:rFonts w:ascii="Times New Roman" w:hAnsi="Times New Roman" w:cs="Times New Roman"/>
              </w:rPr>
              <w:t>mp)</w:t>
            </w:r>
          </w:p>
        </w:tc>
        <w:tc>
          <w:tcPr>
            <w:tcW w:w="1984" w:type="dxa"/>
            <w:tcBorders>
              <w:left w:val="nil"/>
              <w:bottom w:val="nil"/>
              <w:right w:val="nil"/>
            </w:tcBorders>
            <w:tcMar>
              <w:top w:w="57" w:type="dxa"/>
              <w:bottom w:w="85" w:type="dxa"/>
            </w:tcMar>
          </w:tcPr>
          <w:p w:rsidR="00513C8F" w:rsidRPr="0076399D" w:rsidRDefault="00513C8F" w:rsidP="002D7C9B">
            <w:pPr>
              <w:jc w:val="center"/>
              <w:rPr>
                <w:rFonts w:ascii="Times New Roman" w:hAnsi="Times New Roman" w:cs="Times New Roman"/>
              </w:rPr>
            </w:pPr>
            <w:r w:rsidRPr="0076399D">
              <w:rPr>
                <w:rFonts w:ascii="Times New Roman" w:hAnsi="Times New Roman" w:cs="Times New Roman"/>
              </w:rPr>
              <w:t>50</w:t>
            </w:r>
          </w:p>
        </w:tc>
        <w:tc>
          <w:tcPr>
            <w:tcW w:w="2410" w:type="dxa"/>
            <w:tcBorders>
              <w:left w:val="nil"/>
              <w:bottom w:val="nil"/>
              <w:right w:val="nil"/>
            </w:tcBorders>
            <w:tcMar>
              <w:top w:w="57" w:type="dxa"/>
              <w:bottom w:w="85" w:type="dxa"/>
            </w:tcMar>
          </w:tcPr>
          <w:p w:rsidR="00513C8F" w:rsidRPr="0076399D" w:rsidRDefault="00513C8F" w:rsidP="002D7C9B">
            <w:pPr>
              <w:jc w:val="center"/>
              <w:rPr>
                <w:rFonts w:ascii="Times New Roman" w:hAnsi="Times New Roman" w:cs="Times New Roman"/>
              </w:rPr>
            </w:pPr>
            <w:r w:rsidRPr="0076399D">
              <w:rPr>
                <w:rFonts w:ascii="Times New Roman" w:hAnsi="Times New Roman" w:cs="Times New Roman"/>
              </w:rPr>
              <w:t>50</w:t>
            </w:r>
          </w:p>
        </w:tc>
        <w:tc>
          <w:tcPr>
            <w:tcW w:w="1899" w:type="dxa"/>
            <w:tcBorders>
              <w:left w:val="nil"/>
              <w:bottom w:val="nil"/>
              <w:right w:val="nil"/>
            </w:tcBorders>
            <w:tcMar>
              <w:top w:w="57" w:type="dxa"/>
              <w:bottom w:w="85" w:type="dxa"/>
            </w:tcMar>
          </w:tcPr>
          <w:p w:rsidR="00513C8F" w:rsidRPr="0076399D" w:rsidRDefault="00513C8F" w:rsidP="002D7C9B">
            <w:pPr>
              <w:jc w:val="center"/>
              <w:rPr>
                <w:rFonts w:ascii="Times New Roman" w:hAnsi="Times New Roman" w:cs="Times New Roman"/>
              </w:rPr>
            </w:pPr>
            <w:r w:rsidRPr="0076399D">
              <w:rPr>
                <w:rFonts w:ascii="Times New Roman" w:hAnsi="Times New Roman" w:cs="Times New Roman"/>
              </w:rPr>
              <w:t>dH</w:t>
            </w:r>
            <w:r w:rsidRPr="0076399D">
              <w:rPr>
                <w:rFonts w:ascii="Times New Roman" w:hAnsi="Times New Roman" w:cs="Times New Roman"/>
                <w:vertAlign w:val="subscript"/>
              </w:rPr>
              <w:t>2</w:t>
            </w:r>
            <w:r w:rsidRPr="0076399D">
              <w:rPr>
                <w:rFonts w:ascii="Times New Roman" w:hAnsi="Times New Roman" w:cs="Times New Roman"/>
              </w:rPr>
              <w:t>O</w:t>
            </w:r>
          </w:p>
        </w:tc>
      </w:tr>
      <w:tr w:rsidR="00513C8F" w:rsidRPr="0076399D" w:rsidTr="002D7C9B">
        <w:tc>
          <w:tcPr>
            <w:tcW w:w="2268" w:type="dxa"/>
            <w:tcBorders>
              <w:top w:val="nil"/>
              <w:left w:val="nil"/>
              <w:bottom w:val="nil"/>
              <w:right w:val="nil"/>
            </w:tcBorders>
            <w:tcMar>
              <w:top w:w="57" w:type="dxa"/>
              <w:left w:w="0" w:type="dxa"/>
              <w:bottom w:w="85" w:type="dxa"/>
              <w:right w:w="0" w:type="dxa"/>
            </w:tcMar>
          </w:tcPr>
          <w:p w:rsidR="00513C8F" w:rsidRPr="0076399D" w:rsidRDefault="00513C8F" w:rsidP="002D7C9B">
            <w:pPr>
              <w:tabs>
                <w:tab w:val="left" w:pos="1560"/>
              </w:tabs>
              <w:jc w:val="both"/>
              <w:rPr>
                <w:rFonts w:ascii="Times New Roman" w:hAnsi="Times New Roman" w:cs="Times New Roman"/>
              </w:rPr>
            </w:pPr>
            <w:r w:rsidRPr="0076399D">
              <w:rPr>
                <w:rFonts w:ascii="Times New Roman" w:hAnsi="Times New Roman" w:cs="Times New Roman"/>
              </w:rPr>
              <w:t xml:space="preserve">Erythromycin </w:t>
            </w:r>
            <w:r>
              <w:rPr>
                <w:rFonts w:ascii="Times New Roman" w:hAnsi="Times New Roman" w:cs="Times New Roman"/>
              </w:rPr>
              <w:tab/>
            </w:r>
            <w:r w:rsidRPr="0076399D">
              <w:rPr>
                <w:rFonts w:ascii="Times New Roman" w:hAnsi="Times New Roman" w:cs="Times New Roman"/>
              </w:rPr>
              <w:t>(</w:t>
            </w:r>
            <w:r>
              <w:rPr>
                <w:rFonts w:ascii="Times New Roman" w:hAnsi="Times New Roman" w:cs="Times New Roman"/>
              </w:rPr>
              <w:t>E</w:t>
            </w:r>
            <w:r w:rsidRPr="0076399D">
              <w:rPr>
                <w:rFonts w:ascii="Times New Roman" w:hAnsi="Times New Roman" w:cs="Times New Roman"/>
              </w:rPr>
              <w:t>ry)</w:t>
            </w:r>
          </w:p>
        </w:tc>
        <w:tc>
          <w:tcPr>
            <w:tcW w:w="1984" w:type="dxa"/>
            <w:tcBorders>
              <w:top w:val="nil"/>
              <w:left w:val="nil"/>
              <w:bottom w:val="nil"/>
              <w:right w:val="nil"/>
            </w:tcBorders>
            <w:tcMar>
              <w:top w:w="57" w:type="dxa"/>
              <w:bottom w:w="85" w:type="dxa"/>
            </w:tcMar>
          </w:tcPr>
          <w:p w:rsidR="00513C8F" w:rsidRPr="0076399D" w:rsidRDefault="00513C8F" w:rsidP="002D7C9B">
            <w:pPr>
              <w:jc w:val="center"/>
              <w:rPr>
                <w:rFonts w:ascii="Times New Roman" w:hAnsi="Times New Roman" w:cs="Times New Roman"/>
              </w:rPr>
            </w:pPr>
            <w:r w:rsidRPr="0076399D">
              <w:rPr>
                <w:rFonts w:ascii="Times New Roman" w:hAnsi="Times New Roman" w:cs="Times New Roman"/>
              </w:rPr>
              <w:t>5</w:t>
            </w:r>
          </w:p>
        </w:tc>
        <w:tc>
          <w:tcPr>
            <w:tcW w:w="2410" w:type="dxa"/>
            <w:tcBorders>
              <w:top w:val="nil"/>
              <w:left w:val="nil"/>
              <w:bottom w:val="nil"/>
              <w:right w:val="nil"/>
            </w:tcBorders>
            <w:tcMar>
              <w:top w:w="57" w:type="dxa"/>
              <w:bottom w:w="85" w:type="dxa"/>
            </w:tcMar>
          </w:tcPr>
          <w:p w:rsidR="00513C8F" w:rsidRPr="0076399D" w:rsidRDefault="00513C8F" w:rsidP="002D7C9B">
            <w:pPr>
              <w:jc w:val="center"/>
              <w:rPr>
                <w:rFonts w:ascii="Times New Roman" w:hAnsi="Times New Roman" w:cs="Times New Roman"/>
              </w:rPr>
            </w:pPr>
            <w:r w:rsidRPr="0076399D">
              <w:rPr>
                <w:rFonts w:ascii="Times New Roman" w:hAnsi="Times New Roman" w:cs="Times New Roman"/>
              </w:rPr>
              <w:t>5</w:t>
            </w:r>
          </w:p>
        </w:tc>
        <w:tc>
          <w:tcPr>
            <w:tcW w:w="1899" w:type="dxa"/>
            <w:tcBorders>
              <w:top w:val="nil"/>
              <w:left w:val="nil"/>
              <w:bottom w:val="nil"/>
              <w:right w:val="nil"/>
            </w:tcBorders>
            <w:tcMar>
              <w:top w:w="57" w:type="dxa"/>
              <w:bottom w:w="85" w:type="dxa"/>
            </w:tcMar>
          </w:tcPr>
          <w:p w:rsidR="00513C8F" w:rsidRPr="0076399D" w:rsidRDefault="00513C8F" w:rsidP="002D7C9B">
            <w:pPr>
              <w:jc w:val="center"/>
              <w:rPr>
                <w:rFonts w:ascii="Times New Roman" w:hAnsi="Times New Roman" w:cs="Times New Roman"/>
              </w:rPr>
            </w:pPr>
            <w:r w:rsidRPr="0076399D">
              <w:rPr>
                <w:rFonts w:ascii="Times New Roman" w:hAnsi="Times New Roman" w:cs="Times New Roman"/>
              </w:rPr>
              <w:t>95% (v/v) ethanol</w:t>
            </w:r>
          </w:p>
        </w:tc>
      </w:tr>
      <w:tr w:rsidR="00513C8F" w:rsidRPr="0076399D" w:rsidTr="002D7C9B">
        <w:tc>
          <w:tcPr>
            <w:tcW w:w="2268" w:type="dxa"/>
            <w:tcBorders>
              <w:top w:val="nil"/>
              <w:left w:val="nil"/>
              <w:bottom w:val="nil"/>
              <w:right w:val="nil"/>
            </w:tcBorders>
            <w:tcMar>
              <w:top w:w="57" w:type="dxa"/>
              <w:left w:w="0" w:type="dxa"/>
              <w:bottom w:w="85" w:type="dxa"/>
              <w:right w:w="0" w:type="dxa"/>
            </w:tcMar>
          </w:tcPr>
          <w:p w:rsidR="00513C8F" w:rsidRPr="0076399D" w:rsidRDefault="00513C8F" w:rsidP="002D7C9B">
            <w:pPr>
              <w:tabs>
                <w:tab w:val="left" w:pos="1560"/>
              </w:tabs>
              <w:jc w:val="both"/>
              <w:rPr>
                <w:rFonts w:ascii="Times New Roman" w:hAnsi="Times New Roman" w:cs="Times New Roman"/>
              </w:rPr>
            </w:pPr>
            <w:r w:rsidRPr="0076399D">
              <w:rPr>
                <w:rFonts w:ascii="Times New Roman" w:hAnsi="Times New Roman" w:cs="Times New Roman"/>
              </w:rPr>
              <w:t xml:space="preserve">Lincomycin </w:t>
            </w:r>
            <w:r>
              <w:rPr>
                <w:rFonts w:ascii="Times New Roman" w:hAnsi="Times New Roman" w:cs="Times New Roman"/>
              </w:rPr>
              <w:tab/>
            </w:r>
            <w:r w:rsidRPr="0076399D">
              <w:rPr>
                <w:rFonts w:ascii="Times New Roman" w:hAnsi="Times New Roman" w:cs="Times New Roman"/>
              </w:rPr>
              <w:t>(</w:t>
            </w:r>
            <w:r>
              <w:rPr>
                <w:rFonts w:ascii="Times New Roman" w:hAnsi="Times New Roman" w:cs="Times New Roman"/>
              </w:rPr>
              <w:t>L</w:t>
            </w:r>
            <w:r w:rsidRPr="0076399D">
              <w:rPr>
                <w:rFonts w:ascii="Times New Roman" w:hAnsi="Times New Roman" w:cs="Times New Roman"/>
              </w:rPr>
              <w:t>in)</w:t>
            </w:r>
          </w:p>
        </w:tc>
        <w:tc>
          <w:tcPr>
            <w:tcW w:w="1984" w:type="dxa"/>
            <w:tcBorders>
              <w:top w:val="nil"/>
              <w:left w:val="nil"/>
              <w:bottom w:val="nil"/>
              <w:right w:val="nil"/>
            </w:tcBorders>
            <w:tcMar>
              <w:top w:w="57" w:type="dxa"/>
              <w:bottom w:w="85" w:type="dxa"/>
            </w:tcMar>
          </w:tcPr>
          <w:p w:rsidR="00513C8F" w:rsidRPr="0076399D" w:rsidRDefault="00513C8F" w:rsidP="002D7C9B">
            <w:pPr>
              <w:jc w:val="center"/>
              <w:rPr>
                <w:rFonts w:ascii="Times New Roman" w:hAnsi="Times New Roman" w:cs="Times New Roman"/>
              </w:rPr>
            </w:pPr>
            <w:r w:rsidRPr="0076399D">
              <w:rPr>
                <w:rFonts w:ascii="Times New Roman" w:hAnsi="Times New Roman" w:cs="Times New Roman"/>
              </w:rPr>
              <w:t>25</w:t>
            </w:r>
          </w:p>
        </w:tc>
        <w:tc>
          <w:tcPr>
            <w:tcW w:w="2410" w:type="dxa"/>
            <w:tcBorders>
              <w:top w:val="nil"/>
              <w:left w:val="nil"/>
              <w:bottom w:val="nil"/>
              <w:right w:val="nil"/>
            </w:tcBorders>
            <w:tcMar>
              <w:top w:w="57" w:type="dxa"/>
              <w:bottom w:w="85" w:type="dxa"/>
            </w:tcMar>
          </w:tcPr>
          <w:p w:rsidR="00513C8F" w:rsidRPr="0076399D" w:rsidRDefault="00513C8F" w:rsidP="002D7C9B">
            <w:pPr>
              <w:jc w:val="center"/>
              <w:rPr>
                <w:rFonts w:ascii="Times New Roman" w:hAnsi="Times New Roman" w:cs="Times New Roman"/>
              </w:rPr>
            </w:pPr>
            <w:r w:rsidRPr="0076399D">
              <w:rPr>
                <w:rFonts w:ascii="Times New Roman" w:hAnsi="Times New Roman" w:cs="Times New Roman"/>
              </w:rPr>
              <w:t>25</w:t>
            </w:r>
          </w:p>
        </w:tc>
        <w:tc>
          <w:tcPr>
            <w:tcW w:w="1899" w:type="dxa"/>
            <w:tcBorders>
              <w:top w:val="nil"/>
              <w:left w:val="nil"/>
              <w:bottom w:val="nil"/>
              <w:right w:val="nil"/>
            </w:tcBorders>
            <w:tcMar>
              <w:top w:w="57" w:type="dxa"/>
              <w:bottom w:w="85" w:type="dxa"/>
            </w:tcMar>
          </w:tcPr>
          <w:p w:rsidR="00513C8F" w:rsidRPr="0076399D" w:rsidRDefault="00513C8F" w:rsidP="002D7C9B">
            <w:pPr>
              <w:jc w:val="center"/>
              <w:rPr>
                <w:rFonts w:ascii="Times New Roman" w:hAnsi="Times New Roman" w:cs="Times New Roman"/>
              </w:rPr>
            </w:pPr>
            <w:r w:rsidRPr="0076399D">
              <w:rPr>
                <w:rFonts w:ascii="Times New Roman" w:hAnsi="Times New Roman" w:cs="Times New Roman"/>
              </w:rPr>
              <w:t>50 % (v/v) ethanol</w:t>
            </w:r>
          </w:p>
        </w:tc>
      </w:tr>
      <w:tr w:rsidR="00513C8F" w:rsidRPr="0076399D" w:rsidTr="002D7C9B">
        <w:tc>
          <w:tcPr>
            <w:tcW w:w="2268" w:type="dxa"/>
            <w:tcBorders>
              <w:top w:val="nil"/>
              <w:left w:val="nil"/>
              <w:bottom w:val="nil"/>
              <w:right w:val="nil"/>
            </w:tcBorders>
            <w:tcMar>
              <w:top w:w="57" w:type="dxa"/>
              <w:left w:w="0" w:type="dxa"/>
              <w:bottom w:w="85" w:type="dxa"/>
              <w:right w:w="0" w:type="dxa"/>
            </w:tcMar>
          </w:tcPr>
          <w:p w:rsidR="00513C8F" w:rsidRPr="0076399D" w:rsidRDefault="00513C8F" w:rsidP="002D7C9B">
            <w:pPr>
              <w:tabs>
                <w:tab w:val="left" w:pos="1560"/>
              </w:tabs>
              <w:jc w:val="both"/>
              <w:rPr>
                <w:rFonts w:ascii="Times New Roman" w:hAnsi="Times New Roman" w:cs="Times New Roman"/>
              </w:rPr>
            </w:pPr>
            <w:r w:rsidRPr="0076399D">
              <w:rPr>
                <w:rFonts w:ascii="Times New Roman" w:hAnsi="Times New Roman" w:cs="Times New Roman"/>
              </w:rPr>
              <w:t xml:space="preserve">Kanamycin </w:t>
            </w:r>
            <w:r>
              <w:rPr>
                <w:rFonts w:ascii="Times New Roman" w:hAnsi="Times New Roman" w:cs="Times New Roman"/>
              </w:rPr>
              <w:tab/>
            </w:r>
            <w:r w:rsidRPr="0076399D">
              <w:rPr>
                <w:rFonts w:ascii="Times New Roman" w:hAnsi="Times New Roman" w:cs="Times New Roman"/>
              </w:rPr>
              <w:t>(</w:t>
            </w:r>
            <w:r>
              <w:rPr>
                <w:rFonts w:ascii="Times New Roman" w:hAnsi="Times New Roman" w:cs="Times New Roman"/>
              </w:rPr>
              <w:t>K</w:t>
            </w:r>
            <w:r w:rsidRPr="0076399D">
              <w:rPr>
                <w:rFonts w:ascii="Times New Roman" w:hAnsi="Times New Roman" w:cs="Times New Roman"/>
              </w:rPr>
              <w:t>an)</w:t>
            </w:r>
          </w:p>
        </w:tc>
        <w:tc>
          <w:tcPr>
            <w:tcW w:w="1984" w:type="dxa"/>
            <w:tcBorders>
              <w:top w:val="nil"/>
              <w:left w:val="nil"/>
              <w:bottom w:val="nil"/>
              <w:right w:val="nil"/>
            </w:tcBorders>
            <w:tcMar>
              <w:top w:w="57" w:type="dxa"/>
              <w:bottom w:w="85" w:type="dxa"/>
            </w:tcMar>
          </w:tcPr>
          <w:p w:rsidR="00513C8F" w:rsidRPr="0076399D" w:rsidRDefault="00513C8F" w:rsidP="002D7C9B">
            <w:pPr>
              <w:jc w:val="center"/>
              <w:rPr>
                <w:rFonts w:ascii="Times New Roman" w:hAnsi="Times New Roman" w:cs="Times New Roman"/>
              </w:rPr>
            </w:pPr>
            <w:r w:rsidRPr="0076399D">
              <w:rPr>
                <w:rFonts w:ascii="Times New Roman" w:hAnsi="Times New Roman" w:cs="Times New Roman"/>
              </w:rPr>
              <w:t>50</w:t>
            </w:r>
          </w:p>
        </w:tc>
        <w:tc>
          <w:tcPr>
            <w:tcW w:w="2410" w:type="dxa"/>
            <w:tcBorders>
              <w:top w:val="nil"/>
              <w:left w:val="nil"/>
              <w:bottom w:val="nil"/>
              <w:right w:val="nil"/>
            </w:tcBorders>
            <w:tcMar>
              <w:top w:w="57" w:type="dxa"/>
              <w:bottom w:w="85" w:type="dxa"/>
            </w:tcMar>
          </w:tcPr>
          <w:p w:rsidR="00513C8F" w:rsidRPr="0076399D" w:rsidRDefault="00513C8F" w:rsidP="002D7C9B">
            <w:pPr>
              <w:jc w:val="center"/>
              <w:rPr>
                <w:rFonts w:ascii="Times New Roman" w:hAnsi="Times New Roman" w:cs="Times New Roman"/>
              </w:rPr>
            </w:pPr>
            <w:r w:rsidRPr="0076399D">
              <w:rPr>
                <w:rFonts w:ascii="Times New Roman" w:hAnsi="Times New Roman" w:cs="Times New Roman"/>
              </w:rPr>
              <w:t>50</w:t>
            </w:r>
          </w:p>
        </w:tc>
        <w:tc>
          <w:tcPr>
            <w:tcW w:w="1899" w:type="dxa"/>
            <w:tcBorders>
              <w:top w:val="nil"/>
              <w:left w:val="nil"/>
              <w:bottom w:val="nil"/>
              <w:right w:val="nil"/>
            </w:tcBorders>
            <w:tcMar>
              <w:top w:w="57" w:type="dxa"/>
              <w:bottom w:w="85" w:type="dxa"/>
            </w:tcMar>
          </w:tcPr>
          <w:p w:rsidR="00513C8F" w:rsidRPr="0076399D" w:rsidRDefault="00513C8F" w:rsidP="002D7C9B">
            <w:pPr>
              <w:jc w:val="center"/>
              <w:rPr>
                <w:rFonts w:ascii="Times New Roman" w:hAnsi="Times New Roman" w:cs="Times New Roman"/>
              </w:rPr>
            </w:pPr>
            <w:r w:rsidRPr="0076399D">
              <w:rPr>
                <w:rFonts w:ascii="Times New Roman" w:hAnsi="Times New Roman" w:cs="Times New Roman"/>
              </w:rPr>
              <w:t>dH</w:t>
            </w:r>
            <w:r w:rsidRPr="0076399D">
              <w:rPr>
                <w:rFonts w:ascii="Times New Roman" w:hAnsi="Times New Roman" w:cs="Times New Roman"/>
                <w:vertAlign w:val="subscript"/>
              </w:rPr>
              <w:t>2</w:t>
            </w:r>
            <w:r w:rsidRPr="0076399D">
              <w:rPr>
                <w:rFonts w:ascii="Times New Roman" w:hAnsi="Times New Roman" w:cs="Times New Roman"/>
              </w:rPr>
              <w:t>O</w:t>
            </w:r>
          </w:p>
        </w:tc>
      </w:tr>
      <w:tr w:rsidR="00513C8F" w:rsidRPr="0076399D" w:rsidTr="002D7C9B">
        <w:tc>
          <w:tcPr>
            <w:tcW w:w="2268" w:type="dxa"/>
            <w:tcBorders>
              <w:top w:val="nil"/>
              <w:left w:val="nil"/>
              <w:bottom w:val="nil"/>
              <w:right w:val="nil"/>
            </w:tcBorders>
            <w:tcMar>
              <w:top w:w="57" w:type="dxa"/>
              <w:left w:w="0" w:type="dxa"/>
              <w:bottom w:w="85" w:type="dxa"/>
              <w:right w:w="0" w:type="dxa"/>
            </w:tcMar>
          </w:tcPr>
          <w:p w:rsidR="00513C8F" w:rsidRPr="0076399D" w:rsidRDefault="00513C8F" w:rsidP="002D7C9B">
            <w:pPr>
              <w:tabs>
                <w:tab w:val="left" w:pos="1560"/>
              </w:tabs>
              <w:jc w:val="both"/>
              <w:rPr>
                <w:rFonts w:ascii="Times New Roman" w:hAnsi="Times New Roman" w:cs="Times New Roman"/>
              </w:rPr>
            </w:pPr>
            <w:r w:rsidRPr="0076399D">
              <w:rPr>
                <w:rFonts w:ascii="Times New Roman" w:hAnsi="Times New Roman" w:cs="Times New Roman"/>
              </w:rPr>
              <w:t xml:space="preserve">Neomycin </w:t>
            </w:r>
            <w:r>
              <w:rPr>
                <w:rFonts w:ascii="Times New Roman" w:hAnsi="Times New Roman" w:cs="Times New Roman"/>
              </w:rPr>
              <w:tab/>
            </w:r>
            <w:r w:rsidRPr="0076399D">
              <w:rPr>
                <w:rFonts w:ascii="Times New Roman" w:hAnsi="Times New Roman" w:cs="Times New Roman"/>
              </w:rPr>
              <w:t>(</w:t>
            </w:r>
            <w:r>
              <w:rPr>
                <w:rFonts w:ascii="Times New Roman" w:hAnsi="Times New Roman" w:cs="Times New Roman"/>
              </w:rPr>
              <w:t>N</w:t>
            </w:r>
            <w:r w:rsidRPr="0076399D">
              <w:rPr>
                <w:rFonts w:ascii="Times New Roman" w:hAnsi="Times New Roman" w:cs="Times New Roman"/>
              </w:rPr>
              <w:t>eo)</w:t>
            </w:r>
          </w:p>
        </w:tc>
        <w:tc>
          <w:tcPr>
            <w:tcW w:w="1984" w:type="dxa"/>
            <w:tcBorders>
              <w:top w:val="nil"/>
              <w:left w:val="nil"/>
              <w:bottom w:val="nil"/>
              <w:right w:val="nil"/>
            </w:tcBorders>
            <w:tcMar>
              <w:top w:w="57" w:type="dxa"/>
              <w:bottom w:w="85" w:type="dxa"/>
            </w:tcMar>
          </w:tcPr>
          <w:p w:rsidR="00513C8F" w:rsidRPr="0076399D" w:rsidRDefault="00513C8F" w:rsidP="002D7C9B">
            <w:pPr>
              <w:jc w:val="center"/>
              <w:rPr>
                <w:rFonts w:ascii="Times New Roman" w:hAnsi="Times New Roman" w:cs="Times New Roman"/>
              </w:rPr>
            </w:pPr>
            <w:r w:rsidRPr="0076399D">
              <w:rPr>
                <w:rFonts w:ascii="Times New Roman" w:hAnsi="Times New Roman" w:cs="Times New Roman"/>
              </w:rPr>
              <w:t>50</w:t>
            </w:r>
          </w:p>
        </w:tc>
        <w:tc>
          <w:tcPr>
            <w:tcW w:w="2410" w:type="dxa"/>
            <w:tcBorders>
              <w:top w:val="nil"/>
              <w:left w:val="nil"/>
              <w:bottom w:val="nil"/>
              <w:right w:val="nil"/>
            </w:tcBorders>
            <w:tcMar>
              <w:top w:w="57" w:type="dxa"/>
              <w:bottom w:w="85" w:type="dxa"/>
            </w:tcMar>
          </w:tcPr>
          <w:p w:rsidR="00513C8F" w:rsidRPr="0076399D" w:rsidRDefault="00513C8F" w:rsidP="002D7C9B">
            <w:pPr>
              <w:jc w:val="center"/>
              <w:rPr>
                <w:rFonts w:ascii="Times New Roman" w:hAnsi="Times New Roman" w:cs="Times New Roman"/>
              </w:rPr>
            </w:pPr>
            <w:r w:rsidRPr="0076399D">
              <w:rPr>
                <w:rFonts w:ascii="Times New Roman" w:hAnsi="Times New Roman" w:cs="Times New Roman"/>
              </w:rPr>
              <w:t>50</w:t>
            </w:r>
          </w:p>
        </w:tc>
        <w:tc>
          <w:tcPr>
            <w:tcW w:w="1899" w:type="dxa"/>
            <w:tcBorders>
              <w:top w:val="nil"/>
              <w:left w:val="nil"/>
              <w:bottom w:val="nil"/>
              <w:right w:val="nil"/>
            </w:tcBorders>
            <w:tcMar>
              <w:top w:w="57" w:type="dxa"/>
              <w:bottom w:w="85" w:type="dxa"/>
            </w:tcMar>
          </w:tcPr>
          <w:p w:rsidR="00513C8F" w:rsidRPr="0076399D" w:rsidRDefault="00513C8F" w:rsidP="002D7C9B">
            <w:pPr>
              <w:jc w:val="center"/>
              <w:rPr>
                <w:rFonts w:ascii="Times New Roman" w:hAnsi="Times New Roman" w:cs="Times New Roman"/>
              </w:rPr>
            </w:pPr>
            <w:r w:rsidRPr="0076399D">
              <w:rPr>
                <w:rFonts w:ascii="Times New Roman" w:hAnsi="Times New Roman" w:cs="Times New Roman"/>
              </w:rPr>
              <w:t>dH</w:t>
            </w:r>
            <w:r w:rsidRPr="0076399D">
              <w:rPr>
                <w:rFonts w:ascii="Times New Roman" w:hAnsi="Times New Roman" w:cs="Times New Roman"/>
                <w:vertAlign w:val="subscript"/>
              </w:rPr>
              <w:t>2</w:t>
            </w:r>
            <w:r w:rsidRPr="0076399D">
              <w:rPr>
                <w:rFonts w:ascii="Times New Roman" w:hAnsi="Times New Roman" w:cs="Times New Roman"/>
              </w:rPr>
              <w:t>O</w:t>
            </w:r>
          </w:p>
        </w:tc>
      </w:tr>
      <w:tr w:rsidR="00513C8F" w:rsidRPr="0076399D" w:rsidTr="002D7C9B">
        <w:tc>
          <w:tcPr>
            <w:tcW w:w="2268" w:type="dxa"/>
            <w:tcBorders>
              <w:top w:val="nil"/>
              <w:left w:val="nil"/>
              <w:bottom w:val="nil"/>
              <w:right w:val="nil"/>
            </w:tcBorders>
            <w:tcMar>
              <w:top w:w="57" w:type="dxa"/>
              <w:left w:w="0" w:type="dxa"/>
              <w:bottom w:w="85" w:type="dxa"/>
              <w:right w:w="0" w:type="dxa"/>
            </w:tcMar>
          </w:tcPr>
          <w:p w:rsidR="00513C8F" w:rsidRPr="0076399D" w:rsidRDefault="00513C8F" w:rsidP="002D7C9B">
            <w:pPr>
              <w:tabs>
                <w:tab w:val="left" w:pos="1560"/>
              </w:tabs>
              <w:jc w:val="both"/>
              <w:rPr>
                <w:rFonts w:ascii="Times New Roman" w:hAnsi="Times New Roman" w:cs="Times New Roman"/>
              </w:rPr>
            </w:pPr>
            <w:r w:rsidRPr="0076399D">
              <w:rPr>
                <w:rFonts w:ascii="Times New Roman" w:hAnsi="Times New Roman" w:cs="Times New Roman"/>
              </w:rPr>
              <w:t xml:space="preserve">Minocycline </w:t>
            </w:r>
            <w:r>
              <w:rPr>
                <w:rFonts w:ascii="Times New Roman" w:hAnsi="Times New Roman" w:cs="Times New Roman"/>
              </w:rPr>
              <w:tab/>
            </w:r>
            <w:r w:rsidRPr="0076399D">
              <w:rPr>
                <w:rFonts w:ascii="Times New Roman" w:hAnsi="Times New Roman" w:cs="Times New Roman"/>
              </w:rPr>
              <w:t>(</w:t>
            </w:r>
            <w:r>
              <w:rPr>
                <w:rFonts w:ascii="Times New Roman" w:hAnsi="Times New Roman" w:cs="Times New Roman"/>
              </w:rPr>
              <w:t>T</w:t>
            </w:r>
            <w:r w:rsidRPr="0076399D">
              <w:rPr>
                <w:rFonts w:ascii="Times New Roman" w:hAnsi="Times New Roman" w:cs="Times New Roman"/>
              </w:rPr>
              <w:t>mn)</w:t>
            </w:r>
          </w:p>
        </w:tc>
        <w:tc>
          <w:tcPr>
            <w:tcW w:w="1984" w:type="dxa"/>
            <w:tcBorders>
              <w:top w:val="nil"/>
              <w:left w:val="nil"/>
              <w:bottom w:val="nil"/>
              <w:right w:val="nil"/>
            </w:tcBorders>
            <w:tcMar>
              <w:top w:w="57" w:type="dxa"/>
              <w:bottom w:w="85" w:type="dxa"/>
            </w:tcMar>
          </w:tcPr>
          <w:p w:rsidR="00513C8F" w:rsidRPr="0076399D" w:rsidRDefault="00513C8F" w:rsidP="002D7C9B">
            <w:pPr>
              <w:jc w:val="center"/>
              <w:rPr>
                <w:rFonts w:ascii="Times New Roman" w:hAnsi="Times New Roman" w:cs="Times New Roman"/>
              </w:rPr>
            </w:pPr>
            <w:r w:rsidRPr="0076399D">
              <w:rPr>
                <w:rFonts w:ascii="Times New Roman" w:hAnsi="Times New Roman" w:cs="Times New Roman"/>
              </w:rPr>
              <w:t>2</w:t>
            </w:r>
          </w:p>
        </w:tc>
        <w:tc>
          <w:tcPr>
            <w:tcW w:w="2410" w:type="dxa"/>
            <w:tcBorders>
              <w:top w:val="nil"/>
              <w:left w:val="nil"/>
              <w:bottom w:val="nil"/>
              <w:right w:val="nil"/>
            </w:tcBorders>
            <w:tcMar>
              <w:top w:w="57" w:type="dxa"/>
              <w:bottom w:w="85" w:type="dxa"/>
            </w:tcMar>
          </w:tcPr>
          <w:p w:rsidR="00513C8F" w:rsidRPr="0076399D" w:rsidRDefault="00513C8F" w:rsidP="002D7C9B">
            <w:pPr>
              <w:jc w:val="center"/>
              <w:rPr>
                <w:rFonts w:ascii="Times New Roman" w:hAnsi="Times New Roman" w:cs="Times New Roman"/>
              </w:rPr>
            </w:pPr>
            <w:r w:rsidRPr="0076399D">
              <w:rPr>
                <w:rFonts w:ascii="Times New Roman" w:hAnsi="Times New Roman" w:cs="Times New Roman"/>
              </w:rPr>
              <w:t>2</w:t>
            </w:r>
          </w:p>
        </w:tc>
        <w:tc>
          <w:tcPr>
            <w:tcW w:w="1899" w:type="dxa"/>
            <w:tcBorders>
              <w:top w:val="nil"/>
              <w:left w:val="nil"/>
              <w:bottom w:val="nil"/>
              <w:right w:val="nil"/>
            </w:tcBorders>
            <w:tcMar>
              <w:top w:w="57" w:type="dxa"/>
              <w:bottom w:w="85" w:type="dxa"/>
            </w:tcMar>
          </w:tcPr>
          <w:p w:rsidR="00513C8F" w:rsidRPr="0076399D" w:rsidRDefault="00513C8F" w:rsidP="002D7C9B">
            <w:pPr>
              <w:jc w:val="center"/>
              <w:rPr>
                <w:rFonts w:ascii="Times New Roman" w:hAnsi="Times New Roman" w:cs="Times New Roman"/>
              </w:rPr>
            </w:pPr>
            <w:r w:rsidRPr="0076399D">
              <w:rPr>
                <w:rFonts w:ascii="Times New Roman" w:hAnsi="Times New Roman" w:cs="Times New Roman"/>
              </w:rPr>
              <w:t>dH</w:t>
            </w:r>
            <w:r w:rsidRPr="0076399D">
              <w:rPr>
                <w:rFonts w:ascii="Times New Roman" w:hAnsi="Times New Roman" w:cs="Times New Roman"/>
                <w:vertAlign w:val="subscript"/>
              </w:rPr>
              <w:t>2</w:t>
            </w:r>
            <w:r w:rsidRPr="0076399D">
              <w:rPr>
                <w:rFonts w:ascii="Times New Roman" w:hAnsi="Times New Roman" w:cs="Times New Roman"/>
              </w:rPr>
              <w:t>O</w:t>
            </w:r>
          </w:p>
        </w:tc>
      </w:tr>
      <w:tr w:rsidR="00513C8F" w:rsidRPr="0076399D" w:rsidTr="002D7C9B">
        <w:tc>
          <w:tcPr>
            <w:tcW w:w="2268" w:type="dxa"/>
            <w:tcBorders>
              <w:top w:val="nil"/>
              <w:left w:val="nil"/>
              <w:bottom w:val="nil"/>
              <w:right w:val="nil"/>
            </w:tcBorders>
            <w:tcMar>
              <w:top w:w="57" w:type="dxa"/>
              <w:left w:w="0" w:type="dxa"/>
              <w:bottom w:w="85" w:type="dxa"/>
              <w:right w:w="0" w:type="dxa"/>
            </w:tcMar>
          </w:tcPr>
          <w:p w:rsidR="00513C8F" w:rsidRPr="0076399D" w:rsidRDefault="00513C8F" w:rsidP="002D7C9B">
            <w:pPr>
              <w:tabs>
                <w:tab w:val="left" w:pos="1560"/>
              </w:tabs>
              <w:jc w:val="both"/>
              <w:rPr>
                <w:rFonts w:ascii="Times New Roman" w:hAnsi="Times New Roman" w:cs="Times New Roman"/>
              </w:rPr>
            </w:pPr>
            <w:r w:rsidRPr="0076399D">
              <w:rPr>
                <w:rFonts w:ascii="Times New Roman" w:hAnsi="Times New Roman" w:cs="Times New Roman"/>
              </w:rPr>
              <w:t xml:space="preserve">Tetracycline </w:t>
            </w:r>
            <w:r>
              <w:rPr>
                <w:rFonts w:ascii="Times New Roman" w:hAnsi="Times New Roman" w:cs="Times New Roman"/>
              </w:rPr>
              <w:tab/>
            </w:r>
            <w:r w:rsidRPr="0076399D">
              <w:rPr>
                <w:rFonts w:ascii="Times New Roman" w:hAnsi="Times New Roman" w:cs="Times New Roman"/>
              </w:rPr>
              <w:t>(</w:t>
            </w:r>
            <w:r>
              <w:rPr>
                <w:rFonts w:ascii="Times New Roman" w:hAnsi="Times New Roman" w:cs="Times New Roman"/>
              </w:rPr>
              <w:t>T</w:t>
            </w:r>
            <w:r w:rsidRPr="0076399D">
              <w:rPr>
                <w:rFonts w:ascii="Times New Roman" w:hAnsi="Times New Roman" w:cs="Times New Roman"/>
              </w:rPr>
              <w:t>et)</w:t>
            </w:r>
          </w:p>
        </w:tc>
        <w:tc>
          <w:tcPr>
            <w:tcW w:w="1984" w:type="dxa"/>
            <w:tcBorders>
              <w:top w:val="nil"/>
              <w:left w:val="nil"/>
              <w:bottom w:val="nil"/>
              <w:right w:val="nil"/>
            </w:tcBorders>
            <w:tcMar>
              <w:top w:w="57" w:type="dxa"/>
              <w:bottom w:w="85" w:type="dxa"/>
            </w:tcMar>
          </w:tcPr>
          <w:p w:rsidR="00513C8F" w:rsidRPr="0076399D" w:rsidRDefault="00513C8F" w:rsidP="002D7C9B">
            <w:pPr>
              <w:jc w:val="center"/>
              <w:rPr>
                <w:rFonts w:ascii="Times New Roman" w:hAnsi="Times New Roman" w:cs="Times New Roman"/>
              </w:rPr>
            </w:pPr>
            <w:r w:rsidRPr="0076399D">
              <w:rPr>
                <w:rFonts w:ascii="Times New Roman" w:hAnsi="Times New Roman" w:cs="Times New Roman"/>
              </w:rPr>
              <w:t>5</w:t>
            </w:r>
          </w:p>
        </w:tc>
        <w:tc>
          <w:tcPr>
            <w:tcW w:w="2410" w:type="dxa"/>
            <w:tcBorders>
              <w:top w:val="nil"/>
              <w:left w:val="nil"/>
              <w:bottom w:val="nil"/>
              <w:right w:val="nil"/>
            </w:tcBorders>
            <w:tcMar>
              <w:top w:w="57" w:type="dxa"/>
              <w:bottom w:w="85" w:type="dxa"/>
            </w:tcMar>
          </w:tcPr>
          <w:p w:rsidR="00513C8F" w:rsidRPr="0076399D" w:rsidRDefault="00513C8F" w:rsidP="002D7C9B">
            <w:pPr>
              <w:jc w:val="center"/>
              <w:rPr>
                <w:rFonts w:ascii="Times New Roman" w:hAnsi="Times New Roman" w:cs="Times New Roman"/>
              </w:rPr>
            </w:pPr>
            <w:r w:rsidRPr="0076399D">
              <w:rPr>
                <w:rFonts w:ascii="Times New Roman" w:hAnsi="Times New Roman" w:cs="Times New Roman"/>
              </w:rPr>
              <w:t>5</w:t>
            </w:r>
          </w:p>
        </w:tc>
        <w:tc>
          <w:tcPr>
            <w:tcW w:w="1899" w:type="dxa"/>
            <w:tcBorders>
              <w:top w:val="nil"/>
              <w:left w:val="nil"/>
              <w:bottom w:val="nil"/>
              <w:right w:val="nil"/>
            </w:tcBorders>
            <w:tcMar>
              <w:top w:w="57" w:type="dxa"/>
              <w:bottom w:w="85" w:type="dxa"/>
            </w:tcMar>
          </w:tcPr>
          <w:p w:rsidR="00513C8F" w:rsidRPr="0076399D" w:rsidRDefault="00513C8F" w:rsidP="002D7C9B">
            <w:pPr>
              <w:jc w:val="center"/>
              <w:rPr>
                <w:rFonts w:ascii="Times New Roman" w:hAnsi="Times New Roman" w:cs="Times New Roman"/>
              </w:rPr>
            </w:pPr>
            <w:r w:rsidRPr="0076399D">
              <w:rPr>
                <w:rFonts w:ascii="Times New Roman" w:hAnsi="Times New Roman" w:cs="Times New Roman"/>
              </w:rPr>
              <w:t>95% (v/v) ethanol</w:t>
            </w:r>
          </w:p>
        </w:tc>
      </w:tr>
      <w:tr w:rsidR="00513C8F" w:rsidRPr="0076399D" w:rsidTr="002D7C9B">
        <w:tc>
          <w:tcPr>
            <w:tcW w:w="2268" w:type="dxa"/>
            <w:tcBorders>
              <w:top w:val="nil"/>
              <w:left w:val="nil"/>
              <w:bottom w:val="nil"/>
              <w:right w:val="nil"/>
            </w:tcBorders>
            <w:tcMar>
              <w:top w:w="57" w:type="dxa"/>
              <w:left w:w="0" w:type="dxa"/>
              <w:bottom w:w="85" w:type="dxa"/>
              <w:right w:w="0" w:type="dxa"/>
            </w:tcMar>
          </w:tcPr>
          <w:p w:rsidR="00513C8F" w:rsidRPr="0076399D" w:rsidRDefault="00513C8F" w:rsidP="002D7C9B">
            <w:pPr>
              <w:tabs>
                <w:tab w:val="left" w:pos="1560"/>
              </w:tabs>
              <w:jc w:val="both"/>
              <w:rPr>
                <w:rFonts w:ascii="Times New Roman" w:hAnsi="Times New Roman" w:cs="Times New Roman"/>
              </w:rPr>
            </w:pPr>
            <w:r w:rsidRPr="0076399D">
              <w:rPr>
                <w:rFonts w:ascii="Times New Roman" w:hAnsi="Times New Roman" w:cs="Times New Roman"/>
              </w:rPr>
              <w:t>Chl</w:t>
            </w:r>
            <w:r>
              <w:rPr>
                <w:rFonts w:ascii="Times New Roman" w:hAnsi="Times New Roman" w:cs="Times New Roman"/>
              </w:rPr>
              <w:t>oramphenicol</w:t>
            </w:r>
            <w:r>
              <w:rPr>
                <w:rFonts w:ascii="Times New Roman" w:hAnsi="Times New Roman" w:cs="Times New Roman"/>
              </w:rPr>
              <w:tab/>
            </w:r>
            <w:r w:rsidRPr="0076399D">
              <w:rPr>
                <w:rFonts w:ascii="Times New Roman" w:hAnsi="Times New Roman" w:cs="Times New Roman"/>
              </w:rPr>
              <w:t>(</w:t>
            </w:r>
            <w:r>
              <w:rPr>
                <w:rFonts w:ascii="Times New Roman" w:hAnsi="Times New Roman" w:cs="Times New Roman"/>
              </w:rPr>
              <w:t>Chl</w:t>
            </w:r>
            <w:r w:rsidRPr="0076399D">
              <w:rPr>
                <w:rFonts w:ascii="Times New Roman" w:hAnsi="Times New Roman" w:cs="Times New Roman"/>
              </w:rPr>
              <w:t>)</w:t>
            </w:r>
          </w:p>
        </w:tc>
        <w:tc>
          <w:tcPr>
            <w:tcW w:w="1984" w:type="dxa"/>
            <w:tcBorders>
              <w:top w:val="nil"/>
              <w:left w:val="nil"/>
              <w:bottom w:val="nil"/>
              <w:right w:val="nil"/>
            </w:tcBorders>
            <w:tcMar>
              <w:top w:w="57" w:type="dxa"/>
              <w:bottom w:w="85" w:type="dxa"/>
            </w:tcMar>
          </w:tcPr>
          <w:p w:rsidR="00513C8F" w:rsidRPr="0076399D" w:rsidRDefault="00513C8F" w:rsidP="002D7C9B">
            <w:pPr>
              <w:jc w:val="center"/>
              <w:rPr>
                <w:rFonts w:ascii="Times New Roman" w:hAnsi="Times New Roman" w:cs="Times New Roman"/>
              </w:rPr>
            </w:pPr>
            <w:r w:rsidRPr="0076399D">
              <w:rPr>
                <w:rFonts w:ascii="Times New Roman" w:hAnsi="Times New Roman" w:cs="Times New Roman"/>
              </w:rPr>
              <w:t>30</w:t>
            </w:r>
          </w:p>
        </w:tc>
        <w:tc>
          <w:tcPr>
            <w:tcW w:w="2410" w:type="dxa"/>
            <w:tcBorders>
              <w:top w:val="nil"/>
              <w:left w:val="nil"/>
              <w:bottom w:val="nil"/>
              <w:right w:val="nil"/>
            </w:tcBorders>
            <w:tcMar>
              <w:top w:w="57" w:type="dxa"/>
              <w:bottom w:w="85" w:type="dxa"/>
            </w:tcMar>
          </w:tcPr>
          <w:p w:rsidR="00513C8F" w:rsidRPr="0076399D" w:rsidRDefault="00513C8F" w:rsidP="002D7C9B">
            <w:pPr>
              <w:jc w:val="center"/>
              <w:rPr>
                <w:rFonts w:ascii="Times New Roman" w:hAnsi="Times New Roman" w:cs="Times New Roman"/>
              </w:rPr>
            </w:pPr>
            <w:r w:rsidRPr="0076399D">
              <w:rPr>
                <w:rFonts w:ascii="Times New Roman" w:hAnsi="Times New Roman" w:cs="Times New Roman"/>
              </w:rPr>
              <w:t>30</w:t>
            </w:r>
          </w:p>
        </w:tc>
        <w:tc>
          <w:tcPr>
            <w:tcW w:w="1899" w:type="dxa"/>
            <w:tcBorders>
              <w:top w:val="nil"/>
              <w:left w:val="nil"/>
              <w:bottom w:val="nil"/>
              <w:right w:val="nil"/>
            </w:tcBorders>
            <w:tcMar>
              <w:top w:w="57" w:type="dxa"/>
              <w:bottom w:w="85" w:type="dxa"/>
            </w:tcMar>
          </w:tcPr>
          <w:p w:rsidR="00513C8F" w:rsidRPr="0076399D" w:rsidRDefault="00513C8F" w:rsidP="002D7C9B">
            <w:pPr>
              <w:jc w:val="center"/>
              <w:rPr>
                <w:rFonts w:ascii="Times New Roman" w:hAnsi="Times New Roman" w:cs="Times New Roman"/>
              </w:rPr>
            </w:pPr>
            <w:r w:rsidRPr="0076399D">
              <w:rPr>
                <w:rFonts w:ascii="Times New Roman" w:hAnsi="Times New Roman" w:cs="Times New Roman"/>
              </w:rPr>
              <w:t>95% (v/v) ethanol</w:t>
            </w:r>
          </w:p>
        </w:tc>
      </w:tr>
      <w:tr w:rsidR="00513C8F" w:rsidRPr="0076399D" w:rsidTr="002D7C9B">
        <w:tc>
          <w:tcPr>
            <w:tcW w:w="2268" w:type="dxa"/>
            <w:tcBorders>
              <w:top w:val="nil"/>
              <w:left w:val="nil"/>
              <w:bottom w:val="nil"/>
              <w:right w:val="nil"/>
            </w:tcBorders>
            <w:tcMar>
              <w:top w:w="57" w:type="dxa"/>
              <w:left w:w="0" w:type="dxa"/>
              <w:bottom w:w="85" w:type="dxa"/>
              <w:right w:w="0" w:type="dxa"/>
            </w:tcMar>
          </w:tcPr>
          <w:p w:rsidR="00513C8F" w:rsidRPr="0076399D" w:rsidRDefault="00513C8F" w:rsidP="002D7C9B">
            <w:pPr>
              <w:tabs>
                <w:tab w:val="left" w:pos="1560"/>
              </w:tabs>
              <w:jc w:val="both"/>
              <w:rPr>
                <w:rFonts w:ascii="Times New Roman" w:hAnsi="Times New Roman" w:cs="Times New Roman"/>
              </w:rPr>
            </w:pPr>
            <w:r w:rsidRPr="0076399D">
              <w:rPr>
                <w:rFonts w:ascii="Times New Roman" w:hAnsi="Times New Roman" w:cs="Times New Roman"/>
              </w:rPr>
              <w:t xml:space="preserve">Vancomycin </w:t>
            </w:r>
            <w:r>
              <w:rPr>
                <w:rFonts w:ascii="Times New Roman" w:hAnsi="Times New Roman" w:cs="Times New Roman"/>
              </w:rPr>
              <w:tab/>
            </w:r>
            <w:r w:rsidRPr="0076399D">
              <w:rPr>
                <w:rFonts w:ascii="Times New Roman" w:hAnsi="Times New Roman" w:cs="Times New Roman"/>
              </w:rPr>
              <w:t>(</w:t>
            </w:r>
            <w:r>
              <w:rPr>
                <w:rFonts w:ascii="Times New Roman" w:hAnsi="Times New Roman" w:cs="Times New Roman"/>
              </w:rPr>
              <w:t>V</w:t>
            </w:r>
            <w:r w:rsidRPr="0076399D">
              <w:rPr>
                <w:rFonts w:ascii="Times New Roman" w:hAnsi="Times New Roman" w:cs="Times New Roman"/>
              </w:rPr>
              <w:t>an)</w:t>
            </w:r>
          </w:p>
        </w:tc>
        <w:tc>
          <w:tcPr>
            <w:tcW w:w="1984" w:type="dxa"/>
            <w:tcBorders>
              <w:top w:val="nil"/>
              <w:left w:val="nil"/>
              <w:bottom w:val="nil"/>
              <w:right w:val="nil"/>
            </w:tcBorders>
            <w:tcMar>
              <w:top w:w="57" w:type="dxa"/>
              <w:bottom w:w="85" w:type="dxa"/>
            </w:tcMar>
          </w:tcPr>
          <w:p w:rsidR="00513C8F" w:rsidRPr="0076399D" w:rsidRDefault="00513C8F" w:rsidP="002D7C9B">
            <w:pPr>
              <w:jc w:val="center"/>
              <w:rPr>
                <w:rFonts w:ascii="Times New Roman" w:hAnsi="Times New Roman" w:cs="Times New Roman"/>
              </w:rPr>
            </w:pPr>
            <w:r w:rsidRPr="0076399D">
              <w:rPr>
                <w:rFonts w:ascii="Times New Roman" w:hAnsi="Times New Roman" w:cs="Times New Roman"/>
              </w:rPr>
              <w:t>0.1</w:t>
            </w:r>
          </w:p>
        </w:tc>
        <w:tc>
          <w:tcPr>
            <w:tcW w:w="2410" w:type="dxa"/>
            <w:tcBorders>
              <w:top w:val="nil"/>
              <w:left w:val="nil"/>
              <w:bottom w:val="nil"/>
              <w:right w:val="nil"/>
            </w:tcBorders>
            <w:tcMar>
              <w:top w:w="57" w:type="dxa"/>
              <w:bottom w:w="85" w:type="dxa"/>
            </w:tcMar>
          </w:tcPr>
          <w:p w:rsidR="00513C8F" w:rsidRPr="0076399D" w:rsidRDefault="00513C8F" w:rsidP="002D7C9B">
            <w:pPr>
              <w:jc w:val="center"/>
              <w:rPr>
                <w:rFonts w:ascii="Times New Roman" w:hAnsi="Times New Roman" w:cs="Times New Roman"/>
              </w:rPr>
            </w:pPr>
            <w:r w:rsidRPr="0076399D">
              <w:rPr>
                <w:rFonts w:ascii="Times New Roman" w:hAnsi="Times New Roman" w:cs="Times New Roman"/>
              </w:rPr>
              <w:t>1</w:t>
            </w:r>
          </w:p>
        </w:tc>
        <w:tc>
          <w:tcPr>
            <w:tcW w:w="1899" w:type="dxa"/>
            <w:tcBorders>
              <w:top w:val="nil"/>
              <w:left w:val="nil"/>
              <w:bottom w:val="nil"/>
              <w:right w:val="nil"/>
            </w:tcBorders>
            <w:tcMar>
              <w:top w:w="57" w:type="dxa"/>
              <w:bottom w:w="85" w:type="dxa"/>
            </w:tcMar>
          </w:tcPr>
          <w:p w:rsidR="00513C8F" w:rsidRPr="0076399D" w:rsidRDefault="00513C8F" w:rsidP="002D7C9B">
            <w:pPr>
              <w:jc w:val="center"/>
              <w:rPr>
                <w:rFonts w:ascii="Times New Roman" w:hAnsi="Times New Roman" w:cs="Times New Roman"/>
              </w:rPr>
            </w:pPr>
            <w:r w:rsidRPr="0076399D">
              <w:rPr>
                <w:rFonts w:ascii="Times New Roman" w:hAnsi="Times New Roman" w:cs="Times New Roman"/>
              </w:rPr>
              <w:t>dH</w:t>
            </w:r>
            <w:r w:rsidRPr="0076399D">
              <w:rPr>
                <w:rFonts w:ascii="Times New Roman" w:hAnsi="Times New Roman" w:cs="Times New Roman"/>
                <w:vertAlign w:val="subscript"/>
              </w:rPr>
              <w:t>2</w:t>
            </w:r>
            <w:r w:rsidRPr="0076399D">
              <w:rPr>
                <w:rFonts w:ascii="Times New Roman" w:hAnsi="Times New Roman" w:cs="Times New Roman"/>
              </w:rPr>
              <w:t>O</w:t>
            </w:r>
          </w:p>
        </w:tc>
      </w:tr>
      <w:tr w:rsidR="00513C8F" w:rsidRPr="0076399D" w:rsidTr="002D7C9B">
        <w:tc>
          <w:tcPr>
            <w:tcW w:w="2268" w:type="dxa"/>
            <w:tcBorders>
              <w:top w:val="nil"/>
              <w:left w:val="nil"/>
              <w:right w:val="nil"/>
            </w:tcBorders>
            <w:tcMar>
              <w:top w:w="57" w:type="dxa"/>
              <w:left w:w="0" w:type="dxa"/>
              <w:bottom w:w="85" w:type="dxa"/>
              <w:right w:w="0" w:type="dxa"/>
            </w:tcMar>
          </w:tcPr>
          <w:p w:rsidR="00513C8F" w:rsidRPr="0076399D" w:rsidRDefault="00513C8F" w:rsidP="002D7C9B">
            <w:pPr>
              <w:tabs>
                <w:tab w:val="left" w:pos="1560"/>
              </w:tabs>
              <w:jc w:val="both"/>
              <w:rPr>
                <w:rFonts w:ascii="Times New Roman" w:hAnsi="Times New Roman" w:cs="Times New Roman"/>
              </w:rPr>
            </w:pPr>
            <w:r w:rsidRPr="0076399D">
              <w:rPr>
                <w:rFonts w:ascii="Times New Roman" w:hAnsi="Times New Roman" w:cs="Times New Roman"/>
              </w:rPr>
              <w:t>Spectinomycin</w:t>
            </w:r>
            <w:r>
              <w:rPr>
                <w:rFonts w:ascii="Times New Roman" w:hAnsi="Times New Roman" w:cs="Times New Roman"/>
              </w:rPr>
              <w:tab/>
              <w:t>(Spc)</w:t>
            </w:r>
          </w:p>
        </w:tc>
        <w:tc>
          <w:tcPr>
            <w:tcW w:w="1984" w:type="dxa"/>
            <w:tcBorders>
              <w:top w:val="nil"/>
              <w:left w:val="nil"/>
              <w:right w:val="nil"/>
            </w:tcBorders>
            <w:tcMar>
              <w:top w:w="57" w:type="dxa"/>
              <w:bottom w:w="85" w:type="dxa"/>
            </w:tcMar>
          </w:tcPr>
          <w:p w:rsidR="00513C8F" w:rsidRPr="0076399D" w:rsidRDefault="00513C8F" w:rsidP="002D7C9B">
            <w:pPr>
              <w:jc w:val="center"/>
              <w:rPr>
                <w:rFonts w:ascii="Times New Roman" w:hAnsi="Times New Roman" w:cs="Times New Roman"/>
              </w:rPr>
            </w:pPr>
            <w:r w:rsidRPr="0076399D">
              <w:rPr>
                <w:rFonts w:ascii="Times New Roman" w:hAnsi="Times New Roman" w:cs="Times New Roman"/>
              </w:rPr>
              <w:t>100</w:t>
            </w:r>
          </w:p>
        </w:tc>
        <w:tc>
          <w:tcPr>
            <w:tcW w:w="2410" w:type="dxa"/>
            <w:tcBorders>
              <w:top w:val="nil"/>
              <w:left w:val="nil"/>
              <w:right w:val="nil"/>
            </w:tcBorders>
            <w:tcMar>
              <w:top w:w="57" w:type="dxa"/>
              <w:bottom w:w="85" w:type="dxa"/>
            </w:tcMar>
          </w:tcPr>
          <w:p w:rsidR="00513C8F" w:rsidRPr="0076399D" w:rsidRDefault="00513C8F" w:rsidP="002D7C9B">
            <w:pPr>
              <w:jc w:val="center"/>
              <w:rPr>
                <w:rFonts w:ascii="Times New Roman" w:hAnsi="Times New Roman" w:cs="Times New Roman"/>
              </w:rPr>
            </w:pPr>
            <w:r w:rsidRPr="0076399D">
              <w:rPr>
                <w:rFonts w:ascii="Times New Roman" w:hAnsi="Times New Roman" w:cs="Times New Roman"/>
              </w:rPr>
              <w:t>100</w:t>
            </w:r>
          </w:p>
        </w:tc>
        <w:tc>
          <w:tcPr>
            <w:tcW w:w="1899" w:type="dxa"/>
            <w:tcBorders>
              <w:top w:val="nil"/>
              <w:left w:val="nil"/>
              <w:right w:val="nil"/>
            </w:tcBorders>
            <w:tcMar>
              <w:top w:w="57" w:type="dxa"/>
              <w:bottom w:w="85" w:type="dxa"/>
            </w:tcMar>
          </w:tcPr>
          <w:p w:rsidR="00513C8F" w:rsidRPr="0076399D" w:rsidRDefault="00513C8F" w:rsidP="002D7C9B">
            <w:pPr>
              <w:jc w:val="center"/>
              <w:rPr>
                <w:rFonts w:ascii="Times New Roman" w:hAnsi="Times New Roman" w:cs="Times New Roman"/>
              </w:rPr>
            </w:pPr>
            <w:r w:rsidRPr="0076399D">
              <w:rPr>
                <w:rFonts w:ascii="Times New Roman" w:hAnsi="Times New Roman" w:cs="Times New Roman"/>
              </w:rPr>
              <w:t>dH</w:t>
            </w:r>
            <w:r w:rsidRPr="0076399D">
              <w:rPr>
                <w:rFonts w:ascii="Times New Roman" w:hAnsi="Times New Roman" w:cs="Times New Roman"/>
                <w:vertAlign w:val="subscript"/>
              </w:rPr>
              <w:t>2</w:t>
            </w:r>
            <w:r w:rsidRPr="0076399D">
              <w:rPr>
                <w:rFonts w:ascii="Times New Roman" w:hAnsi="Times New Roman" w:cs="Times New Roman"/>
              </w:rPr>
              <w:t>0</w:t>
            </w:r>
          </w:p>
        </w:tc>
      </w:tr>
    </w:tbl>
    <w:p w:rsidR="00513C8F" w:rsidRPr="002B0ADD" w:rsidRDefault="00513C8F" w:rsidP="00513C8F">
      <w:pPr>
        <w:spacing w:line="360" w:lineRule="auto"/>
        <w:jc w:val="both"/>
        <w:rPr>
          <w:rFonts w:ascii="Times New Roman" w:hAnsi="Times New Roman" w:cs="Times New Roman"/>
          <w:i/>
          <w:sz w:val="24"/>
          <w:szCs w:val="24"/>
        </w:rPr>
      </w:pPr>
      <w:r>
        <w:rPr>
          <w:rFonts w:ascii="Times New Roman" w:hAnsi="Times New Roman" w:cs="Times New Roman"/>
          <w:sz w:val="24"/>
          <w:szCs w:val="24"/>
        </w:rPr>
        <w:t xml:space="preserve">To avoid the emergence of spontaneous </w:t>
      </w:r>
      <w:r>
        <w:rPr>
          <w:rFonts w:ascii="Times New Roman" w:hAnsi="Times New Roman" w:cs="Times New Roman"/>
          <w:i/>
          <w:sz w:val="24"/>
          <w:szCs w:val="24"/>
        </w:rPr>
        <w:t xml:space="preserve">S. aureus </w:t>
      </w:r>
      <w:r>
        <w:rPr>
          <w:rFonts w:ascii="Times New Roman" w:hAnsi="Times New Roman" w:cs="Times New Roman"/>
          <w:sz w:val="24"/>
          <w:szCs w:val="24"/>
        </w:rPr>
        <w:t>mutants, Ery</w:t>
      </w:r>
      <w:r w:rsidRPr="002B0ADD">
        <w:rPr>
          <w:rFonts w:ascii="Times New Roman" w:hAnsi="Times New Roman" w:cs="Times New Roman"/>
          <w:sz w:val="24"/>
          <w:szCs w:val="24"/>
          <w:vertAlign w:val="superscript"/>
        </w:rPr>
        <w:t>R</w:t>
      </w:r>
      <w:r>
        <w:rPr>
          <w:rFonts w:ascii="Times New Roman" w:hAnsi="Times New Roman" w:cs="Times New Roman"/>
          <w:sz w:val="24"/>
          <w:szCs w:val="24"/>
        </w:rPr>
        <w:t xml:space="preserve"> strains were selected on Ery and Lin.  Kan</w:t>
      </w:r>
      <w:r w:rsidRPr="002B0ADD">
        <w:rPr>
          <w:rFonts w:ascii="Times New Roman" w:hAnsi="Times New Roman" w:cs="Times New Roman"/>
          <w:sz w:val="24"/>
          <w:szCs w:val="24"/>
          <w:vertAlign w:val="superscript"/>
        </w:rPr>
        <w:t>R</w:t>
      </w:r>
      <w:r>
        <w:rPr>
          <w:rFonts w:ascii="Times New Roman" w:hAnsi="Times New Roman" w:cs="Times New Roman"/>
          <w:sz w:val="24"/>
          <w:szCs w:val="24"/>
        </w:rPr>
        <w:t xml:space="preserve"> strains were selected on Kan and Neo at the stated concentrations.</w:t>
      </w:r>
    </w:p>
    <w:p w:rsidR="00513C8F" w:rsidRDefault="00513C8F" w:rsidP="00513C8F">
      <w:pPr>
        <w:rPr>
          <w:rFonts w:ascii="Times New Roman" w:hAnsi="Times New Roman" w:cs="Times New Roman"/>
          <w:b/>
          <w:sz w:val="24"/>
          <w:szCs w:val="24"/>
        </w:rPr>
      </w:pPr>
      <w:r>
        <w:rPr>
          <w:rFonts w:ascii="Times New Roman" w:hAnsi="Times New Roman" w:cs="Times New Roman"/>
          <w:b/>
          <w:sz w:val="24"/>
          <w:szCs w:val="24"/>
        </w:rPr>
        <w:br w:type="page"/>
      </w:r>
    </w:p>
    <w:p w:rsidR="00513C8F" w:rsidRPr="0076399D" w:rsidRDefault="00513C8F" w:rsidP="00513C8F">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lastRenderedPageBreak/>
        <w:t>2.3.</w:t>
      </w:r>
      <w:r>
        <w:rPr>
          <w:rFonts w:ascii="Times New Roman" w:hAnsi="Times New Roman" w:cs="Times New Roman"/>
          <w:sz w:val="28"/>
          <w:szCs w:val="28"/>
        </w:rPr>
        <w:t>5</w:t>
      </w:r>
      <w:r w:rsidRPr="0076399D">
        <w:rPr>
          <w:rFonts w:ascii="Times New Roman" w:hAnsi="Times New Roman" w:cs="Times New Roman"/>
          <w:sz w:val="28"/>
          <w:szCs w:val="28"/>
        </w:rPr>
        <w:tab/>
      </w:r>
      <w:r w:rsidRPr="0076399D">
        <w:rPr>
          <w:rFonts w:ascii="Times New Roman" w:hAnsi="Times New Roman" w:cs="Times New Roman"/>
          <w:sz w:val="28"/>
          <w:szCs w:val="28"/>
        </w:rPr>
        <w:tab/>
        <w:t>Phage buffer</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MgSO</w:t>
      </w:r>
      <w:r w:rsidRPr="0076399D">
        <w:rPr>
          <w:rFonts w:ascii="Times New Roman" w:hAnsi="Times New Roman" w:cs="Times New Roman"/>
          <w:sz w:val="24"/>
          <w:szCs w:val="24"/>
          <w:vertAlign w:val="subscript"/>
        </w:rPr>
        <w:t>4</w:t>
      </w:r>
      <w:r w:rsidRPr="0076399D">
        <w:rPr>
          <w:rFonts w:ascii="Times New Roman" w:hAnsi="Times New Roman" w:cs="Times New Roman"/>
          <w:sz w:val="24"/>
          <w:szCs w:val="24"/>
          <w:vertAlign w:val="subscript"/>
        </w:rPr>
        <w:tab/>
      </w:r>
      <w:r w:rsidRPr="0076399D">
        <w:rPr>
          <w:rFonts w:ascii="Times New Roman" w:hAnsi="Times New Roman" w:cs="Times New Roman"/>
          <w:sz w:val="24"/>
          <w:szCs w:val="24"/>
          <w:vertAlign w:val="subscript"/>
        </w:rPr>
        <w:tab/>
      </w:r>
      <w:r w:rsidRPr="0076399D">
        <w:rPr>
          <w:rFonts w:ascii="Times New Roman" w:hAnsi="Times New Roman" w:cs="Times New Roman"/>
          <w:sz w:val="24"/>
          <w:szCs w:val="24"/>
          <w:vertAlign w:val="subscript"/>
        </w:rPr>
        <w:tab/>
      </w:r>
      <w:r>
        <w:rPr>
          <w:rFonts w:ascii="Times New Roman" w:hAnsi="Times New Roman" w:cs="Times New Roman"/>
          <w:sz w:val="24"/>
          <w:szCs w:val="24"/>
          <w:vertAlign w:val="subscript"/>
        </w:rPr>
        <w:tab/>
      </w:r>
      <w:r>
        <w:rPr>
          <w:rFonts w:ascii="Times New Roman" w:hAnsi="Times New Roman" w:cs="Times New Roman"/>
          <w:sz w:val="24"/>
          <w:szCs w:val="24"/>
          <w:vertAlign w:val="subscript"/>
        </w:rPr>
        <w:tab/>
      </w:r>
      <w:r>
        <w:rPr>
          <w:rFonts w:ascii="Times New Roman" w:hAnsi="Times New Roman" w:cs="Times New Roman"/>
          <w:sz w:val="24"/>
          <w:szCs w:val="24"/>
          <w:vertAlign w:val="subscript"/>
        </w:rPr>
        <w:tab/>
      </w:r>
      <w:r>
        <w:rPr>
          <w:rFonts w:ascii="Times New Roman" w:hAnsi="Times New Roman" w:cs="Times New Roman"/>
          <w:sz w:val="24"/>
          <w:szCs w:val="24"/>
          <w:vertAlign w:val="subscript"/>
        </w:rPr>
        <w:tab/>
      </w:r>
      <w:r w:rsidRPr="0076399D">
        <w:rPr>
          <w:rFonts w:ascii="Times New Roman" w:hAnsi="Times New Roman" w:cs="Times New Roman"/>
          <w:sz w:val="24"/>
          <w:szCs w:val="24"/>
          <w:vertAlign w:val="subscript"/>
        </w:rPr>
        <w:tab/>
      </w:r>
      <w:r w:rsidRPr="0076399D">
        <w:rPr>
          <w:rFonts w:ascii="Times New Roman" w:hAnsi="Times New Roman" w:cs="Times New Roman"/>
          <w:sz w:val="24"/>
          <w:szCs w:val="24"/>
        </w:rPr>
        <w:t>1 mM</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CaCl</w:t>
      </w:r>
      <w:r w:rsidRPr="0076399D">
        <w:rPr>
          <w:rFonts w:ascii="Times New Roman" w:hAnsi="Times New Roman" w:cs="Times New Roman"/>
          <w:sz w:val="24"/>
          <w:szCs w:val="24"/>
          <w:vertAlign w:val="subscript"/>
        </w:rPr>
        <w:t>2</w:t>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4 mM</w:t>
      </w:r>
    </w:p>
    <w:p w:rsidR="00513C8F" w:rsidRPr="0076399D" w:rsidRDefault="00513C8F" w:rsidP="00513C8F">
      <w:pPr>
        <w:spacing w:after="120" w:line="480" w:lineRule="auto"/>
        <w:jc w:val="both"/>
        <w:rPr>
          <w:rFonts w:ascii="Times New Roman" w:hAnsi="Times New Roman" w:cs="Times New Roman"/>
          <w:sz w:val="24"/>
          <w:szCs w:val="24"/>
          <w:lang w:val="de-DE"/>
        </w:rPr>
      </w:pPr>
      <w:r w:rsidRPr="0076399D">
        <w:rPr>
          <w:rFonts w:ascii="Times New Roman" w:hAnsi="Times New Roman" w:cs="Times New Roman"/>
          <w:sz w:val="24"/>
          <w:szCs w:val="24"/>
          <w:lang w:val="de-DE"/>
        </w:rPr>
        <w:t xml:space="preserve">Tris-HCl </w:t>
      </w:r>
      <w:r>
        <w:rPr>
          <w:rFonts w:ascii="Times New Roman" w:hAnsi="Times New Roman" w:cs="Times New Roman"/>
          <w:sz w:val="24"/>
          <w:szCs w:val="24"/>
          <w:lang w:val="de-DE"/>
        </w:rPr>
        <w:t>(</w:t>
      </w:r>
      <w:r w:rsidRPr="0076399D">
        <w:rPr>
          <w:rFonts w:ascii="Times New Roman" w:hAnsi="Times New Roman" w:cs="Times New Roman"/>
          <w:sz w:val="24"/>
          <w:szCs w:val="24"/>
          <w:lang w:val="de-DE"/>
        </w:rPr>
        <w:t>pH 7.8</w:t>
      </w:r>
      <w:r>
        <w:rPr>
          <w:rFonts w:ascii="Times New Roman" w:hAnsi="Times New Roman" w:cs="Times New Roman"/>
          <w:sz w:val="24"/>
          <w:szCs w:val="24"/>
          <w:lang w:val="de-DE"/>
        </w:rPr>
        <w:t>)</w:t>
      </w:r>
      <w:r w:rsidRPr="0076399D">
        <w:rPr>
          <w:rFonts w:ascii="Times New Roman" w:hAnsi="Times New Roman" w:cs="Times New Roman"/>
          <w:sz w:val="24"/>
          <w:szCs w:val="24"/>
          <w:lang w:val="de-DE"/>
        </w:rPr>
        <w:tab/>
      </w:r>
      <w:r w:rsidRPr="0076399D">
        <w:rPr>
          <w:rFonts w:ascii="Times New Roman" w:hAnsi="Times New Roman" w:cs="Times New Roman"/>
          <w:sz w:val="24"/>
          <w:szCs w:val="24"/>
          <w:lang w:val="de-DE"/>
        </w:rPr>
        <w:tab/>
      </w:r>
      <w:r>
        <w:rPr>
          <w:rFonts w:ascii="Times New Roman" w:hAnsi="Times New Roman" w:cs="Times New Roman"/>
          <w:sz w:val="24"/>
          <w:szCs w:val="24"/>
          <w:lang w:val="de-DE"/>
        </w:rPr>
        <w:tab/>
      </w:r>
      <w:r>
        <w:rPr>
          <w:rFonts w:ascii="Times New Roman" w:hAnsi="Times New Roman" w:cs="Times New Roman"/>
          <w:sz w:val="24"/>
          <w:szCs w:val="24"/>
          <w:lang w:val="de-DE"/>
        </w:rPr>
        <w:tab/>
      </w:r>
      <w:r>
        <w:rPr>
          <w:rFonts w:ascii="Times New Roman" w:hAnsi="Times New Roman" w:cs="Times New Roman"/>
          <w:sz w:val="24"/>
          <w:szCs w:val="24"/>
          <w:lang w:val="de-DE"/>
        </w:rPr>
        <w:tab/>
      </w:r>
      <w:r>
        <w:rPr>
          <w:rFonts w:ascii="Times New Roman" w:hAnsi="Times New Roman" w:cs="Times New Roman"/>
          <w:sz w:val="24"/>
          <w:szCs w:val="24"/>
          <w:lang w:val="de-DE"/>
        </w:rPr>
        <w:tab/>
      </w:r>
      <w:r w:rsidRPr="0076399D">
        <w:rPr>
          <w:rFonts w:ascii="Times New Roman" w:hAnsi="Times New Roman" w:cs="Times New Roman"/>
          <w:sz w:val="24"/>
          <w:szCs w:val="24"/>
          <w:lang w:val="de-DE"/>
        </w:rPr>
        <w:tab/>
        <w:t>50 mM</w:t>
      </w:r>
    </w:p>
    <w:p w:rsidR="00513C8F" w:rsidRPr="0076399D" w:rsidRDefault="00513C8F" w:rsidP="00513C8F">
      <w:pPr>
        <w:spacing w:after="120" w:line="480" w:lineRule="auto"/>
        <w:jc w:val="both"/>
        <w:rPr>
          <w:rFonts w:ascii="Times New Roman" w:hAnsi="Times New Roman" w:cs="Times New Roman"/>
          <w:sz w:val="24"/>
          <w:szCs w:val="24"/>
          <w:lang w:val="de-DE"/>
        </w:rPr>
      </w:pPr>
      <w:r w:rsidRPr="0076399D">
        <w:rPr>
          <w:rFonts w:ascii="Times New Roman" w:hAnsi="Times New Roman" w:cs="Times New Roman"/>
          <w:sz w:val="24"/>
          <w:szCs w:val="24"/>
          <w:lang w:val="de-DE"/>
        </w:rPr>
        <w:t>NaCl</w:t>
      </w:r>
      <w:r w:rsidRPr="0076399D">
        <w:rPr>
          <w:rFonts w:ascii="Times New Roman" w:hAnsi="Times New Roman" w:cs="Times New Roman"/>
          <w:sz w:val="24"/>
          <w:szCs w:val="24"/>
          <w:lang w:val="de-DE"/>
        </w:rPr>
        <w:tab/>
      </w:r>
      <w:r w:rsidRPr="0076399D">
        <w:rPr>
          <w:rFonts w:ascii="Times New Roman" w:hAnsi="Times New Roman" w:cs="Times New Roman"/>
          <w:sz w:val="24"/>
          <w:szCs w:val="24"/>
          <w:lang w:val="de-DE"/>
        </w:rPr>
        <w:tab/>
      </w:r>
      <w:r w:rsidRPr="0076399D">
        <w:rPr>
          <w:rFonts w:ascii="Times New Roman" w:hAnsi="Times New Roman" w:cs="Times New Roman"/>
          <w:sz w:val="24"/>
          <w:szCs w:val="24"/>
          <w:lang w:val="de-DE"/>
        </w:rPr>
        <w:tab/>
      </w:r>
      <w:r w:rsidRPr="0076399D">
        <w:rPr>
          <w:rFonts w:ascii="Times New Roman" w:hAnsi="Times New Roman" w:cs="Times New Roman"/>
          <w:sz w:val="24"/>
          <w:szCs w:val="24"/>
          <w:lang w:val="de-DE"/>
        </w:rPr>
        <w:tab/>
      </w:r>
      <w:r>
        <w:rPr>
          <w:rFonts w:ascii="Times New Roman" w:hAnsi="Times New Roman" w:cs="Times New Roman"/>
          <w:sz w:val="24"/>
          <w:szCs w:val="24"/>
          <w:lang w:val="de-DE"/>
        </w:rPr>
        <w:tab/>
      </w:r>
      <w:r>
        <w:rPr>
          <w:rFonts w:ascii="Times New Roman" w:hAnsi="Times New Roman" w:cs="Times New Roman"/>
          <w:sz w:val="24"/>
          <w:szCs w:val="24"/>
          <w:lang w:val="de-DE"/>
        </w:rPr>
        <w:tab/>
      </w:r>
      <w:r>
        <w:rPr>
          <w:rFonts w:ascii="Times New Roman" w:hAnsi="Times New Roman" w:cs="Times New Roman"/>
          <w:sz w:val="24"/>
          <w:szCs w:val="24"/>
          <w:lang w:val="de-DE"/>
        </w:rPr>
        <w:tab/>
      </w:r>
      <w:r>
        <w:rPr>
          <w:rFonts w:ascii="Times New Roman" w:hAnsi="Times New Roman" w:cs="Times New Roman"/>
          <w:sz w:val="24"/>
          <w:szCs w:val="24"/>
          <w:lang w:val="de-DE"/>
        </w:rPr>
        <w:tab/>
      </w:r>
      <w:r w:rsidRPr="0076399D">
        <w:rPr>
          <w:rFonts w:ascii="Times New Roman" w:hAnsi="Times New Roman" w:cs="Times New Roman"/>
          <w:sz w:val="24"/>
          <w:szCs w:val="24"/>
          <w:lang w:val="de-DE"/>
        </w:rPr>
        <w:tab/>
        <w:t>0.6% (w/v)</w:t>
      </w:r>
    </w:p>
    <w:p w:rsidR="00513C8F"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Gelatin</w:t>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0.1% (w/v)</w:t>
      </w:r>
    </w:p>
    <w:p w:rsidR="00513C8F" w:rsidRPr="0076399D" w:rsidRDefault="00513C8F" w:rsidP="00513C8F">
      <w:pPr>
        <w:spacing w:after="120" w:line="480" w:lineRule="auto"/>
        <w:jc w:val="both"/>
        <w:rPr>
          <w:rFonts w:ascii="Times New Roman" w:hAnsi="Times New Roman" w:cs="Times New Roman"/>
          <w:sz w:val="24"/>
          <w:szCs w:val="24"/>
        </w:rPr>
      </w:pPr>
    </w:p>
    <w:p w:rsidR="00513C8F" w:rsidRPr="0076399D" w:rsidRDefault="00513C8F" w:rsidP="00513C8F">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t>2.3.</w:t>
      </w:r>
      <w:r>
        <w:rPr>
          <w:rFonts w:ascii="Times New Roman" w:hAnsi="Times New Roman" w:cs="Times New Roman"/>
          <w:sz w:val="28"/>
          <w:szCs w:val="28"/>
        </w:rPr>
        <w:t>6</w:t>
      </w:r>
      <w:r w:rsidRPr="0076399D">
        <w:rPr>
          <w:rFonts w:ascii="Times New Roman" w:hAnsi="Times New Roman" w:cs="Times New Roman"/>
          <w:sz w:val="28"/>
          <w:szCs w:val="28"/>
        </w:rPr>
        <w:tab/>
      </w:r>
      <w:r w:rsidRPr="0076399D">
        <w:rPr>
          <w:rFonts w:ascii="Times New Roman" w:hAnsi="Times New Roman" w:cs="Times New Roman"/>
          <w:sz w:val="28"/>
          <w:szCs w:val="28"/>
        </w:rPr>
        <w:tab/>
        <w:t>SDS-PAGE solutions</w:t>
      </w:r>
    </w:p>
    <w:p w:rsidR="00513C8F" w:rsidRPr="0076399D" w:rsidRDefault="00513C8F" w:rsidP="00513C8F">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t>2.3.</w:t>
      </w:r>
      <w:r>
        <w:rPr>
          <w:rFonts w:ascii="Times New Roman" w:hAnsi="Times New Roman" w:cs="Times New Roman"/>
          <w:sz w:val="28"/>
          <w:szCs w:val="28"/>
        </w:rPr>
        <w:t>6</w:t>
      </w:r>
      <w:r w:rsidRPr="0076399D">
        <w:rPr>
          <w:rFonts w:ascii="Times New Roman" w:hAnsi="Times New Roman" w:cs="Times New Roman"/>
          <w:sz w:val="28"/>
          <w:szCs w:val="28"/>
        </w:rPr>
        <w:t>.1</w:t>
      </w:r>
      <w:r w:rsidRPr="0076399D">
        <w:rPr>
          <w:rFonts w:ascii="Times New Roman" w:hAnsi="Times New Roman" w:cs="Times New Roman"/>
          <w:sz w:val="28"/>
          <w:szCs w:val="28"/>
        </w:rPr>
        <w:tab/>
        <w:t>SDS-PAGE reservoir buffer (</w:t>
      </w:r>
      <w:proofErr w:type="gramStart"/>
      <w:r w:rsidRPr="0076399D">
        <w:rPr>
          <w:rFonts w:ascii="Times New Roman" w:hAnsi="Times New Roman" w:cs="Times New Roman"/>
          <w:sz w:val="28"/>
          <w:szCs w:val="28"/>
        </w:rPr>
        <w:t>10x</w:t>
      </w:r>
      <w:proofErr w:type="gramEnd"/>
      <w:r w:rsidRPr="0076399D">
        <w:rPr>
          <w:rFonts w:ascii="Times New Roman" w:hAnsi="Times New Roman" w:cs="Times New Roman"/>
          <w:sz w:val="28"/>
          <w:szCs w:val="28"/>
        </w:rPr>
        <w:t>)</w:t>
      </w:r>
    </w:p>
    <w:p w:rsidR="00513C8F" w:rsidRPr="0076399D" w:rsidRDefault="00513C8F" w:rsidP="00513C8F">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Glycine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 xml:space="preserve">144 </w:t>
      </w:r>
      <w:r>
        <w:rPr>
          <w:rFonts w:ascii="Times New Roman" w:hAnsi="Times New Roman" w:cs="Times New Roman"/>
          <w:sz w:val="24"/>
          <w:szCs w:val="24"/>
        </w:rPr>
        <w:t>g l</w:t>
      </w:r>
      <w:r w:rsidRPr="00A77109">
        <w:rPr>
          <w:rFonts w:ascii="Times New Roman" w:hAnsi="Times New Roman" w:cs="Times New Roman"/>
          <w:sz w:val="24"/>
          <w:szCs w:val="24"/>
          <w:vertAlign w:val="superscript"/>
        </w:rPr>
        <w:t>-1</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Tris base</w:t>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t xml:space="preserve">30.3 </w:t>
      </w:r>
      <w:r>
        <w:rPr>
          <w:rFonts w:ascii="Times New Roman" w:hAnsi="Times New Roman" w:cs="Times New Roman"/>
          <w:sz w:val="24"/>
          <w:szCs w:val="24"/>
        </w:rPr>
        <w:t>g l</w:t>
      </w:r>
      <w:r w:rsidRPr="00A77109">
        <w:rPr>
          <w:rFonts w:ascii="Times New Roman" w:hAnsi="Times New Roman" w:cs="Times New Roman"/>
          <w:sz w:val="24"/>
          <w:szCs w:val="24"/>
          <w:vertAlign w:val="superscript"/>
        </w:rPr>
        <w:t>-1</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SDS</w:t>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 xml:space="preserve">10 </w:t>
      </w:r>
      <w:r>
        <w:rPr>
          <w:rFonts w:ascii="Times New Roman" w:hAnsi="Times New Roman" w:cs="Times New Roman"/>
          <w:sz w:val="24"/>
          <w:szCs w:val="24"/>
        </w:rPr>
        <w:t>g l</w:t>
      </w:r>
      <w:r w:rsidRPr="00A77109">
        <w:rPr>
          <w:rFonts w:ascii="Times New Roman" w:hAnsi="Times New Roman" w:cs="Times New Roman"/>
          <w:sz w:val="24"/>
          <w:szCs w:val="24"/>
          <w:vertAlign w:val="superscript"/>
        </w:rPr>
        <w:t>-1</w:t>
      </w:r>
    </w:p>
    <w:p w:rsidR="00513C8F" w:rsidRPr="0076399D" w:rsidRDefault="00513C8F" w:rsidP="00513C8F">
      <w:pPr>
        <w:spacing w:after="120" w:line="480" w:lineRule="auto"/>
        <w:jc w:val="both"/>
        <w:rPr>
          <w:rFonts w:ascii="Times New Roman" w:hAnsi="Times New Roman" w:cs="Times New Roman"/>
          <w:sz w:val="24"/>
          <w:szCs w:val="24"/>
        </w:rPr>
      </w:pPr>
      <w:proofErr w:type="gramStart"/>
      <w:r w:rsidRPr="0076399D">
        <w:rPr>
          <w:rFonts w:ascii="Times New Roman" w:hAnsi="Times New Roman" w:cs="Times New Roman"/>
          <w:sz w:val="24"/>
          <w:szCs w:val="24"/>
        </w:rPr>
        <w:t>10x SDS-PAGE reservoir buffer</w:t>
      </w:r>
      <w:proofErr w:type="gramEnd"/>
      <w:r w:rsidRPr="0076399D">
        <w:rPr>
          <w:rFonts w:ascii="Times New Roman" w:hAnsi="Times New Roman" w:cs="Times New Roman"/>
          <w:sz w:val="24"/>
          <w:szCs w:val="24"/>
        </w:rPr>
        <w:t xml:space="preserve"> was diluted 1:10 for working concentration buffer.</w:t>
      </w:r>
    </w:p>
    <w:p w:rsidR="00513C8F" w:rsidRPr="0076399D" w:rsidRDefault="00513C8F" w:rsidP="00513C8F">
      <w:pPr>
        <w:spacing w:after="120" w:line="480" w:lineRule="auto"/>
        <w:jc w:val="both"/>
        <w:rPr>
          <w:rFonts w:ascii="Times New Roman" w:hAnsi="Times New Roman" w:cs="Times New Roman"/>
          <w:sz w:val="24"/>
          <w:szCs w:val="24"/>
        </w:rPr>
      </w:pP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8"/>
          <w:szCs w:val="28"/>
        </w:rPr>
        <w:t>2.3.</w:t>
      </w:r>
      <w:r>
        <w:rPr>
          <w:rFonts w:ascii="Times New Roman" w:hAnsi="Times New Roman" w:cs="Times New Roman"/>
          <w:sz w:val="28"/>
          <w:szCs w:val="28"/>
        </w:rPr>
        <w:t>6</w:t>
      </w:r>
      <w:r w:rsidRPr="0076399D">
        <w:rPr>
          <w:rFonts w:ascii="Times New Roman" w:hAnsi="Times New Roman" w:cs="Times New Roman"/>
          <w:sz w:val="28"/>
          <w:szCs w:val="28"/>
        </w:rPr>
        <w:t>.2</w:t>
      </w:r>
      <w:r w:rsidRPr="0076399D">
        <w:rPr>
          <w:rFonts w:ascii="Times New Roman" w:hAnsi="Times New Roman" w:cs="Times New Roman"/>
          <w:sz w:val="28"/>
          <w:szCs w:val="28"/>
        </w:rPr>
        <w:tab/>
        <w:t>Laemmli SDS-PAGE sample buffer (2x)</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Tris-HCl pH 6.8</w:t>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0.62</w:t>
      </w:r>
      <w:r>
        <w:rPr>
          <w:rFonts w:ascii="Times New Roman" w:hAnsi="Times New Roman" w:cs="Times New Roman"/>
          <w:sz w:val="24"/>
          <w:szCs w:val="24"/>
        </w:rPr>
        <w:t xml:space="preserve"> </w:t>
      </w:r>
      <w:r w:rsidRPr="0076399D">
        <w:rPr>
          <w:rFonts w:ascii="Times New Roman" w:hAnsi="Times New Roman" w:cs="Times New Roman"/>
          <w:sz w:val="24"/>
          <w:szCs w:val="24"/>
        </w:rPr>
        <w:t>M</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SDS</w:t>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10% (w/v)</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Glycerol</w:t>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20% (v/v)</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Bromophenol blue</w:t>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0.1% (w/v)</w:t>
      </w:r>
    </w:p>
    <w:p w:rsidR="00513C8F" w:rsidRPr="0076399D" w:rsidRDefault="00513C8F" w:rsidP="00513C8F">
      <w:pPr>
        <w:spacing w:after="12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β</w:t>
      </w:r>
      <w:r w:rsidRPr="0076399D">
        <w:rPr>
          <w:rFonts w:ascii="Times New Roman" w:hAnsi="Times New Roman" w:cs="Times New Roman"/>
          <w:sz w:val="24"/>
          <w:szCs w:val="24"/>
        </w:rPr>
        <w:t>-mercaptoethanol</w:t>
      </w:r>
      <w:proofErr w:type="gramEnd"/>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10% (v/v)</w:t>
      </w:r>
    </w:p>
    <w:p w:rsidR="00513C8F" w:rsidRPr="0076399D" w:rsidRDefault="00513C8F" w:rsidP="00513C8F">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lastRenderedPageBreak/>
        <w:t>2.3.</w:t>
      </w:r>
      <w:r>
        <w:rPr>
          <w:rFonts w:ascii="Times New Roman" w:hAnsi="Times New Roman" w:cs="Times New Roman"/>
          <w:sz w:val="28"/>
          <w:szCs w:val="28"/>
        </w:rPr>
        <w:t>6</w:t>
      </w:r>
      <w:r w:rsidRPr="0076399D">
        <w:rPr>
          <w:rFonts w:ascii="Times New Roman" w:hAnsi="Times New Roman" w:cs="Times New Roman"/>
          <w:sz w:val="28"/>
          <w:szCs w:val="28"/>
        </w:rPr>
        <w:t>.3</w:t>
      </w:r>
      <w:r w:rsidRPr="0076399D">
        <w:rPr>
          <w:rFonts w:ascii="Times New Roman" w:hAnsi="Times New Roman" w:cs="Times New Roman"/>
          <w:sz w:val="28"/>
          <w:szCs w:val="28"/>
        </w:rPr>
        <w:tab/>
        <w:t>Coomassie blue staining solution</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Coomassie blue</w:t>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0.1% (w/v)</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Ethanol</w:t>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40% (v/v)</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Glacial acetic acid</w:t>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10% (v/v)</w:t>
      </w:r>
    </w:p>
    <w:p w:rsidR="00513C8F" w:rsidRPr="0076399D" w:rsidRDefault="00513C8F" w:rsidP="00513C8F">
      <w:pPr>
        <w:spacing w:after="120" w:line="480" w:lineRule="auto"/>
        <w:jc w:val="both"/>
        <w:rPr>
          <w:rFonts w:ascii="Times New Roman" w:hAnsi="Times New Roman" w:cs="Times New Roman"/>
          <w:sz w:val="24"/>
          <w:szCs w:val="24"/>
        </w:rPr>
      </w:pPr>
    </w:p>
    <w:p w:rsidR="00513C8F" w:rsidRPr="0076399D" w:rsidRDefault="00513C8F" w:rsidP="00513C8F">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t>2.3.</w:t>
      </w:r>
      <w:r>
        <w:rPr>
          <w:rFonts w:ascii="Times New Roman" w:hAnsi="Times New Roman" w:cs="Times New Roman"/>
          <w:sz w:val="28"/>
          <w:szCs w:val="28"/>
        </w:rPr>
        <w:t>6</w:t>
      </w:r>
      <w:r w:rsidRPr="0076399D">
        <w:rPr>
          <w:rFonts w:ascii="Times New Roman" w:hAnsi="Times New Roman" w:cs="Times New Roman"/>
          <w:sz w:val="28"/>
          <w:szCs w:val="28"/>
        </w:rPr>
        <w:t>.4</w:t>
      </w:r>
      <w:r w:rsidRPr="0076399D">
        <w:rPr>
          <w:rFonts w:ascii="Times New Roman" w:hAnsi="Times New Roman" w:cs="Times New Roman"/>
          <w:sz w:val="28"/>
          <w:szCs w:val="28"/>
        </w:rPr>
        <w:tab/>
        <w:t>Destain solution</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Ethanol</w:t>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40% (v/v)</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Glacial acetic acid</w:t>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10% (v/v)</w:t>
      </w:r>
    </w:p>
    <w:p w:rsidR="00513C8F" w:rsidRPr="0076399D" w:rsidRDefault="00513C8F" w:rsidP="00513C8F">
      <w:pPr>
        <w:spacing w:after="120" w:line="480" w:lineRule="auto"/>
        <w:jc w:val="both"/>
        <w:rPr>
          <w:rFonts w:ascii="Times New Roman" w:hAnsi="Times New Roman" w:cs="Times New Roman"/>
          <w:sz w:val="24"/>
          <w:szCs w:val="24"/>
        </w:rPr>
      </w:pPr>
    </w:p>
    <w:p w:rsidR="00513C8F" w:rsidRPr="0076399D" w:rsidRDefault="00513C8F" w:rsidP="00513C8F">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t>2.3.</w:t>
      </w:r>
      <w:r>
        <w:rPr>
          <w:rFonts w:ascii="Times New Roman" w:hAnsi="Times New Roman" w:cs="Times New Roman"/>
          <w:sz w:val="28"/>
          <w:szCs w:val="28"/>
        </w:rPr>
        <w:t>6</w:t>
      </w:r>
      <w:r w:rsidRPr="0076399D">
        <w:rPr>
          <w:rFonts w:ascii="Times New Roman" w:hAnsi="Times New Roman" w:cs="Times New Roman"/>
          <w:sz w:val="28"/>
          <w:szCs w:val="28"/>
        </w:rPr>
        <w:t>.5</w:t>
      </w:r>
      <w:r w:rsidRPr="0076399D">
        <w:rPr>
          <w:rFonts w:ascii="Times New Roman" w:hAnsi="Times New Roman" w:cs="Times New Roman"/>
          <w:sz w:val="28"/>
          <w:szCs w:val="28"/>
        </w:rPr>
        <w:tab/>
        <w:t>Renaturing solution</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Triton X-100</w:t>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0.1% (v/v)</w:t>
      </w:r>
    </w:p>
    <w:p w:rsidR="00513C8F" w:rsidRPr="0076399D" w:rsidRDefault="00513C8F" w:rsidP="00513C8F">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Mg</w:t>
      </w:r>
      <w:r w:rsidRPr="0076399D">
        <w:rPr>
          <w:rFonts w:ascii="Times New Roman" w:hAnsi="Times New Roman" w:cs="Times New Roman"/>
          <w:sz w:val="24"/>
          <w:szCs w:val="24"/>
        </w:rPr>
        <w:t>Cl</w:t>
      </w:r>
      <w:r w:rsidRPr="0076399D">
        <w:rPr>
          <w:rFonts w:ascii="Times New Roman" w:hAnsi="Times New Roman" w:cs="Times New Roman"/>
          <w:sz w:val="24"/>
          <w:szCs w:val="24"/>
          <w:vertAlign w:val="subscript"/>
        </w:rPr>
        <w:t>2</w:t>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10 mM</w:t>
      </w:r>
    </w:p>
    <w:p w:rsidR="00513C8F"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 xml:space="preserve">Tri-HCl pH </w:t>
      </w:r>
      <w:r>
        <w:rPr>
          <w:rFonts w:ascii="Times New Roman" w:hAnsi="Times New Roman" w:cs="Times New Roman"/>
          <w:sz w:val="24"/>
          <w:szCs w:val="24"/>
        </w:rPr>
        <w:t>7.5</w:t>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25 mM</w:t>
      </w:r>
    </w:p>
    <w:p w:rsidR="00513C8F" w:rsidRPr="0076399D" w:rsidRDefault="00513C8F" w:rsidP="00513C8F">
      <w:pPr>
        <w:spacing w:after="120" w:line="480" w:lineRule="auto"/>
        <w:jc w:val="both"/>
        <w:rPr>
          <w:rFonts w:ascii="Times New Roman" w:hAnsi="Times New Roman" w:cs="Times New Roman"/>
          <w:sz w:val="24"/>
          <w:szCs w:val="24"/>
        </w:rPr>
      </w:pPr>
    </w:p>
    <w:p w:rsidR="00513C8F" w:rsidRPr="0076399D" w:rsidRDefault="00513C8F" w:rsidP="00513C8F">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t>2.3.</w:t>
      </w:r>
      <w:r>
        <w:rPr>
          <w:rFonts w:ascii="Times New Roman" w:hAnsi="Times New Roman" w:cs="Times New Roman"/>
          <w:sz w:val="28"/>
          <w:szCs w:val="28"/>
        </w:rPr>
        <w:t>6</w:t>
      </w:r>
      <w:r w:rsidRPr="0076399D">
        <w:rPr>
          <w:rFonts w:ascii="Times New Roman" w:hAnsi="Times New Roman" w:cs="Times New Roman"/>
          <w:sz w:val="28"/>
          <w:szCs w:val="28"/>
        </w:rPr>
        <w:t>.</w:t>
      </w:r>
      <w:r>
        <w:rPr>
          <w:rFonts w:ascii="Times New Roman" w:hAnsi="Times New Roman" w:cs="Times New Roman"/>
          <w:sz w:val="28"/>
          <w:szCs w:val="28"/>
        </w:rPr>
        <w:t>6</w:t>
      </w:r>
      <w:r w:rsidRPr="0076399D">
        <w:rPr>
          <w:rFonts w:ascii="Times New Roman" w:hAnsi="Times New Roman" w:cs="Times New Roman"/>
          <w:sz w:val="28"/>
          <w:szCs w:val="28"/>
        </w:rPr>
        <w:tab/>
        <w:t xml:space="preserve">10x SDS-PAGE </w:t>
      </w:r>
      <w:r>
        <w:rPr>
          <w:rFonts w:ascii="Times New Roman" w:hAnsi="Times New Roman" w:cs="Times New Roman"/>
          <w:sz w:val="28"/>
          <w:szCs w:val="28"/>
        </w:rPr>
        <w:t>reservoir</w:t>
      </w:r>
      <w:r w:rsidRPr="0076399D">
        <w:rPr>
          <w:rFonts w:ascii="Times New Roman" w:hAnsi="Times New Roman" w:cs="Times New Roman"/>
          <w:sz w:val="28"/>
          <w:szCs w:val="28"/>
        </w:rPr>
        <w:t xml:space="preserve"> buffer</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Glycine</w:t>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t xml:space="preserve">144 </w:t>
      </w:r>
      <w:r>
        <w:rPr>
          <w:rFonts w:ascii="Times New Roman" w:hAnsi="Times New Roman" w:cs="Times New Roman"/>
          <w:sz w:val="24"/>
          <w:szCs w:val="24"/>
        </w:rPr>
        <w:t>g l</w:t>
      </w:r>
      <w:r w:rsidRPr="00A77109">
        <w:rPr>
          <w:rFonts w:ascii="Times New Roman" w:hAnsi="Times New Roman" w:cs="Times New Roman"/>
          <w:sz w:val="24"/>
          <w:szCs w:val="24"/>
          <w:vertAlign w:val="superscript"/>
        </w:rPr>
        <w:t>-1</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Tris base</w:t>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 xml:space="preserve">30.3 </w:t>
      </w:r>
      <w:r>
        <w:rPr>
          <w:rFonts w:ascii="Times New Roman" w:hAnsi="Times New Roman" w:cs="Times New Roman"/>
          <w:sz w:val="24"/>
          <w:szCs w:val="24"/>
        </w:rPr>
        <w:t>g l</w:t>
      </w:r>
      <w:r w:rsidRPr="00A77109">
        <w:rPr>
          <w:rFonts w:ascii="Times New Roman" w:hAnsi="Times New Roman" w:cs="Times New Roman"/>
          <w:sz w:val="24"/>
          <w:szCs w:val="24"/>
          <w:vertAlign w:val="superscript"/>
        </w:rPr>
        <w:t>-1</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SDS</w:t>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 xml:space="preserve">10 </w:t>
      </w:r>
      <w:r>
        <w:rPr>
          <w:rFonts w:ascii="Times New Roman" w:hAnsi="Times New Roman" w:cs="Times New Roman"/>
          <w:sz w:val="24"/>
          <w:szCs w:val="24"/>
        </w:rPr>
        <w:t>g l</w:t>
      </w:r>
      <w:r w:rsidRPr="00A77109">
        <w:rPr>
          <w:rFonts w:ascii="Times New Roman" w:hAnsi="Times New Roman" w:cs="Times New Roman"/>
          <w:sz w:val="24"/>
          <w:szCs w:val="24"/>
          <w:vertAlign w:val="superscript"/>
        </w:rPr>
        <w:t>-1</w:t>
      </w:r>
    </w:p>
    <w:p w:rsidR="00513C8F" w:rsidRDefault="00513C8F" w:rsidP="00513C8F">
      <w:pPr>
        <w:spacing w:after="120" w:line="480" w:lineRule="auto"/>
        <w:jc w:val="both"/>
        <w:rPr>
          <w:rFonts w:ascii="Times New Roman" w:eastAsia="Times New Roman" w:hAnsi="Times New Roman" w:cs="Times New Roman"/>
          <w:b/>
          <w:sz w:val="24"/>
          <w:szCs w:val="24"/>
        </w:rPr>
      </w:pPr>
      <w:r w:rsidRPr="0076399D">
        <w:rPr>
          <w:rFonts w:ascii="Times New Roman" w:hAnsi="Times New Roman" w:cs="Times New Roman"/>
          <w:sz w:val="24"/>
          <w:szCs w:val="24"/>
        </w:rPr>
        <w:t>A working solution of SDS-PAGE electrophoresis buffer was prepared by diluting 10x SDS-PAGE electrophoresis buffer 1:10 with dH</w:t>
      </w:r>
      <w:r w:rsidRPr="0076399D">
        <w:rPr>
          <w:rFonts w:ascii="Times New Roman" w:hAnsi="Times New Roman" w:cs="Times New Roman"/>
          <w:sz w:val="24"/>
          <w:szCs w:val="24"/>
          <w:vertAlign w:val="subscript"/>
        </w:rPr>
        <w:t>2</w:t>
      </w:r>
      <w:r w:rsidRPr="0076399D">
        <w:rPr>
          <w:rFonts w:ascii="Times New Roman" w:hAnsi="Times New Roman" w:cs="Times New Roman"/>
          <w:sz w:val="24"/>
          <w:szCs w:val="24"/>
        </w:rPr>
        <w:t>O</w:t>
      </w:r>
      <w:r w:rsidRPr="0076399D">
        <w:rPr>
          <w:rFonts w:ascii="Times New Roman" w:eastAsia="Times New Roman" w:hAnsi="Times New Roman" w:cs="Times New Roman"/>
          <w:b/>
          <w:sz w:val="24"/>
          <w:szCs w:val="24"/>
        </w:rPr>
        <w:t>.</w:t>
      </w:r>
    </w:p>
    <w:p w:rsidR="00513C8F" w:rsidRDefault="00513C8F" w:rsidP="00513C8F">
      <w:pPr>
        <w:spacing w:after="120" w:line="480" w:lineRule="auto"/>
        <w:jc w:val="both"/>
        <w:rPr>
          <w:rFonts w:ascii="Times New Roman" w:eastAsia="Times New Roman" w:hAnsi="Times New Roman" w:cs="Times New Roman"/>
          <w:sz w:val="28"/>
          <w:szCs w:val="28"/>
        </w:rPr>
      </w:pPr>
      <w:r w:rsidRPr="00C17FBC">
        <w:rPr>
          <w:rFonts w:ascii="Times New Roman" w:eastAsia="Times New Roman" w:hAnsi="Times New Roman" w:cs="Times New Roman"/>
          <w:sz w:val="28"/>
          <w:szCs w:val="28"/>
        </w:rPr>
        <w:lastRenderedPageBreak/>
        <w:t>2.3.6.7</w:t>
      </w:r>
      <w:r>
        <w:rPr>
          <w:rFonts w:ascii="Times New Roman" w:eastAsia="Times New Roman" w:hAnsi="Times New Roman" w:cs="Times New Roman"/>
          <w:sz w:val="28"/>
          <w:szCs w:val="28"/>
        </w:rPr>
        <w:tab/>
        <w:t>Renaturing gel stain (10×)</w:t>
      </w:r>
    </w:p>
    <w:p w:rsidR="00513C8F" w:rsidRPr="00C17FBC" w:rsidRDefault="00513C8F" w:rsidP="00513C8F">
      <w:pPr>
        <w:spacing w:line="360" w:lineRule="auto"/>
        <w:jc w:val="both"/>
        <w:rPr>
          <w:rFonts w:ascii="Times New Roman" w:eastAsia="Calibri" w:hAnsi="Times New Roman" w:cs="Times New Roman"/>
          <w:sz w:val="24"/>
          <w:szCs w:val="24"/>
        </w:rPr>
      </w:pPr>
      <w:r w:rsidRPr="00C17FBC">
        <w:rPr>
          <w:rFonts w:ascii="Times New Roman" w:eastAsia="Calibri" w:hAnsi="Times New Roman" w:cs="Times New Roman"/>
          <w:sz w:val="24"/>
          <w:szCs w:val="24"/>
        </w:rPr>
        <w:t>Methylene blue</w:t>
      </w:r>
      <w:r w:rsidRPr="00C17FBC">
        <w:rPr>
          <w:rFonts w:ascii="Times New Roman" w:eastAsia="Calibri" w:hAnsi="Times New Roman" w:cs="Times New Roman"/>
          <w:sz w:val="24"/>
          <w:szCs w:val="24"/>
        </w:rPr>
        <w:tab/>
      </w:r>
      <w:r w:rsidRPr="00C17FBC">
        <w:rPr>
          <w:rFonts w:ascii="Times New Roman" w:eastAsia="Calibri" w:hAnsi="Times New Roman" w:cs="Times New Roman"/>
          <w:sz w:val="24"/>
          <w:szCs w:val="24"/>
        </w:rPr>
        <w:tab/>
      </w:r>
      <w:r w:rsidRPr="00C17FBC">
        <w:rPr>
          <w:rFonts w:ascii="Times New Roman" w:eastAsia="Calibri" w:hAnsi="Times New Roman" w:cs="Times New Roman"/>
          <w:sz w:val="24"/>
          <w:szCs w:val="24"/>
        </w:rPr>
        <w:tab/>
      </w:r>
      <w:r w:rsidRPr="00C17FBC">
        <w:rPr>
          <w:rFonts w:ascii="Times New Roman" w:eastAsia="Calibri"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C17FBC">
        <w:rPr>
          <w:rFonts w:ascii="Times New Roman" w:eastAsia="Calibri" w:hAnsi="Times New Roman" w:cs="Times New Roman"/>
          <w:sz w:val="24"/>
          <w:szCs w:val="24"/>
        </w:rPr>
        <w:tab/>
        <w:t>2 g</w:t>
      </w:r>
    </w:p>
    <w:p w:rsidR="00513C8F" w:rsidRPr="00C17FBC" w:rsidRDefault="00513C8F" w:rsidP="00513C8F">
      <w:pPr>
        <w:spacing w:line="360" w:lineRule="auto"/>
        <w:jc w:val="both"/>
        <w:rPr>
          <w:rFonts w:ascii="Times New Roman" w:eastAsia="Calibri" w:hAnsi="Times New Roman" w:cs="Times New Roman"/>
          <w:sz w:val="24"/>
          <w:szCs w:val="24"/>
        </w:rPr>
      </w:pPr>
      <w:r w:rsidRPr="00C17FBC">
        <w:rPr>
          <w:rFonts w:ascii="Times New Roman" w:eastAsia="Calibri" w:hAnsi="Times New Roman" w:cs="Times New Roman"/>
          <w:sz w:val="24"/>
          <w:szCs w:val="24"/>
        </w:rPr>
        <w:t>KOH (2</w:t>
      </w:r>
      <w:r>
        <w:rPr>
          <w:rFonts w:ascii="Times New Roman" w:eastAsia="Calibri" w:hAnsi="Times New Roman" w:cs="Times New Roman"/>
          <w:sz w:val="24"/>
          <w:szCs w:val="24"/>
        </w:rPr>
        <w:t>.0</w:t>
      </w:r>
      <w:r w:rsidRPr="00C17FBC">
        <w:rPr>
          <w:rFonts w:ascii="Times New Roman" w:eastAsia="Calibri" w:hAnsi="Times New Roman" w:cs="Times New Roman"/>
          <w:sz w:val="24"/>
          <w:szCs w:val="24"/>
        </w:rPr>
        <w:t xml:space="preserve"> M)</w:t>
      </w:r>
      <w:r w:rsidRPr="00C17FBC">
        <w:rPr>
          <w:rFonts w:ascii="Times New Roman" w:eastAsia="Calibri" w:hAnsi="Times New Roman" w:cs="Times New Roman"/>
          <w:sz w:val="24"/>
          <w:szCs w:val="24"/>
        </w:rPr>
        <w:tab/>
      </w:r>
      <w:r w:rsidRPr="00C17FBC">
        <w:rPr>
          <w:rFonts w:ascii="Times New Roman" w:eastAsia="Calibri" w:hAnsi="Times New Roman" w:cs="Times New Roman"/>
          <w:sz w:val="24"/>
          <w:szCs w:val="24"/>
        </w:rPr>
        <w:tab/>
      </w:r>
      <w:r w:rsidRPr="00C17FBC">
        <w:rPr>
          <w:rFonts w:ascii="Times New Roman" w:eastAsia="Calibri" w:hAnsi="Times New Roman" w:cs="Times New Roman"/>
          <w:sz w:val="24"/>
          <w:szCs w:val="24"/>
        </w:rPr>
        <w:tab/>
      </w:r>
      <w:r w:rsidRPr="00C17FBC">
        <w:rPr>
          <w:rFonts w:ascii="Times New Roman" w:eastAsia="Calibri" w:hAnsi="Times New Roman" w:cs="Times New Roman"/>
          <w:sz w:val="24"/>
          <w:szCs w:val="24"/>
        </w:rPr>
        <w:tab/>
      </w:r>
      <w:r w:rsidRPr="00C17FBC">
        <w:rPr>
          <w:rFonts w:ascii="Times New Roman" w:eastAsia="Calibri"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C17FBC">
        <w:rPr>
          <w:rFonts w:ascii="Times New Roman" w:eastAsia="Calibri" w:hAnsi="Times New Roman" w:cs="Times New Roman"/>
          <w:sz w:val="24"/>
          <w:szCs w:val="24"/>
        </w:rPr>
        <w:tab/>
        <w:t>1.79 ml</w:t>
      </w:r>
    </w:p>
    <w:p w:rsidR="00513C8F" w:rsidRPr="00C17FBC" w:rsidRDefault="00513C8F" w:rsidP="00513C8F">
      <w:pPr>
        <w:spacing w:line="360" w:lineRule="auto"/>
        <w:jc w:val="both"/>
        <w:rPr>
          <w:rFonts w:ascii="Times New Roman" w:hAnsi="Times New Roman" w:cs="Times New Roman"/>
        </w:rPr>
      </w:pPr>
      <w:proofErr w:type="gramStart"/>
      <w:r w:rsidRPr="00C17FBC">
        <w:rPr>
          <w:rFonts w:ascii="Times New Roman" w:eastAsia="Calibri" w:hAnsi="Times New Roman" w:cs="Times New Roman"/>
          <w:sz w:val="24"/>
          <w:szCs w:val="24"/>
        </w:rPr>
        <w:t>dH</w:t>
      </w:r>
      <w:r w:rsidRPr="00C17FBC">
        <w:rPr>
          <w:rFonts w:ascii="Times New Roman" w:eastAsia="Calibri" w:hAnsi="Times New Roman" w:cs="Times New Roman"/>
          <w:position w:val="-6"/>
          <w:sz w:val="24"/>
          <w:szCs w:val="24"/>
        </w:rPr>
        <w:t>2</w:t>
      </w:r>
      <w:r>
        <w:rPr>
          <w:rFonts w:ascii="Times New Roman" w:hAnsi="Times New Roman" w:cs="Times New Roman"/>
          <w:sz w:val="24"/>
          <w:szCs w:val="24"/>
        </w:rPr>
        <w:t>O</w:t>
      </w:r>
      <w:proofErr w:type="gramEnd"/>
      <w:r>
        <w:rPr>
          <w:rFonts w:ascii="Times New Roman" w:hAnsi="Times New Roman" w:cs="Times New Roman"/>
          <w:sz w:val="24"/>
          <w:szCs w:val="24"/>
        </w:rPr>
        <w:t xml:space="preserve"> to total volume</w:t>
      </w:r>
      <w:r w:rsidRPr="00C17FBC">
        <w:rPr>
          <w:rFonts w:ascii="Times New Roman" w:eastAsia="Calibri" w:hAnsi="Times New Roman" w:cs="Times New Roman"/>
          <w:sz w:val="24"/>
          <w:szCs w:val="24"/>
        </w:rPr>
        <w:t xml:space="preserve"> 200 ml</w:t>
      </w:r>
    </w:p>
    <w:p w:rsidR="00513C8F" w:rsidRDefault="00513C8F" w:rsidP="00513C8F">
      <w:pPr>
        <w:spacing w:after="120" w:line="480" w:lineRule="auto"/>
        <w:jc w:val="both"/>
        <w:rPr>
          <w:rFonts w:ascii="Times New Roman" w:eastAsia="Times New Roman" w:hAnsi="Times New Roman" w:cs="Times New Roman"/>
          <w:b/>
          <w:sz w:val="24"/>
          <w:szCs w:val="24"/>
        </w:rPr>
      </w:pPr>
    </w:p>
    <w:p w:rsidR="00513C8F" w:rsidRDefault="00513C8F" w:rsidP="00513C8F">
      <w:pPr>
        <w:spacing w:after="120" w:line="480" w:lineRule="auto"/>
        <w:jc w:val="both"/>
        <w:rPr>
          <w:rFonts w:ascii="Times New Roman" w:hAnsi="Times New Roman" w:cs="Times New Roman"/>
          <w:sz w:val="28"/>
          <w:szCs w:val="28"/>
        </w:rPr>
      </w:pPr>
      <w:r w:rsidRPr="00640BBC">
        <w:rPr>
          <w:rFonts w:ascii="Times New Roman" w:hAnsi="Times New Roman" w:cs="Times New Roman"/>
          <w:sz w:val="28"/>
          <w:szCs w:val="28"/>
        </w:rPr>
        <w:t>2.3.7</w:t>
      </w:r>
      <w:r>
        <w:rPr>
          <w:rFonts w:ascii="Times New Roman" w:hAnsi="Times New Roman" w:cs="Times New Roman"/>
          <w:sz w:val="28"/>
          <w:szCs w:val="28"/>
        </w:rPr>
        <w:tab/>
      </w:r>
      <w:r>
        <w:rPr>
          <w:rFonts w:ascii="Times New Roman" w:hAnsi="Times New Roman" w:cs="Times New Roman"/>
          <w:sz w:val="28"/>
          <w:szCs w:val="28"/>
        </w:rPr>
        <w:tab/>
        <w:t>HiTrap protein purification buffers</w:t>
      </w:r>
    </w:p>
    <w:p w:rsidR="00513C8F" w:rsidRPr="00513C8F" w:rsidRDefault="00513C8F" w:rsidP="00513C8F">
      <w:pPr>
        <w:spacing w:after="120" w:line="480" w:lineRule="auto"/>
        <w:jc w:val="both"/>
        <w:rPr>
          <w:rFonts w:ascii="Times New Roman" w:hAnsi="Times New Roman" w:cs="Times New Roman"/>
          <w:sz w:val="28"/>
          <w:szCs w:val="28"/>
        </w:rPr>
      </w:pPr>
      <w:r w:rsidRPr="00513C8F">
        <w:rPr>
          <w:rFonts w:ascii="Times New Roman" w:hAnsi="Times New Roman" w:cs="Times New Roman"/>
          <w:sz w:val="28"/>
          <w:szCs w:val="28"/>
        </w:rPr>
        <w:t>2.3.7.1</w:t>
      </w:r>
      <w:r w:rsidRPr="00513C8F">
        <w:rPr>
          <w:rFonts w:ascii="Times New Roman" w:hAnsi="Times New Roman" w:cs="Times New Roman"/>
          <w:sz w:val="28"/>
          <w:szCs w:val="28"/>
        </w:rPr>
        <w:tab/>
        <w:t>0.1 M Sodium phosphate buffer (pH 7.2)</w:t>
      </w:r>
    </w:p>
    <w:p w:rsidR="00513C8F" w:rsidRPr="004954B7" w:rsidRDefault="00513C8F" w:rsidP="00513C8F">
      <w:pPr>
        <w:spacing w:after="120" w:line="480" w:lineRule="auto"/>
        <w:rPr>
          <w:rFonts w:ascii="Times New Roman" w:hAnsi="Times New Roman" w:cs="Times New Roman"/>
          <w:sz w:val="24"/>
          <w:szCs w:val="24"/>
          <w:lang w:val="de-DE"/>
        </w:rPr>
      </w:pPr>
      <w:r w:rsidRPr="004954B7">
        <w:rPr>
          <w:rFonts w:ascii="Times New Roman" w:hAnsi="Times New Roman" w:cs="Times New Roman"/>
          <w:sz w:val="24"/>
          <w:szCs w:val="24"/>
          <w:lang w:val="de-DE"/>
        </w:rPr>
        <w:t>Na</w:t>
      </w:r>
      <w:r w:rsidRPr="004954B7">
        <w:rPr>
          <w:rFonts w:ascii="Times New Roman" w:hAnsi="Times New Roman" w:cs="Times New Roman"/>
          <w:sz w:val="24"/>
          <w:szCs w:val="24"/>
          <w:vertAlign w:val="subscript"/>
          <w:lang w:val="de-DE"/>
        </w:rPr>
        <w:t>2</w:t>
      </w:r>
      <w:r w:rsidRPr="004954B7">
        <w:rPr>
          <w:rFonts w:ascii="Times New Roman" w:hAnsi="Times New Roman" w:cs="Times New Roman"/>
          <w:sz w:val="24"/>
          <w:szCs w:val="24"/>
          <w:lang w:val="de-DE"/>
        </w:rPr>
        <w:t>HPO</w:t>
      </w:r>
      <w:r w:rsidRPr="004954B7">
        <w:rPr>
          <w:rFonts w:ascii="Times New Roman" w:hAnsi="Times New Roman" w:cs="Times New Roman"/>
          <w:sz w:val="24"/>
          <w:szCs w:val="24"/>
          <w:vertAlign w:val="subscript"/>
          <w:lang w:val="de-DE"/>
        </w:rPr>
        <w:t>4</w:t>
      </w:r>
      <w:r w:rsidRPr="004954B7">
        <w:rPr>
          <w:rFonts w:ascii="Times New Roman" w:hAnsi="Times New Roman" w:cs="Times New Roman"/>
          <w:sz w:val="24"/>
          <w:szCs w:val="24"/>
          <w:lang w:val="de-DE"/>
        </w:rPr>
        <w:t xml:space="preserve"> (1</w:t>
      </w:r>
      <w:r>
        <w:rPr>
          <w:rFonts w:ascii="Times New Roman" w:hAnsi="Times New Roman" w:cs="Times New Roman"/>
          <w:sz w:val="24"/>
          <w:szCs w:val="24"/>
          <w:lang w:val="de-DE"/>
        </w:rPr>
        <w:t xml:space="preserve">.0 </w:t>
      </w:r>
      <w:r w:rsidRPr="004954B7">
        <w:rPr>
          <w:rFonts w:ascii="Times New Roman" w:hAnsi="Times New Roman" w:cs="Times New Roman"/>
          <w:sz w:val="24"/>
          <w:szCs w:val="24"/>
          <w:lang w:val="de-DE"/>
        </w:rPr>
        <w:t>M )</w:t>
      </w:r>
      <w:r>
        <w:rPr>
          <w:rFonts w:ascii="Times New Roman" w:hAnsi="Times New Roman" w:cs="Times New Roman"/>
          <w:sz w:val="24"/>
          <w:szCs w:val="24"/>
          <w:lang w:val="de-DE"/>
        </w:rPr>
        <w:tab/>
      </w:r>
      <w:r w:rsidRPr="004954B7">
        <w:rPr>
          <w:rFonts w:ascii="Times New Roman" w:hAnsi="Times New Roman" w:cs="Times New Roman"/>
          <w:sz w:val="24"/>
          <w:szCs w:val="24"/>
          <w:lang w:val="de-DE"/>
        </w:rPr>
        <w:tab/>
      </w:r>
      <w:r w:rsidRPr="004954B7">
        <w:rPr>
          <w:rFonts w:ascii="Times New Roman" w:hAnsi="Times New Roman" w:cs="Times New Roman"/>
          <w:sz w:val="24"/>
          <w:szCs w:val="24"/>
          <w:lang w:val="de-DE"/>
        </w:rPr>
        <w:tab/>
      </w:r>
      <w:r w:rsidRPr="004954B7">
        <w:rPr>
          <w:rFonts w:ascii="Times New Roman" w:hAnsi="Times New Roman" w:cs="Times New Roman"/>
          <w:sz w:val="24"/>
          <w:szCs w:val="24"/>
          <w:lang w:val="de-DE"/>
        </w:rPr>
        <w:tab/>
      </w:r>
      <w:r w:rsidRPr="004954B7">
        <w:rPr>
          <w:rFonts w:ascii="Times New Roman" w:hAnsi="Times New Roman" w:cs="Times New Roman"/>
          <w:sz w:val="24"/>
          <w:szCs w:val="24"/>
          <w:lang w:val="de-DE"/>
        </w:rPr>
        <w:tab/>
      </w:r>
      <w:r w:rsidRPr="004954B7">
        <w:rPr>
          <w:rFonts w:ascii="Times New Roman" w:hAnsi="Times New Roman" w:cs="Times New Roman"/>
          <w:sz w:val="24"/>
          <w:szCs w:val="24"/>
          <w:lang w:val="de-DE"/>
        </w:rPr>
        <w:tab/>
      </w:r>
      <w:r w:rsidRPr="004954B7">
        <w:rPr>
          <w:rFonts w:ascii="Times New Roman" w:hAnsi="Times New Roman" w:cs="Times New Roman"/>
          <w:sz w:val="24"/>
          <w:szCs w:val="24"/>
          <w:lang w:val="de-DE"/>
        </w:rPr>
        <w:tab/>
        <w:t>68.4 ml</w:t>
      </w:r>
    </w:p>
    <w:p w:rsidR="00513C8F" w:rsidRPr="00513C8F" w:rsidRDefault="00513C8F" w:rsidP="00513C8F">
      <w:pPr>
        <w:spacing w:after="120" w:line="480" w:lineRule="auto"/>
        <w:rPr>
          <w:rFonts w:ascii="Times New Roman" w:hAnsi="Times New Roman" w:cs="Times New Roman"/>
          <w:sz w:val="24"/>
          <w:szCs w:val="24"/>
          <w:lang w:val="de-DE"/>
        </w:rPr>
      </w:pPr>
      <w:r w:rsidRPr="00513C8F">
        <w:rPr>
          <w:rFonts w:ascii="Times New Roman" w:hAnsi="Times New Roman" w:cs="Times New Roman"/>
          <w:sz w:val="24"/>
          <w:szCs w:val="24"/>
          <w:lang w:val="de-DE"/>
        </w:rPr>
        <w:t>NaH</w:t>
      </w:r>
      <w:r w:rsidRPr="00513C8F">
        <w:rPr>
          <w:rFonts w:ascii="Times New Roman" w:hAnsi="Times New Roman" w:cs="Times New Roman"/>
          <w:sz w:val="24"/>
          <w:szCs w:val="24"/>
          <w:vertAlign w:val="subscript"/>
          <w:lang w:val="de-DE"/>
        </w:rPr>
        <w:t>2</w:t>
      </w:r>
      <w:r w:rsidRPr="00513C8F">
        <w:rPr>
          <w:rFonts w:ascii="Times New Roman" w:hAnsi="Times New Roman" w:cs="Times New Roman"/>
          <w:sz w:val="24"/>
          <w:szCs w:val="24"/>
          <w:lang w:val="de-DE"/>
        </w:rPr>
        <w:t>PO</w:t>
      </w:r>
      <w:r w:rsidRPr="00513C8F">
        <w:rPr>
          <w:rFonts w:ascii="Times New Roman" w:hAnsi="Times New Roman" w:cs="Times New Roman"/>
          <w:sz w:val="24"/>
          <w:szCs w:val="24"/>
          <w:vertAlign w:val="subscript"/>
          <w:lang w:val="de-DE"/>
        </w:rPr>
        <w:t>4</w:t>
      </w:r>
      <w:r w:rsidRPr="00513C8F">
        <w:rPr>
          <w:rFonts w:ascii="Times New Roman" w:hAnsi="Times New Roman" w:cs="Times New Roman"/>
          <w:sz w:val="24"/>
          <w:szCs w:val="24"/>
          <w:lang w:val="de-DE"/>
        </w:rPr>
        <w:t xml:space="preserve"> (1.0 M)</w:t>
      </w:r>
      <w:r w:rsidRPr="00513C8F">
        <w:rPr>
          <w:rFonts w:ascii="Times New Roman" w:hAnsi="Times New Roman" w:cs="Times New Roman"/>
          <w:sz w:val="24"/>
          <w:szCs w:val="24"/>
          <w:lang w:val="de-DE"/>
        </w:rPr>
        <w:tab/>
      </w:r>
      <w:r w:rsidRPr="00513C8F">
        <w:rPr>
          <w:rFonts w:ascii="Times New Roman" w:hAnsi="Times New Roman" w:cs="Times New Roman"/>
          <w:sz w:val="24"/>
          <w:szCs w:val="24"/>
          <w:lang w:val="de-DE"/>
        </w:rPr>
        <w:tab/>
      </w:r>
      <w:r w:rsidRPr="00513C8F">
        <w:rPr>
          <w:rFonts w:ascii="Times New Roman" w:hAnsi="Times New Roman" w:cs="Times New Roman"/>
          <w:sz w:val="24"/>
          <w:szCs w:val="24"/>
          <w:lang w:val="de-DE"/>
        </w:rPr>
        <w:tab/>
      </w:r>
      <w:r w:rsidRPr="00513C8F">
        <w:rPr>
          <w:rFonts w:ascii="Times New Roman" w:hAnsi="Times New Roman" w:cs="Times New Roman"/>
          <w:sz w:val="24"/>
          <w:szCs w:val="24"/>
          <w:lang w:val="de-DE"/>
        </w:rPr>
        <w:tab/>
      </w:r>
      <w:r w:rsidRPr="00513C8F">
        <w:rPr>
          <w:rFonts w:ascii="Times New Roman" w:hAnsi="Times New Roman" w:cs="Times New Roman"/>
          <w:sz w:val="24"/>
          <w:szCs w:val="24"/>
          <w:lang w:val="de-DE"/>
        </w:rPr>
        <w:tab/>
      </w:r>
      <w:r w:rsidRPr="00513C8F">
        <w:rPr>
          <w:rFonts w:ascii="Times New Roman" w:hAnsi="Times New Roman" w:cs="Times New Roman"/>
          <w:sz w:val="24"/>
          <w:szCs w:val="24"/>
          <w:lang w:val="de-DE"/>
        </w:rPr>
        <w:tab/>
      </w:r>
      <w:r w:rsidRPr="00513C8F">
        <w:rPr>
          <w:rFonts w:ascii="Times New Roman" w:hAnsi="Times New Roman" w:cs="Times New Roman"/>
          <w:sz w:val="24"/>
          <w:szCs w:val="24"/>
          <w:lang w:val="de-DE"/>
        </w:rPr>
        <w:tab/>
        <w:t>31.6 ml</w:t>
      </w:r>
    </w:p>
    <w:p w:rsidR="00513C8F" w:rsidRPr="000C7F39" w:rsidRDefault="00513C8F" w:rsidP="00513C8F">
      <w:pPr>
        <w:spacing w:after="120" w:line="480" w:lineRule="auto"/>
        <w:rPr>
          <w:rFonts w:ascii="Times New Roman" w:hAnsi="Times New Roman" w:cs="Times New Roman"/>
          <w:sz w:val="24"/>
          <w:szCs w:val="24"/>
        </w:rPr>
      </w:pPr>
      <w:r>
        <w:rPr>
          <w:rFonts w:ascii="Times New Roman" w:hAnsi="Times New Roman" w:cs="Times New Roman"/>
          <w:sz w:val="24"/>
          <w:szCs w:val="24"/>
        </w:rPr>
        <w:t>The volume was a</w:t>
      </w:r>
      <w:r w:rsidRPr="000C7F39">
        <w:rPr>
          <w:rFonts w:ascii="Times New Roman" w:hAnsi="Times New Roman" w:cs="Times New Roman"/>
          <w:sz w:val="24"/>
          <w:szCs w:val="24"/>
        </w:rPr>
        <w:t>djust to 1</w:t>
      </w:r>
      <w:r>
        <w:rPr>
          <w:rFonts w:ascii="Times New Roman" w:hAnsi="Times New Roman" w:cs="Times New Roman"/>
          <w:sz w:val="24"/>
          <w:szCs w:val="24"/>
        </w:rPr>
        <w:t xml:space="preserve"> </w:t>
      </w:r>
      <w:r w:rsidRPr="000C7F39">
        <w:rPr>
          <w:rFonts w:ascii="Times New Roman" w:hAnsi="Times New Roman" w:cs="Times New Roman"/>
          <w:sz w:val="24"/>
          <w:szCs w:val="24"/>
        </w:rPr>
        <w:t>L with H</w:t>
      </w:r>
      <w:r w:rsidRPr="000C7F39">
        <w:rPr>
          <w:rFonts w:ascii="Times New Roman" w:hAnsi="Times New Roman" w:cs="Times New Roman"/>
          <w:sz w:val="24"/>
          <w:szCs w:val="24"/>
          <w:vertAlign w:val="subscript"/>
        </w:rPr>
        <w:t>2</w:t>
      </w:r>
      <w:r w:rsidRPr="000C7F39">
        <w:rPr>
          <w:rFonts w:ascii="Times New Roman" w:hAnsi="Times New Roman" w:cs="Times New Roman"/>
          <w:sz w:val="24"/>
          <w:szCs w:val="24"/>
        </w:rPr>
        <w:t>O and autoclave</w:t>
      </w:r>
      <w:r>
        <w:rPr>
          <w:rFonts w:ascii="Times New Roman" w:hAnsi="Times New Roman" w:cs="Times New Roman"/>
          <w:sz w:val="24"/>
          <w:szCs w:val="24"/>
        </w:rPr>
        <w:t>d</w:t>
      </w:r>
      <w:r w:rsidRPr="000C7F39">
        <w:rPr>
          <w:rFonts w:ascii="Times New Roman" w:hAnsi="Times New Roman" w:cs="Times New Roman"/>
          <w:sz w:val="24"/>
          <w:szCs w:val="24"/>
        </w:rPr>
        <w:t>.</w:t>
      </w:r>
    </w:p>
    <w:p w:rsidR="00513C8F" w:rsidRDefault="00513C8F" w:rsidP="00513C8F">
      <w:pPr>
        <w:spacing w:after="120" w:line="480" w:lineRule="auto"/>
        <w:jc w:val="both"/>
        <w:rPr>
          <w:rFonts w:ascii="Times New Roman" w:hAnsi="Times New Roman" w:cs="Times New Roman"/>
          <w:sz w:val="28"/>
          <w:szCs w:val="28"/>
        </w:rPr>
      </w:pPr>
    </w:p>
    <w:p w:rsidR="00513C8F" w:rsidRDefault="00513C8F" w:rsidP="00513C8F">
      <w:pPr>
        <w:spacing w:after="120" w:line="480" w:lineRule="auto"/>
        <w:jc w:val="both"/>
        <w:rPr>
          <w:rFonts w:ascii="Times New Roman" w:hAnsi="Times New Roman" w:cs="Times New Roman"/>
          <w:sz w:val="28"/>
          <w:szCs w:val="28"/>
        </w:rPr>
      </w:pPr>
      <w:r>
        <w:rPr>
          <w:rFonts w:ascii="Times New Roman" w:hAnsi="Times New Roman" w:cs="Times New Roman"/>
          <w:sz w:val="28"/>
          <w:szCs w:val="28"/>
        </w:rPr>
        <w:t>2.3.7.2</w:t>
      </w:r>
      <w:r>
        <w:rPr>
          <w:rFonts w:ascii="Times New Roman" w:hAnsi="Times New Roman" w:cs="Times New Roman"/>
          <w:sz w:val="28"/>
          <w:szCs w:val="28"/>
        </w:rPr>
        <w:tab/>
        <w:t>START buffer</w:t>
      </w:r>
    </w:p>
    <w:p w:rsidR="00513C8F" w:rsidRPr="004954B7" w:rsidRDefault="00513C8F" w:rsidP="00513C8F">
      <w:pPr>
        <w:spacing w:after="120" w:line="480" w:lineRule="auto"/>
        <w:rPr>
          <w:rFonts w:ascii="Times New Roman" w:hAnsi="Times New Roman" w:cs="Times New Roman"/>
          <w:sz w:val="24"/>
          <w:szCs w:val="24"/>
        </w:rPr>
      </w:pPr>
      <w:r w:rsidRPr="004954B7">
        <w:rPr>
          <w:rFonts w:ascii="Times New Roman" w:hAnsi="Times New Roman" w:cs="Times New Roman"/>
          <w:sz w:val="24"/>
          <w:szCs w:val="24"/>
        </w:rPr>
        <w:t>0.1M Sodium phosphate buffer (pH 7.2)</w:t>
      </w:r>
      <w:r w:rsidRPr="004954B7">
        <w:rPr>
          <w:rFonts w:ascii="Times New Roman" w:hAnsi="Times New Roman" w:cs="Times New Roman"/>
          <w:sz w:val="24"/>
          <w:szCs w:val="24"/>
        </w:rPr>
        <w:tab/>
      </w:r>
      <w:r w:rsidRPr="004954B7">
        <w:rPr>
          <w:rFonts w:ascii="Times New Roman" w:hAnsi="Times New Roman" w:cs="Times New Roman"/>
          <w:sz w:val="24"/>
          <w:szCs w:val="24"/>
        </w:rPr>
        <w:tab/>
      </w:r>
      <w:r w:rsidRPr="004954B7">
        <w:rPr>
          <w:rFonts w:ascii="Times New Roman" w:hAnsi="Times New Roman" w:cs="Times New Roman"/>
          <w:sz w:val="24"/>
          <w:szCs w:val="24"/>
        </w:rPr>
        <w:tab/>
      </w:r>
      <w:r w:rsidRPr="004954B7">
        <w:rPr>
          <w:rFonts w:ascii="Times New Roman" w:hAnsi="Times New Roman" w:cs="Times New Roman"/>
          <w:sz w:val="24"/>
          <w:szCs w:val="24"/>
        </w:rPr>
        <w:tab/>
        <w:t>200 ml</w:t>
      </w:r>
    </w:p>
    <w:p w:rsidR="00513C8F" w:rsidRPr="008B4A4C" w:rsidRDefault="00513C8F" w:rsidP="00513C8F">
      <w:pPr>
        <w:spacing w:after="120" w:line="480" w:lineRule="auto"/>
        <w:rPr>
          <w:rFonts w:ascii="Times New Roman" w:hAnsi="Times New Roman" w:cs="Times New Roman"/>
          <w:sz w:val="24"/>
          <w:szCs w:val="24"/>
        </w:rPr>
      </w:pPr>
      <w:r w:rsidRPr="008B4A4C">
        <w:rPr>
          <w:rFonts w:ascii="Times New Roman" w:hAnsi="Times New Roman" w:cs="Times New Roman"/>
          <w:sz w:val="24"/>
          <w:szCs w:val="24"/>
        </w:rPr>
        <w:t>NaCl</w:t>
      </w:r>
      <w:r w:rsidRPr="008B4A4C">
        <w:rPr>
          <w:rFonts w:ascii="Times New Roman" w:hAnsi="Times New Roman" w:cs="Times New Roman"/>
          <w:sz w:val="24"/>
          <w:szCs w:val="24"/>
        </w:rPr>
        <w:tab/>
      </w:r>
      <w:r w:rsidRPr="008B4A4C">
        <w:rPr>
          <w:rFonts w:ascii="Times New Roman" w:hAnsi="Times New Roman" w:cs="Times New Roman"/>
          <w:sz w:val="24"/>
          <w:szCs w:val="24"/>
        </w:rPr>
        <w:tab/>
      </w:r>
      <w:r w:rsidRPr="008B4A4C">
        <w:rPr>
          <w:rFonts w:ascii="Times New Roman" w:hAnsi="Times New Roman" w:cs="Times New Roman"/>
          <w:sz w:val="24"/>
          <w:szCs w:val="24"/>
        </w:rPr>
        <w:tab/>
      </w:r>
      <w:r w:rsidRPr="008B4A4C">
        <w:rPr>
          <w:rFonts w:ascii="Times New Roman" w:hAnsi="Times New Roman" w:cs="Times New Roman"/>
          <w:sz w:val="24"/>
          <w:szCs w:val="24"/>
        </w:rPr>
        <w:tab/>
      </w:r>
      <w:r w:rsidRPr="008B4A4C">
        <w:rPr>
          <w:rFonts w:ascii="Times New Roman" w:hAnsi="Times New Roman" w:cs="Times New Roman"/>
          <w:sz w:val="24"/>
          <w:szCs w:val="24"/>
        </w:rPr>
        <w:tab/>
      </w:r>
      <w:r w:rsidRPr="008B4A4C">
        <w:rPr>
          <w:rFonts w:ascii="Times New Roman" w:hAnsi="Times New Roman" w:cs="Times New Roman"/>
          <w:sz w:val="24"/>
          <w:szCs w:val="24"/>
        </w:rPr>
        <w:tab/>
      </w:r>
      <w:r w:rsidRPr="008B4A4C">
        <w:rPr>
          <w:rFonts w:ascii="Times New Roman" w:hAnsi="Times New Roman" w:cs="Times New Roman"/>
          <w:sz w:val="24"/>
          <w:szCs w:val="24"/>
        </w:rPr>
        <w:tab/>
      </w:r>
      <w:r w:rsidRPr="008B4A4C">
        <w:rPr>
          <w:rFonts w:ascii="Times New Roman" w:hAnsi="Times New Roman" w:cs="Times New Roman"/>
          <w:sz w:val="24"/>
          <w:szCs w:val="24"/>
        </w:rPr>
        <w:tab/>
      </w:r>
      <w:r w:rsidRPr="008B4A4C">
        <w:rPr>
          <w:rFonts w:ascii="Times New Roman" w:hAnsi="Times New Roman" w:cs="Times New Roman"/>
          <w:sz w:val="24"/>
          <w:szCs w:val="24"/>
        </w:rPr>
        <w:tab/>
        <w:t>0.5 M</w:t>
      </w:r>
    </w:p>
    <w:p w:rsidR="00513C8F" w:rsidRPr="004954B7" w:rsidRDefault="00513C8F" w:rsidP="00513C8F">
      <w:pPr>
        <w:spacing w:after="120" w:line="480" w:lineRule="auto"/>
        <w:rPr>
          <w:rFonts w:ascii="Times New Roman" w:hAnsi="Times New Roman" w:cs="Times New Roman"/>
          <w:sz w:val="24"/>
          <w:szCs w:val="24"/>
        </w:rPr>
      </w:pPr>
      <w:r w:rsidRPr="004954B7">
        <w:rPr>
          <w:rFonts w:ascii="Times New Roman" w:hAnsi="Times New Roman" w:cs="Times New Roman"/>
          <w:sz w:val="24"/>
          <w:szCs w:val="24"/>
        </w:rPr>
        <w:t>Urea (purification of insoluble proteins only)</w:t>
      </w:r>
      <w:r w:rsidRPr="004954B7">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8.0 M</w:t>
      </w:r>
    </w:p>
    <w:p w:rsidR="00513C8F" w:rsidRDefault="00513C8F" w:rsidP="00513C8F">
      <w:pPr>
        <w:spacing w:after="120" w:line="480" w:lineRule="auto"/>
        <w:rPr>
          <w:rFonts w:ascii="Times New Roman" w:hAnsi="Times New Roman" w:cs="Times New Roman"/>
          <w:sz w:val="24"/>
          <w:szCs w:val="24"/>
        </w:rPr>
      </w:pPr>
      <w:r>
        <w:rPr>
          <w:rFonts w:ascii="Times New Roman" w:hAnsi="Times New Roman" w:cs="Times New Roman"/>
          <w:sz w:val="24"/>
          <w:szCs w:val="24"/>
        </w:rPr>
        <w:t>The volume was adjusted to 1 L with dH</w:t>
      </w:r>
      <w:r w:rsidRPr="004954B7">
        <w:rPr>
          <w:rFonts w:ascii="Times New Roman" w:hAnsi="Times New Roman" w:cs="Times New Roman"/>
          <w:sz w:val="24"/>
          <w:szCs w:val="24"/>
          <w:vertAlign w:val="subscript"/>
        </w:rPr>
        <w:t>2</w:t>
      </w:r>
      <w:r>
        <w:rPr>
          <w:rFonts w:ascii="Times New Roman" w:hAnsi="Times New Roman" w:cs="Times New Roman"/>
          <w:sz w:val="24"/>
          <w:szCs w:val="24"/>
        </w:rPr>
        <w:t>O.</w:t>
      </w:r>
    </w:p>
    <w:p w:rsidR="00513C8F" w:rsidRPr="004954B7" w:rsidRDefault="00513C8F" w:rsidP="00513C8F">
      <w:pPr>
        <w:spacing w:after="120" w:line="480" w:lineRule="auto"/>
        <w:rPr>
          <w:rFonts w:ascii="Times New Roman" w:hAnsi="Times New Roman" w:cs="Times New Roman"/>
          <w:sz w:val="24"/>
          <w:szCs w:val="24"/>
        </w:rPr>
      </w:pPr>
    </w:p>
    <w:p w:rsidR="00513C8F" w:rsidRPr="003E67B1" w:rsidRDefault="00513C8F" w:rsidP="00513C8F">
      <w:pPr>
        <w:spacing w:after="120" w:line="480" w:lineRule="auto"/>
        <w:rPr>
          <w:rFonts w:ascii="Times New Roman" w:hAnsi="Times New Roman" w:cs="Times New Roman"/>
          <w:sz w:val="28"/>
          <w:szCs w:val="28"/>
        </w:rPr>
      </w:pPr>
      <w:r w:rsidRPr="003E67B1">
        <w:rPr>
          <w:rFonts w:ascii="Times New Roman" w:hAnsi="Times New Roman" w:cs="Times New Roman"/>
          <w:sz w:val="28"/>
          <w:szCs w:val="28"/>
        </w:rPr>
        <w:t>2.3.7.</w:t>
      </w:r>
      <w:r>
        <w:rPr>
          <w:rFonts w:ascii="Times New Roman" w:hAnsi="Times New Roman" w:cs="Times New Roman"/>
          <w:sz w:val="28"/>
          <w:szCs w:val="28"/>
        </w:rPr>
        <w:t>3</w:t>
      </w:r>
      <w:r w:rsidRPr="003E67B1">
        <w:rPr>
          <w:rFonts w:ascii="Times New Roman" w:hAnsi="Times New Roman" w:cs="Times New Roman"/>
          <w:sz w:val="28"/>
          <w:szCs w:val="28"/>
        </w:rPr>
        <w:tab/>
        <w:t>Elution buffer</w:t>
      </w:r>
    </w:p>
    <w:p w:rsidR="00513C8F" w:rsidRDefault="00513C8F" w:rsidP="00513C8F">
      <w:pPr>
        <w:spacing w:after="120" w:line="480" w:lineRule="auto"/>
        <w:rPr>
          <w:rFonts w:ascii="Times New Roman" w:hAnsi="Times New Roman" w:cs="Times New Roman"/>
          <w:sz w:val="24"/>
          <w:szCs w:val="24"/>
        </w:rPr>
      </w:pPr>
      <w:r>
        <w:rPr>
          <w:rFonts w:ascii="Times New Roman" w:hAnsi="Times New Roman" w:cs="Times New Roman"/>
          <w:sz w:val="24"/>
          <w:szCs w:val="24"/>
        </w:rPr>
        <w:t>START buffer containing:</w:t>
      </w:r>
    </w:p>
    <w:p w:rsidR="00513C8F" w:rsidRDefault="00513C8F" w:rsidP="00513C8F">
      <w:pPr>
        <w:spacing w:after="120" w:line="480" w:lineRule="auto"/>
        <w:rPr>
          <w:rFonts w:ascii="Times New Roman" w:hAnsi="Times New Roman" w:cs="Times New Roman"/>
          <w:sz w:val="24"/>
          <w:szCs w:val="24"/>
        </w:rPr>
      </w:pPr>
      <w:r>
        <w:rPr>
          <w:rFonts w:ascii="Times New Roman" w:hAnsi="Times New Roman" w:cs="Times New Roman"/>
          <w:sz w:val="24"/>
          <w:szCs w:val="24"/>
        </w:rPr>
        <w:t>Imidazole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0.5 M</w:t>
      </w:r>
    </w:p>
    <w:p w:rsidR="00513C8F" w:rsidRDefault="00513C8F" w:rsidP="00513C8F">
      <w:pPr>
        <w:spacing w:after="120" w:line="480" w:lineRule="auto"/>
        <w:rPr>
          <w:rFonts w:ascii="Times New Roman" w:hAnsi="Times New Roman" w:cs="Times New Roman"/>
          <w:sz w:val="28"/>
          <w:szCs w:val="28"/>
        </w:rPr>
      </w:pPr>
      <w:r>
        <w:rPr>
          <w:rFonts w:ascii="Times New Roman" w:hAnsi="Times New Roman" w:cs="Times New Roman"/>
          <w:sz w:val="28"/>
          <w:szCs w:val="28"/>
        </w:rPr>
        <w:lastRenderedPageBreak/>
        <w:t>2.3.8</w:t>
      </w:r>
      <w:r>
        <w:rPr>
          <w:rFonts w:ascii="Times New Roman" w:hAnsi="Times New Roman" w:cs="Times New Roman"/>
          <w:sz w:val="28"/>
          <w:szCs w:val="28"/>
        </w:rPr>
        <w:tab/>
      </w:r>
      <w:r>
        <w:rPr>
          <w:rFonts w:ascii="Times New Roman" w:hAnsi="Times New Roman" w:cs="Times New Roman"/>
          <w:sz w:val="28"/>
          <w:szCs w:val="28"/>
        </w:rPr>
        <w:tab/>
        <w:t>HPLC and FPLC buffers</w:t>
      </w:r>
    </w:p>
    <w:p w:rsidR="00513C8F" w:rsidRDefault="00513C8F" w:rsidP="00513C8F">
      <w:pPr>
        <w:spacing w:after="120" w:line="480" w:lineRule="auto"/>
        <w:rPr>
          <w:rFonts w:ascii="Times New Roman" w:hAnsi="Times New Roman" w:cs="Times New Roman"/>
          <w:sz w:val="24"/>
          <w:szCs w:val="24"/>
        </w:rPr>
      </w:pPr>
      <w:r w:rsidRPr="005B703D">
        <w:rPr>
          <w:rFonts w:ascii="Times New Roman" w:hAnsi="Times New Roman" w:cs="Times New Roman"/>
          <w:sz w:val="24"/>
          <w:szCs w:val="24"/>
        </w:rPr>
        <w:t>Typically</w:t>
      </w:r>
      <w:r>
        <w:rPr>
          <w:rFonts w:ascii="Times New Roman" w:hAnsi="Times New Roman" w:cs="Times New Roman"/>
          <w:sz w:val="24"/>
          <w:szCs w:val="24"/>
        </w:rPr>
        <w:t xml:space="preserve"> 1L volumes of buffers were prepared using Milli-Q (MilliPore) filtered water. All buffers were filtered (0.2 µm pore size) and degassed prior to use.</w:t>
      </w:r>
    </w:p>
    <w:p w:rsidR="00513C8F" w:rsidRDefault="00513C8F" w:rsidP="00513C8F">
      <w:pPr>
        <w:rPr>
          <w:rFonts w:ascii="Times New Roman" w:hAnsi="Times New Roman" w:cs="Times New Roman"/>
          <w:sz w:val="24"/>
          <w:szCs w:val="24"/>
        </w:rPr>
      </w:pPr>
    </w:p>
    <w:p w:rsidR="00513C8F" w:rsidRDefault="00513C8F" w:rsidP="00513C8F">
      <w:pPr>
        <w:spacing w:after="120" w:line="480" w:lineRule="auto"/>
        <w:rPr>
          <w:rFonts w:ascii="Times New Roman" w:hAnsi="Times New Roman" w:cs="Times New Roman"/>
          <w:sz w:val="28"/>
          <w:szCs w:val="28"/>
        </w:rPr>
      </w:pPr>
      <w:r>
        <w:rPr>
          <w:rFonts w:ascii="Times New Roman" w:hAnsi="Times New Roman" w:cs="Times New Roman"/>
          <w:sz w:val="28"/>
          <w:szCs w:val="28"/>
        </w:rPr>
        <w:t>2.3.8.1</w:t>
      </w:r>
      <w:r>
        <w:rPr>
          <w:rFonts w:ascii="Times New Roman" w:hAnsi="Times New Roman" w:cs="Times New Roman"/>
          <w:sz w:val="28"/>
          <w:szCs w:val="28"/>
        </w:rPr>
        <w:tab/>
        <w:t>Muropeptide analysis</w:t>
      </w:r>
    </w:p>
    <w:p w:rsidR="00513C8F" w:rsidRPr="00FE0430" w:rsidRDefault="00513C8F" w:rsidP="00513C8F">
      <w:pPr>
        <w:spacing w:after="120" w:line="480" w:lineRule="auto"/>
        <w:rPr>
          <w:rFonts w:ascii="Times New Roman" w:hAnsi="Times New Roman" w:cs="Times New Roman"/>
          <w:b/>
          <w:sz w:val="24"/>
          <w:szCs w:val="24"/>
        </w:rPr>
      </w:pPr>
      <w:r w:rsidRPr="00FE0430">
        <w:rPr>
          <w:rFonts w:ascii="Times New Roman" w:hAnsi="Times New Roman" w:cs="Times New Roman"/>
          <w:b/>
          <w:sz w:val="24"/>
          <w:szCs w:val="24"/>
        </w:rPr>
        <w:t>Buffer A</w:t>
      </w:r>
    </w:p>
    <w:p w:rsidR="00513C8F" w:rsidRPr="00944FBE" w:rsidRDefault="00513C8F" w:rsidP="00513C8F">
      <w:pPr>
        <w:spacing w:after="120" w:line="480" w:lineRule="auto"/>
        <w:rPr>
          <w:rFonts w:ascii="Times New Roman" w:hAnsi="Times New Roman" w:cs="Times New Roman"/>
          <w:sz w:val="24"/>
          <w:szCs w:val="24"/>
        </w:rPr>
      </w:pPr>
      <w:r w:rsidRPr="00944FBE">
        <w:rPr>
          <w:rFonts w:ascii="Times New Roman" w:hAnsi="Times New Roman" w:cs="Times New Roman"/>
          <w:sz w:val="24"/>
          <w:szCs w:val="24"/>
        </w:rPr>
        <w:t>NaH</w:t>
      </w:r>
      <w:r w:rsidRPr="00944FBE">
        <w:rPr>
          <w:rFonts w:ascii="Times New Roman" w:hAnsi="Times New Roman" w:cs="Times New Roman"/>
          <w:sz w:val="24"/>
          <w:szCs w:val="24"/>
          <w:vertAlign w:val="subscript"/>
        </w:rPr>
        <w:t>2</w:t>
      </w:r>
      <w:r w:rsidRPr="00944FBE">
        <w:rPr>
          <w:rFonts w:ascii="Times New Roman" w:hAnsi="Times New Roman" w:cs="Times New Roman"/>
          <w:sz w:val="24"/>
          <w:szCs w:val="24"/>
        </w:rPr>
        <w:t>PO</w:t>
      </w:r>
      <w:r w:rsidRPr="004954B7">
        <w:rPr>
          <w:rFonts w:ascii="Times New Roman" w:hAnsi="Times New Roman" w:cs="Times New Roman"/>
          <w:sz w:val="24"/>
          <w:szCs w:val="24"/>
          <w:vertAlign w:val="subscript"/>
        </w:rPr>
        <w:t>4</w:t>
      </w:r>
      <w:r w:rsidRPr="00944FBE">
        <w:rPr>
          <w:rFonts w:ascii="Times New Roman" w:hAnsi="Times New Roman" w:cs="Times New Roman"/>
          <w:sz w:val="24"/>
          <w:szCs w:val="24"/>
        </w:rPr>
        <w:tab/>
      </w:r>
      <w:r w:rsidRPr="00944FBE">
        <w:rPr>
          <w:rFonts w:ascii="Times New Roman" w:hAnsi="Times New Roman" w:cs="Times New Roman"/>
          <w:sz w:val="24"/>
          <w:szCs w:val="24"/>
        </w:rPr>
        <w:tab/>
      </w:r>
      <w:r w:rsidRPr="00944FBE">
        <w:rPr>
          <w:rFonts w:ascii="Times New Roman" w:hAnsi="Times New Roman" w:cs="Times New Roman"/>
          <w:sz w:val="24"/>
          <w:szCs w:val="24"/>
        </w:rPr>
        <w:tab/>
      </w:r>
      <w:r w:rsidRPr="00944FBE">
        <w:rPr>
          <w:rFonts w:ascii="Times New Roman" w:hAnsi="Times New Roman" w:cs="Times New Roman"/>
          <w:sz w:val="24"/>
          <w:szCs w:val="24"/>
        </w:rPr>
        <w:tab/>
      </w:r>
      <w:r w:rsidRPr="00944FBE">
        <w:rPr>
          <w:rFonts w:ascii="Times New Roman" w:hAnsi="Times New Roman" w:cs="Times New Roman"/>
          <w:sz w:val="24"/>
          <w:szCs w:val="24"/>
        </w:rPr>
        <w:tab/>
      </w:r>
      <w:r w:rsidRPr="00944FBE">
        <w:rPr>
          <w:rFonts w:ascii="Times New Roman" w:hAnsi="Times New Roman" w:cs="Times New Roman"/>
          <w:sz w:val="24"/>
          <w:szCs w:val="24"/>
        </w:rPr>
        <w:tab/>
      </w:r>
      <w:r w:rsidRPr="00944FBE">
        <w:rPr>
          <w:rFonts w:ascii="Times New Roman" w:hAnsi="Times New Roman" w:cs="Times New Roman"/>
          <w:sz w:val="24"/>
          <w:szCs w:val="24"/>
        </w:rPr>
        <w:tab/>
      </w:r>
      <w:r w:rsidRPr="00944FBE">
        <w:rPr>
          <w:rFonts w:ascii="Times New Roman" w:hAnsi="Times New Roman" w:cs="Times New Roman"/>
          <w:sz w:val="24"/>
          <w:szCs w:val="24"/>
        </w:rPr>
        <w:tab/>
      </w:r>
      <w:r>
        <w:rPr>
          <w:rFonts w:ascii="Times New Roman" w:hAnsi="Times New Roman" w:cs="Times New Roman"/>
          <w:sz w:val="24"/>
          <w:szCs w:val="24"/>
        </w:rPr>
        <w:t>4</w:t>
      </w:r>
      <w:r w:rsidRPr="00944FBE">
        <w:rPr>
          <w:rFonts w:ascii="Times New Roman" w:hAnsi="Times New Roman" w:cs="Times New Roman"/>
          <w:sz w:val="24"/>
          <w:szCs w:val="24"/>
        </w:rPr>
        <w:t>0 mM</w:t>
      </w:r>
    </w:p>
    <w:p w:rsidR="00513C8F" w:rsidRPr="00944FBE" w:rsidRDefault="00513C8F" w:rsidP="00513C8F">
      <w:pPr>
        <w:spacing w:after="120" w:line="480" w:lineRule="auto"/>
        <w:rPr>
          <w:rFonts w:ascii="Times New Roman" w:hAnsi="Times New Roman" w:cs="Times New Roman"/>
          <w:sz w:val="24"/>
          <w:szCs w:val="24"/>
        </w:rPr>
      </w:pPr>
      <w:r>
        <w:rPr>
          <w:rFonts w:ascii="Times New Roman" w:hAnsi="Times New Roman" w:cs="Times New Roman"/>
          <w:sz w:val="24"/>
          <w:szCs w:val="24"/>
        </w:rPr>
        <w:t>Sodium azide (from 1% (w/v</w:t>
      </w:r>
      <w:proofErr w:type="gramStart"/>
      <w:r w:rsidRPr="00944FBE">
        <w:rPr>
          <w:rFonts w:ascii="Times New Roman" w:hAnsi="Times New Roman" w:cs="Times New Roman"/>
          <w:sz w:val="24"/>
          <w:szCs w:val="24"/>
        </w:rPr>
        <w:t>)  stock</w:t>
      </w:r>
      <w:proofErr w:type="gramEnd"/>
      <w:r w:rsidRPr="00944FBE">
        <w:rPr>
          <w:rFonts w:ascii="Times New Roman" w:hAnsi="Times New Roman" w:cs="Times New Roman"/>
          <w:sz w:val="24"/>
          <w:szCs w:val="24"/>
        </w:rPr>
        <w:t>)</w:t>
      </w:r>
      <w:r w:rsidRPr="00944FBE">
        <w:rPr>
          <w:rFonts w:ascii="Times New Roman" w:hAnsi="Times New Roman" w:cs="Times New Roman"/>
          <w:sz w:val="24"/>
          <w:szCs w:val="24"/>
        </w:rPr>
        <w:tab/>
      </w:r>
      <w:r w:rsidRPr="00944FBE">
        <w:rPr>
          <w:rFonts w:ascii="Times New Roman" w:hAnsi="Times New Roman" w:cs="Times New Roman"/>
          <w:sz w:val="24"/>
          <w:szCs w:val="24"/>
        </w:rPr>
        <w:tab/>
      </w:r>
      <w:r w:rsidRPr="00944FBE">
        <w:rPr>
          <w:rFonts w:ascii="Times New Roman" w:hAnsi="Times New Roman" w:cs="Times New Roman"/>
          <w:sz w:val="24"/>
          <w:szCs w:val="24"/>
        </w:rPr>
        <w:tab/>
      </w:r>
      <w:r w:rsidRPr="00944FBE">
        <w:rPr>
          <w:rFonts w:ascii="Times New Roman" w:hAnsi="Times New Roman" w:cs="Times New Roman"/>
          <w:sz w:val="24"/>
          <w:szCs w:val="24"/>
        </w:rPr>
        <w:tab/>
      </w:r>
      <w:r>
        <w:rPr>
          <w:rFonts w:ascii="Times New Roman" w:hAnsi="Times New Roman" w:cs="Times New Roman"/>
          <w:sz w:val="24"/>
          <w:szCs w:val="24"/>
        </w:rPr>
        <w:tab/>
      </w:r>
      <w:r w:rsidRPr="00944FBE">
        <w:rPr>
          <w:rFonts w:ascii="Times New Roman" w:hAnsi="Times New Roman" w:cs="Times New Roman"/>
          <w:sz w:val="24"/>
          <w:szCs w:val="24"/>
        </w:rPr>
        <w:t>136 µl l</w:t>
      </w:r>
      <w:r w:rsidRPr="00A77109">
        <w:rPr>
          <w:rFonts w:ascii="Times New Roman" w:hAnsi="Times New Roman" w:cs="Times New Roman"/>
          <w:sz w:val="24"/>
          <w:szCs w:val="24"/>
          <w:vertAlign w:val="superscript"/>
        </w:rPr>
        <w:t>-1</w:t>
      </w:r>
    </w:p>
    <w:p w:rsidR="00513C8F" w:rsidRDefault="00513C8F" w:rsidP="00513C8F">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The buffer was adjusted to pH 4 with phosphoric acid.</w:t>
      </w:r>
    </w:p>
    <w:p w:rsidR="00513C8F" w:rsidRPr="00944FBE" w:rsidRDefault="00513C8F" w:rsidP="00513C8F">
      <w:pPr>
        <w:spacing w:after="120" w:line="480" w:lineRule="auto"/>
        <w:jc w:val="both"/>
        <w:rPr>
          <w:rFonts w:ascii="Times New Roman" w:hAnsi="Times New Roman" w:cs="Times New Roman"/>
          <w:sz w:val="24"/>
          <w:szCs w:val="24"/>
        </w:rPr>
      </w:pPr>
    </w:p>
    <w:p w:rsidR="00513C8F" w:rsidRPr="00FE0430" w:rsidRDefault="00513C8F" w:rsidP="00513C8F">
      <w:pPr>
        <w:spacing w:after="120" w:line="480" w:lineRule="auto"/>
        <w:jc w:val="both"/>
        <w:rPr>
          <w:rFonts w:ascii="Times New Roman" w:hAnsi="Times New Roman" w:cs="Times New Roman"/>
          <w:b/>
          <w:sz w:val="24"/>
          <w:szCs w:val="24"/>
        </w:rPr>
      </w:pPr>
      <w:r w:rsidRPr="00FE0430">
        <w:rPr>
          <w:rFonts w:ascii="Times New Roman" w:hAnsi="Times New Roman" w:cs="Times New Roman"/>
          <w:b/>
          <w:sz w:val="24"/>
          <w:szCs w:val="24"/>
        </w:rPr>
        <w:t>Buffer B</w:t>
      </w:r>
    </w:p>
    <w:p w:rsidR="00513C8F" w:rsidRPr="00944FBE" w:rsidRDefault="00513C8F" w:rsidP="00513C8F">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NaH</w:t>
      </w:r>
      <w:r w:rsidRPr="00944FBE">
        <w:rPr>
          <w:rFonts w:ascii="Times New Roman" w:hAnsi="Times New Roman" w:cs="Times New Roman"/>
          <w:sz w:val="24"/>
          <w:szCs w:val="24"/>
          <w:vertAlign w:val="subscript"/>
        </w:rPr>
        <w:t>2</w:t>
      </w:r>
      <w:r>
        <w:rPr>
          <w:rFonts w:ascii="Times New Roman" w:hAnsi="Times New Roman" w:cs="Times New Roman"/>
          <w:sz w:val="24"/>
          <w:szCs w:val="24"/>
        </w:rPr>
        <w:t>PO</w:t>
      </w:r>
      <w:r w:rsidRPr="00944FBE">
        <w:rPr>
          <w:rFonts w:ascii="Times New Roman" w:hAnsi="Times New Roman" w:cs="Times New Roman"/>
          <w:sz w:val="24"/>
          <w:szCs w:val="24"/>
          <w:vertAlign w:val="subscript"/>
        </w:rPr>
        <w:t>4</w:t>
      </w:r>
      <w:r w:rsidRPr="00944FBE">
        <w:rPr>
          <w:rFonts w:ascii="Times New Roman" w:hAnsi="Times New Roman" w:cs="Times New Roman"/>
          <w:sz w:val="24"/>
          <w:szCs w:val="24"/>
        </w:rPr>
        <w:tab/>
      </w:r>
      <w:r w:rsidRPr="00944FBE">
        <w:rPr>
          <w:rFonts w:ascii="Times New Roman" w:hAnsi="Times New Roman" w:cs="Times New Roman"/>
          <w:sz w:val="24"/>
          <w:szCs w:val="24"/>
        </w:rPr>
        <w:tab/>
      </w:r>
      <w:r w:rsidRPr="00944FBE">
        <w:rPr>
          <w:rFonts w:ascii="Times New Roman" w:hAnsi="Times New Roman" w:cs="Times New Roman"/>
          <w:sz w:val="24"/>
          <w:szCs w:val="24"/>
        </w:rPr>
        <w:tab/>
      </w:r>
      <w:r w:rsidRPr="00944FBE">
        <w:rPr>
          <w:rFonts w:ascii="Times New Roman" w:hAnsi="Times New Roman" w:cs="Times New Roman"/>
          <w:sz w:val="24"/>
          <w:szCs w:val="24"/>
        </w:rPr>
        <w:tab/>
      </w:r>
      <w:r w:rsidRPr="00944FBE">
        <w:rPr>
          <w:rFonts w:ascii="Times New Roman" w:hAnsi="Times New Roman" w:cs="Times New Roman"/>
          <w:sz w:val="24"/>
          <w:szCs w:val="24"/>
        </w:rPr>
        <w:tab/>
      </w:r>
      <w:r w:rsidRPr="00944FBE">
        <w:rPr>
          <w:rFonts w:ascii="Times New Roman" w:hAnsi="Times New Roman" w:cs="Times New Roman"/>
          <w:sz w:val="24"/>
          <w:szCs w:val="24"/>
        </w:rPr>
        <w:tab/>
      </w:r>
      <w:r w:rsidRPr="00944FBE">
        <w:rPr>
          <w:rFonts w:ascii="Times New Roman" w:hAnsi="Times New Roman" w:cs="Times New Roman"/>
          <w:sz w:val="24"/>
          <w:szCs w:val="24"/>
        </w:rPr>
        <w:tab/>
      </w:r>
      <w:r w:rsidRPr="00944FBE">
        <w:rPr>
          <w:rFonts w:ascii="Times New Roman" w:hAnsi="Times New Roman" w:cs="Times New Roman"/>
          <w:sz w:val="24"/>
          <w:szCs w:val="24"/>
        </w:rPr>
        <w:tab/>
      </w:r>
      <w:r>
        <w:rPr>
          <w:rFonts w:ascii="Times New Roman" w:hAnsi="Times New Roman" w:cs="Times New Roman"/>
          <w:sz w:val="24"/>
          <w:szCs w:val="24"/>
        </w:rPr>
        <w:t>4</w:t>
      </w:r>
      <w:r w:rsidRPr="00944FBE">
        <w:rPr>
          <w:rFonts w:ascii="Times New Roman" w:hAnsi="Times New Roman" w:cs="Times New Roman"/>
          <w:sz w:val="24"/>
          <w:szCs w:val="24"/>
        </w:rPr>
        <w:t>0 mM</w:t>
      </w:r>
    </w:p>
    <w:p w:rsidR="00513C8F" w:rsidRPr="00944FBE" w:rsidRDefault="00513C8F" w:rsidP="00513C8F">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Methanol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20% (v/v)</w:t>
      </w:r>
    </w:p>
    <w:p w:rsidR="00513C8F" w:rsidRDefault="00513C8F" w:rsidP="00513C8F">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The buffer was adjusted to pH 4 with phosphoric acid prior to addition of methanol.</w:t>
      </w:r>
    </w:p>
    <w:p w:rsidR="00513C8F" w:rsidRDefault="00513C8F" w:rsidP="00513C8F">
      <w:pPr>
        <w:spacing w:after="120" w:line="480" w:lineRule="auto"/>
        <w:jc w:val="both"/>
        <w:rPr>
          <w:rFonts w:ascii="Times New Roman" w:hAnsi="Times New Roman" w:cs="Times New Roman"/>
          <w:sz w:val="24"/>
          <w:szCs w:val="24"/>
        </w:rPr>
      </w:pPr>
    </w:p>
    <w:p w:rsidR="00513C8F" w:rsidRDefault="00513C8F" w:rsidP="00513C8F">
      <w:pPr>
        <w:spacing w:after="120" w:line="480" w:lineRule="auto"/>
        <w:jc w:val="both"/>
        <w:rPr>
          <w:rFonts w:ascii="Times New Roman" w:hAnsi="Times New Roman" w:cs="Times New Roman"/>
          <w:sz w:val="28"/>
          <w:szCs w:val="28"/>
        </w:rPr>
      </w:pPr>
      <w:r>
        <w:rPr>
          <w:rFonts w:ascii="Times New Roman" w:hAnsi="Times New Roman" w:cs="Times New Roman"/>
          <w:sz w:val="28"/>
          <w:szCs w:val="28"/>
        </w:rPr>
        <w:t>2.3.8.2.</w:t>
      </w:r>
      <w:r>
        <w:rPr>
          <w:rFonts w:ascii="Times New Roman" w:hAnsi="Times New Roman" w:cs="Times New Roman"/>
          <w:sz w:val="28"/>
          <w:szCs w:val="28"/>
        </w:rPr>
        <w:tab/>
        <w:t>Cation exchange (FPLC) buffers</w:t>
      </w:r>
    </w:p>
    <w:p w:rsidR="00513C8F" w:rsidRPr="005B703D" w:rsidRDefault="00513C8F" w:rsidP="00513C8F">
      <w:pPr>
        <w:spacing w:after="120" w:line="480" w:lineRule="auto"/>
        <w:jc w:val="both"/>
        <w:rPr>
          <w:rFonts w:ascii="Times New Roman" w:hAnsi="Times New Roman" w:cs="Times New Roman"/>
          <w:b/>
          <w:sz w:val="24"/>
          <w:szCs w:val="24"/>
        </w:rPr>
      </w:pPr>
      <w:r w:rsidRPr="005B703D">
        <w:rPr>
          <w:rFonts w:ascii="Times New Roman" w:hAnsi="Times New Roman" w:cs="Times New Roman"/>
          <w:b/>
          <w:sz w:val="24"/>
          <w:szCs w:val="24"/>
        </w:rPr>
        <w:t xml:space="preserve">Buffer A </w:t>
      </w:r>
    </w:p>
    <w:p w:rsidR="00513C8F" w:rsidRPr="005B703D" w:rsidRDefault="00513C8F" w:rsidP="00513C8F">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NaH</w:t>
      </w:r>
      <w:r w:rsidRPr="005B703D">
        <w:rPr>
          <w:rFonts w:ascii="Times New Roman" w:hAnsi="Times New Roman" w:cs="Times New Roman"/>
          <w:sz w:val="24"/>
          <w:szCs w:val="24"/>
          <w:vertAlign w:val="subscript"/>
        </w:rPr>
        <w:t>2</w:t>
      </w:r>
      <w:r>
        <w:rPr>
          <w:rFonts w:ascii="Times New Roman" w:hAnsi="Times New Roman" w:cs="Times New Roman"/>
          <w:sz w:val="24"/>
          <w:szCs w:val="24"/>
        </w:rPr>
        <w:t>PO</w:t>
      </w:r>
      <w:r w:rsidRPr="005B703D">
        <w:rPr>
          <w:rFonts w:ascii="Times New Roman" w:hAnsi="Times New Roman" w:cs="Times New Roman"/>
          <w:sz w:val="24"/>
          <w:szCs w:val="24"/>
          <w:vertAlign w:val="subscript"/>
        </w:rPr>
        <w:t>4</w:t>
      </w:r>
      <w:r w:rsidRPr="005B703D">
        <w:rPr>
          <w:rFonts w:ascii="Times New Roman" w:hAnsi="Times New Roman" w:cs="Times New Roman"/>
          <w:sz w:val="24"/>
          <w:szCs w:val="24"/>
        </w:rPr>
        <w:tab/>
      </w:r>
      <w:r w:rsidRPr="005B703D">
        <w:rPr>
          <w:rFonts w:ascii="Times New Roman" w:hAnsi="Times New Roman" w:cs="Times New Roman"/>
          <w:sz w:val="24"/>
          <w:szCs w:val="24"/>
        </w:rPr>
        <w:tab/>
      </w:r>
      <w:r w:rsidRPr="005B703D">
        <w:rPr>
          <w:rFonts w:ascii="Times New Roman" w:hAnsi="Times New Roman" w:cs="Times New Roman"/>
          <w:sz w:val="24"/>
          <w:szCs w:val="24"/>
        </w:rPr>
        <w:tab/>
      </w:r>
      <w:r w:rsidRPr="005B703D">
        <w:rPr>
          <w:rFonts w:ascii="Times New Roman" w:hAnsi="Times New Roman" w:cs="Times New Roman"/>
          <w:sz w:val="24"/>
          <w:szCs w:val="24"/>
        </w:rPr>
        <w:tab/>
      </w:r>
      <w:r w:rsidRPr="005B703D">
        <w:rPr>
          <w:rFonts w:ascii="Times New Roman" w:hAnsi="Times New Roman" w:cs="Times New Roman"/>
          <w:sz w:val="24"/>
          <w:szCs w:val="24"/>
        </w:rPr>
        <w:tab/>
      </w:r>
      <w:r w:rsidRPr="005B703D">
        <w:rPr>
          <w:rFonts w:ascii="Times New Roman" w:hAnsi="Times New Roman" w:cs="Times New Roman"/>
          <w:sz w:val="24"/>
          <w:szCs w:val="24"/>
        </w:rPr>
        <w:tab/>
      </w:r>
      <w:r w:rsidRPr="005B703D">
        <w:rPr>
          <w:rFonts w:ascii="Times New Roman" w:hAnsi="Times New Roman" w:cs="Times New Roman"/>
          <w:sz w:val="24"/>
          <w:szCs w:val="24"/>
        </w:rPr>
        <w:tab/>
      </w:r>
      <w:r w:rsidRPr="005B703D">
        <w:rPr>
          <w:rFonts w:ascii="Times New Roman" w:hAnsi="Times New Roman" w:cs="Times New Roman"/>
          <w:sz w:val="24"/>
          <w:szCs w:val="24"/>
        </w:rPr>
        <w:tab/>
        <w:t>100 mM</w:t>
      </w:r>
    </w:p>
    <w:p w:rsidR="00513C8F" w:rsidRDefault="00513C8F" w:rsidP="00513C8F">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The buffer was adjusted to pH 2 with phosphoric acid.</w:t>
      </w:r>
    </w:p>
    <w:p w:rsidR="00513C8F" w:rsidRDefault="00513C8F" w:rsidP="00513C8F">
      <w:pPr>
        <w:spacing w:after="120" w:line="480" w:lineRule="auto"/>
        <w:jc w:val="both"/>
        <w:rPr>
          <w:rFonts w:ascii="Times New Roman" w:hAnsi="Times New Roman" w:cs="Times New Roman"/>
          <w:sz w:val="24"/>
          <w:szCs w:val="24"/>
        </w:rPr>
      </w:pPr>
    </w:p>
    <w:p w:rsidR="00513C8F" w:rsidRDefault="00513C8F" w:rsidP="00513C8F">
      <w:pPr>
        <w:spacing w:after="120" w:line="480" w:lineRule="auto"/>
        <w:jc w:val="both"/>
        <w:rPr>
          <w:rFonts w:ascii="Times New Roman" w:hAnsi="Times New Roman" w:cs="Times New Roman"/>
          <w:sz w:val="24"/>
          <w:szCs w:val="24"/>
        </w:rPr>
      </w:pPr>
    </w:p>
    <w:p w:rsidR="00513C8F" w:rsidRPr="005B703D" w:rsidRDefault="00513C8F" w:rsidP="00513C8F">
      <w:pPr>
        <w:spacing w:after="120" w:line="480" w:lineRule="auto"/>
        <w:jc w:val="both"/>
        <w:rPr>
          <w:rFonts w:ascii="Times New Roman" w:hAnsi="Times New Roman" w:cs="Times New Roman"/>
          <w:sz w:val="24"/>
          <w:szCs w:val="24"/>
        </w:rPr>
      </w:pPr>
      <w:r w:rsidRPr="005B703D">
        <w:rPr>
          <w:rFonts w:ascii="Times New Roman" w:hAnsi="Times New Roman" w:cs="Times New Roman"/>
          <w:b/>
          <w:sz w:val="24"/>
          <w:szCs w:val="24"/>
        </w:rPr>
        <w:lastRenderedPageBreak/>
        <w:t>Buffer B</w:t>
      </w:r>
    </w:p>
    <w:p w:rsidR="00513C8F" w:rsidRDefault="00513C8F" w:rsidP="00513C8F">
      <w:pPr>
        <w:spacing w:after="120" w:line="480" w:lineRule="auto"/>
        <w:jc w:val="both"/>
        <w:rPr>
          <w:rFonts w:ascii="Times New Roman" w:hAnsi="Times New Roman" w:cs="Times New Roman"/>
          <w:sz w:val="24"/>
          <w:szCs w:val="24"/>
        </w:rPr>
      </w:pPr>
      <w:r w:rsidRPr="005B703D">
        <w:rPr>
          <w:rFonts w:ascii="Times New Roman" w:hAnsi="Times New Roman" w:cs="Times New Roman"/>
          <w:sz w:val="24"/>
          <w:szCs w:val="24"/>
        </w:rPr>
        <w:t>NaH</w:t>
      </w:r>
      <w:r w:rsidRPr="005B703D">
        <w:rPr>
          <w:rFonts w:ascii="Times New Roman" w:hAnsi="Times New Roman" w:cs="Times New Roman"/>
          <w:sz w:val="24"/>
          <w:szCs w:val="24"/>
          <w:vertAlign w:val="subscript"/>
        </w:rPr>
        <w:t>2</w:t>
      </w:r>
      <w:r w:rsidRPr="005B703D">
        <w:rPr>
          <w:rFonts w:ascii="Times New Roman" w:hAnsi="Times New Roman" w:cs="Times New Roman"/>
          <w:sz w:val="24"/>
          <w:szCs w:val="24"/>
        </w:rPr>
        <w:t>PO</w:t>
      </w:r>
      <w:r w:rsidRPr="005B703D">
        <w:rPr>
          <w:rFonts w:ascii="Times New Roman" w:hAnsi="Times New Roman" w:cs="Times New Roman"/>
          <w:sz w:val="24"/>
          <w:szCs w:val="24"/>
          <w:vertAlign w:val="subscript"/>
        </w:rPr>
        <w:t>4</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100 mM</w:t>
      </w:r>
    </w:p>
    <w:p w:rsidR="00513C8F" w:rsidRDefault="00513C8F" w:rsidP="00513C8F">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NaCl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 M</w:t>
      </w:r>
    </w:p>
    <w:p w:rsidR="00513C8F" w:rsidRDefault="00513C8F" w:rsidP="00513C8F">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The buffer was adjusted to pH 2 with phosphoric acid.</w:t>
      </w:r>
    </w:p>
    <w:p w:rsidR="00513C8F" w:rsidRDefault="00513C8F" w:rsidP="00513C8F">
      <w:pPr>
        <w:spacing w:after="120" w:line="480" w:lineRule="auto"/>
        <w:jc w:val="both"/>
        <w:rPr>
          <w:rFonts w:ascii="Times New Roman" w:hAnsi="Times New Roman" w:cs="Times New Roman"/>
          <w:sz w:val="24"/>
          <w:szCs w:val="24"/>
        </w:rPr>
      </w:pPr>
    </w:p>
    <w:p w:rsidR="00513C8F" w:rsidRPr="004954B7" w:rsidRDefault="00513C8F" w:rsidP="00513C8F">
      <w:pPr>
        <w:spacing w:after="120" w:line="480" w:lineRule="auto"/>
        <w:jc w:val="both"/>
        <w:rPr>
          <w:rFonts w:ascii="Times New Roman" w:hAnsi="Times New Roman" w:cs="Times New Roman"/>
          <w:b/>
          <w:sz w:val="24"/>
          <w:szCs w:val="24"/>
        </w:rPr>
      </w:pPr>
      <w:r w:rsidRPr="004954B7">
        <w:rPr>
          <w:rFonts w:ascii="Times New Roman" w:hAnsi="Times New Roman" w:cs="Times New Roman"/>
          <w:b/>
          <w:sz w:val="24"/>
          <w:szCs w:val="24"/>
        </w:rPr>
        <w:t>Buffer</w:t>
      </w:r>
      <w:r>
        <w:rPr>
          <w:rFonts w:ascii="Times New Roman" w:hAnsi="Times New Roman" w:cs="Times New Roman"/>
          <w:b/>
          <w:sz w:val="24"/>
          <w:szCs w:val="24"/>
        </w:rPr>
        <w:t xml:space="preserve"> </w:t>
      </w:r>
      <w:r w:rsidRPr="004954B7">
        <w:rPr>
          <w:rFonts w:ascii="Times New Roman" w:hAnsi="Times New Roman" w:cs="Times New Roman"/>
          <w:b/>
          <w:sz w:val="24"/>
          <w:szCs w:val="24"/>
        </w:rPr>
        <w:t>C</w:t>
      </w:r>
    </w:p>
    <w:p w:rsidR="00513C8F" w:rsidRDefault="00513C8F" w:rsidP="00513C8F">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Acetonitrile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100%</w:t>
      </w:r>
    </w:p>
    <w:p w:rsidR="00513C8F" w:rsidRDefault="00513C8F" w:rsidP="00513C8F">
      <w:pPr>
        <w:spacing w:after="120" w:line="480" w:lineRule="auto"/>
        <w:jc w:val="both"/>
        <w:rPr>
          <w:rFonts w:ascii="Times New Roman" w:hAnsi="Times New Roman" w:cs="Times New Roman"/>
          <w:sz w:val="24"/>
          <w:szCs w:val="24"/>
        </w:rPr>
      </w:pPr>
    </w:p>
    <w:p w:rsidR="00513C8F" w:rsidRDefault="00513C8F" w:rsidP="00513C8F">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All buffers were prepared to a final volume of 1 l.</w:t>
      </w:r>
    </w:p>
    <w:p w:rsidR="00513C8F" w:rsidRDefault="00513C8F" w:rsidP="00513C8F">
      <w:pPr>
        <w:spacing w:after="120" w:line="480" w:lineRule="auto"/>
        <w:jc w:val="both"/>
        <w:rPr>
          <w:rFonts w:ascii="Times New Roman" w:hAnsi="Times New Roman" w:cs="Times New Roman"/>
          <w:sz w:val="24"/>
          <w:szCs w:val="24"/>
        </w:rPr>
      </w:pPr>
    </w:p>
    <w:p w:rsidR="00513C8F" w:rsidRPr="00110C3C" w:rsidRDefault="00513C8F" w:rsidP="00513C8F">
      <w:pPr>
        <w:spacing w:after="120" w:line="480" w:lineRule="auto"/>
        <w:jc w:val="both"/>
        <w:rPr>
          <w:rFonts w:ascii="Times New Roman" w:hAnsi="Times New Roman" w:cs="Times New Roman"/>
          <w:sz w:val="28"/>
          <w:szCs w:val="28"/>
        </w:rPr>
      </w:pPr>
      <w:r w:rsidRPr="00110C3C">
        <w:rPr>
          <w:rFonts w:ascii="Times New Roman" w:hAnsi="Times New Roman" w:cs="Times New Roman"/>
          <w:sz w:val="28"/>
          <w:szCs w:val="28"/>
        </w:rPr>
        <w:t>2.3.8.3</w:t>
      </w:r>
      <w:r w:rsidRPr="00110C3C">
        <w:rPr>
          <w:rFonts w:ascii="Times New Roman" w:hAnsi="Times New Roman" w:cs="Times New Roman"/>
          <w:sz w:val="28"/>
          <w:szCs w:val="28"/>
        </w:rPr>
        <w:tab/>
      </w:r>
      <w:r w:rsidRPr="00110C3C">
        <w:rPr>
          <w:rFonts w:ascii="Times New Roman" w:hAnsi="Times New Roman" w:cs="Times New Roman"/>
          <w:sz w:val="28"/>
          <w:szCs w:val="28"/>
        </w:rPr>
        <w:tab/>
      </w:r>
      <w:r>
        <w:rPr>
          <w:rFonts w:ascii="Times New Roman" w:hAnsi="Times New Roman" w:cs="Times New Roman"/>
          <w:sz w:val="28"/>
          <w:szCs w:val="28"/>
        </w:rPr>
        <w:t>Size exclusion chromatography</w:t>
      </w:r>
    </w:p>
    <w:p w:rsidR="00513C8F" w:rsidRPr="00C9392E" w:rsidRDefault="00513C8F" w:rsidP="00513C8F">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100 mM sodium phosphate buffer (pH 6.0) was prepared as follows:</w:t>
      </w:r>
    </w:p>
    <w:p w:rsidR="00513C8F" w:rsidRPr="008B4A4C" w:rsidRDefault="00513C8F" w:rsidP="00513C8F">
      <w:pPr>
        <w:spacing w:after="120" w:line="480" w:lineRule="auto"/>
        <w:jc w:val="both"/>
        <w:rPr>
          <w:rFonts w:ascii="Times New Roman" w:hAnsi="Times New Roman" w:cs="Times New Roman"/>
          <w:sz w:val="24"/>
          <w:szCs w:val="24"/>
          <w:lang w:val="de-DE"/>
        </w:rPr>
      </w:pPr>
      <w:r w:rsidRPr="008B4A4C">
        <w:rPr>
          <w:rFonts w:ascii="Times New Roman" w:hAnsi="Times New Roman" w:cs="Times New Roman"/>
          <w:sz w:val="24"/>
          <w:szCs w:val="24"/>
          <w:lang w:val="de-DE"/>
        </w:rPr>
        <w:t>Na</w:t>
      </w:r>
      <w:r w:rsidRPr="008B4A4C">
        <w:rPr>
          <w:rFonts w:ascii="Times New Roman" w:hAnsi="Times New Roman" w:cs="Times New Roman"/>
          <w:sz w:val="24"/>
          <w:szCs w:val="24"/>
          <w:vertAlign w:val="subscript"/>
          <w:lang w:val="de-DE"/>
        </w:rPr>
        <w:t>2</w:t>
      </w:r>
      <w:r w:rsidRPr="008B4A4C">
        <w:rPr>
          <w:rFonts w:ascii="Times New Roman" w:hAnsi="Times New Roman" w:cs="Times New Roman"/>
          <w:sz w:val="24"/>
          <w:szCs w:val="24"/>
          <w:lang w:val="de-DE"/>
        </w:rPr>
        <w:t>HPO</w:t>
      </w:r>
      <w:r w:rsidRPr="008B4A4C">
        <w:rPr>
          <w:rFonts w:ascii="Times New Roman" w:hAnsi="Times New Roman" w:cs="Times New Roman"/>
          <w:sz w:val="24"/>
          <w:szCs w:val="24"/>
          <w:vertAlign w:val="subscript"/>
          <w:lang w:val="de-DE"/>
        </w:rPr>
        <w:t>4</w:t>
      </w:r>
      <w:r w:rsidRPr="008B4A4C">
        <w:rPr>
          <w:rFonts w:ascii="Times New Roman" w:hAnsi="Times New Roman" w:cs="Times New Roman"/>
          <w:sz w:val="24"/>
          <w:szCs w:val="24"/>
          <w:lang w:val="de-DE"/>
        </w:rPr>
        <w:t xml:space="preserve"> (1</w:t>
      </w:r>
      <w:r>
        <w:rPr>
          <w:rFonts w:ascii="Times New Roman" w:hAnsi="Times New Roman" w:cs="Times New Roman"/>
          <w:sz w:val="24"/>
          <w:szCs w:val="24"/>
          <w:lang w:val="de-DE"/>
        </w:rPr>
        <w:t xml:space="preserve"> </w:t>
      </w:r>
      <w:r w:rsidRPr="008B4A4C">
        <w:rPr>
          <w:rFonts w:ascii="Times New Roman" w:hAnsi="Times New Roman" w:cs="Times New Roman"/>
          <w:sz w:val="24"/>
          <w:szCs w:val="24"/>
          <w:lang w:val="de-DE"/>
        </w:rPr>
        <w:t>M)</w:t>
      </w:r>
      <w:r w:rsidRPr="008B4A4C">
        <w:rPr>
          <w:rFonts w:ascii="Times New Roman" w:hAnsi="Times New Roman" w:cs="Times New Roman"/>
          <w:sz w:val="24"/>
          <w:szCs w:val="24"/>
          <w:lang w:val="de-DE"/>
        </w:rPr>
        <w:tab/>
      </w:r>
      <w:r w:rsidRPr="008B4A4C">
        <w:rPr>
          <w:rFonts w:ascii="Times New Roman" w:hAnsi="Times New Roman" w:cs="Times New Roman"/>
          <w:sz w:val="24"/>
          <w:szCs w:val="24"/>
          <w:lang w:val="de-DE"/>
        </w:rPr>
        <w:tab/>
      </w:r>
      <w:r w:rsidRPr="008B4A4C">
        <w:rPr>
          <w:rFonts w:ascii="Times New Roman" w:hAnsi="Times New Roman" w:cs="Times New Roman"/>
          <w:sz w:val="24"/>
          <w:szCs w:val="24"/>
          <w:lang w:val="de-DE"/>
        </w:rPr>
        <w:tab/>
      </w:r>
      <w:r w:rsidRPr="008B4A4C">
        <w:rPr>
          <w:rFonts w:ascii="Times New Roman" w:hAnsi="Times New Roman" w:cs="Times New Roman"/>
          <w:sz w:val="24"/>
          <w:szCs w:val="24"/>
          <w:lang w:val="de-DE"/>
        </w:rPr>
        <w:tab/>
      </w:r>
      <w:r w:rsidRPr="008B4A4C">
        <w:rPr>
          <w:rFonts w:ascii="Times New Roman" w:hAnsi="Times New Roman" w:cs="Times New Roman"/>
          <w:sz w:val="24"/>
          <w:szCs w:val="24"/>
          <w:lang w:val="de-DE"/>
        </w:rPr>
        <w:tab/>
      </w:r>
      <w:r w:rsidRPr="008B4A4C">
        <w:rPr>
          <w:rFonts w:ascii="Times New Roman" w:hAnsi="Times New Roman" w:cs="Times New Roman"/>
          <w:sz w:val="24"/>
          <w:szCs w:val="24"/>
          <w:lang w:val="de-DE"/>
        </w:rPr>
        <w:tab/>
      </w:r>
      <w:r w:rsidRPr="008B4A4C">
        <w:rPr>
          <w:rFonts w:ascii="Times New Roman" w:hAnsi="Times New Roman" w:cs="Times New Roman"/>
          <w:sz w:val="24"/>
          <w:szCs w:val="24"/>
          <w:lang w:val="de-DE"/>
        </w:rPr>
        <w:tab/>
      </w:r>
      <w:r w:rsidRPr="008B4A4C">
        <w:rPr>
          <w:rFonts w:ascii="Times New Roman" w:hAnsi="Times New Roman" w:cs="Times New Roman"/>
          <w:sz w:val="24"/>
          <w:szCs w:val="24"/>
          <w:lang w:val="de-DE"/>
        </w:rPr>
        <w:tab/>
        <w:t>12 ml</w:t>
      </w:r>
    </w:p>
    <w:p w:rsidR="00513C8F" w:rsidRPr="003A43D7" w:rsidRDefault="00513C8F" w:rsidP="00513C8F">
      <w:pPr>
        <w:spacing w:after="120" w:line="480" w:lineRule="auto"/>
        <w:jc w:val="both"/>
        <w:rPr>
          <w:rFonts w:ascii="Times New Roman" w:hAnsi="Times New Roman" w:cs="Times New Roman"/>
          <w:sz w:val="24"/>
          <w:szCs w:val="24"/>
          <w:lang w:val="de-DE"/>
        </w:rPr>
      </w:pPr>
      <w:r w:rsidRPr="003A43D7">
        <w:rPr>
          <w:rFonts w:ascii="Times New Roman" w:hAnsi="Times New Roman" w:cs="Times New Roman"/>
          <w:sz w:val="24"/>
          <w:szCs w:val="24"/>
          <w:lang w:val="de-DE"/>
        </w:rPr>
        <w:t>NaH</w:t>
      </w:r>
      <w:r w:rsidRPr="003A43D7">
        <w:rPr>
          <w:rFonts w:ascii="Times New Roman" w:hAnsi="Times New Roman" w:cs="Times New Roman"/>
          <w:sz w:val="24"/>
          <w:szCs w:val="24"/>
          <w:vertAlign w:val="subscript"/>
          <w:lang w:val="de-DE"/>
        </w:rPr>
        <w:t>2</w:t>
      </w:r>
      <w:r w:rsidRPr="003A43D7">
        <w:rPr>
          <w:rFonts w:ascii="Times New Roman" w:hAnsi="Times New Roman" w:cs="Times New Roman"/>
          <w:sz w:val="24"/>
          <w:szCs w:val="24"/>
          <w:lang w:val="de-DE"/>
        </w:rPr>
        <w:t>PO</w:t>
      </w:r>
      <w:r w:rsidRPr="003A43D7">
        <w:rPr>
          <w:rFonts w:ascii="Times New Roman" w:hAnsi="Times New Roman" w:cs="Times New Roman"/>
          <w:sz w:val="24"/>
          <w:szCs w:val="24"/>
          <w:vertAlign w:val="subscript"/>
          <w:lang w:val="de-DE"/>
        </w:rPr>
        <w:t>4</w:t>
      </w:r>
      <w:r w:rsidRPr="003A43D7">
        <w:rPr>
          <w:rFonts w:ascii="Times New Roman" w:hAnsi="Times New Roman" w:cs="Times New Roman"/>
          <w:sz w:val="24"/>
          <w:szCs w:val="24"/>
          <w:lang w:val="de-DE"/>
        </w:rPr>
        <w:t xml:space="preserve"> (1</w:t>
      </w:r>
      <w:r>
        <w:rPr>
          <w:rFonts w:ascii="Times New Roman" w:hAnsi="Times New Roman" w:cs="Times New Roman"/>
          <w:sz w:val="24"/>
          <w:szCs w:val="24"/>
          <w:lang w:val="de-DE"/>
        </w:rPr>
        <w:t xml:space="preserve"> </w:t>
      </w:r>
      <w:r w:rsidRPr="003A43D7">
        <w:rPr>
          <w:rFonts w:ascii="Times New Roman" w:hAnsi="Times New Roman" w:cs="Times New Roman"/>
          <w:sz w:val="24"/>
          <w:szCs w:val="24"/>
          <w:lang w:val="de-DE"/>
        </w:rPr>
        <w:t>M)</w:t>
      </w:r>
      <w:r w:rsidRPr="003A43D7">
        <w:rPr>
          <w:rFonts w:ascii="Times New Roman" w:hAnsi="Times New Roman" w:cs="Times New Roman"/>
          <w:sz w:val="24"/>
          <w:szCs w:val="24"/>
          <w:lang w:val="de-DE"/>
        </w:rPr>
        <w:tab/>
      </w:r>
      <w:r w:rsidRPr="003A43D7">
        <w:rPr>
          <w:rFonts w:ascii="Times New Roman" w:hAnsi="Times New Roman" w:cs="Times New Roman"/>
          <w:sz w:val="24"/>
          <w:szCs w:val="24"/>
          <w:lang w:val="de-DE"/>
        </w:rPr>
        <w:tab/>
      </w:r>
      <w:r w:rsidRPr="003A43D7">
        <w:rPr>
          <w:rFonts w:ascii="Times New Roman" w:hAnsi="Times New Roman" w:cs="Times New Roman"/>
          <w:sz w:val="24"/>
          <w:szCs w:val="24"/>
          <w:lang w:val="de-DE"/>
        </w:rPr>
        <w:tab/>
      </w:r>
      <w:r w:rsidRPr="003A43D7">
        <w:rPr>
          <w:rFonts w:ascii="Times New Roman" w:hAnsi="Times New Roman" w:cs="Times New Roman"/>
          <w:sz w:val="24"/>
          <w:szCs w:val="24"/>
          <w:lang w:val="de-DE"/>
        </w:rPr>
        <w:tab/>
      </w:r>
      <w:r w:rsidRPr="003A43D7">
        <w:rPr>
          <w:rFonts w:ascii="Times New Roman" w:hAnsi="Times New Roman" w:cs="Times New Roman"/>
          <w:sz w:val="24"/>
          <w:szCs w:val="24"/>
          <w:lang w:val="de-DE"/>
        </w:rPr>
        <w:tab/>
      </w:r>
      <w:r w:rsidRPr="003A43D7">
        <w:rPr>
          <w:rFonts w:ascii="Times New Roman" w:hAnsi="Times New Roman" w:cs="Times New Roman"/>
          <w:sz w:val="24"/>
          <w:szCs w:val="24"/>
          <w:lang w:val="de-DE"/>
        </w:rPr>
        <w:tab/>
      </w:r>
      <w:r w:rsidRPr="003A43D7">
        <w:rPr>
          <w:rFonts w:ascii="Times New Roman" w:hAnsi="Times New Roman" w:cs="Times New Roman"/>
          <w:sz w:val="24"/>
          <w:szCs w:val="24"/>
          <w:lang w:val="de-DE"/>
        </w:rPr>
        <w:tab/>
      </w:r>
      <w:r w:rsidRPr="003A43D7">
        <w:rPr>
          <w:rFonts w:ascii="Times New Roman" w:hAnsi="Times New Roman" w:cs="Times New Roman"/>
          <w:sz w:val="24"/>
          <w:szCs w:val="24"/>
          <w:lang w:val="de-DE"/>
        </w:rPr>
        <w:tab/>
        <w:t>88 ml</w:t>
      </w:r>
    </w:p>
    <w:p w:rsidR="00513C8F" w:rsidRDefault="00513C8F" w:rsidP="00513C8F">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The final volume was adjusted to 1 l.</w:t>
      </w:r>
    </w:p>
    <w:p w:rsidR="00513C8F" w:rsidRDefault="00513C8F" w:rsidP="00513C8F">
      <w:pPr>
        <w:spacing w:after="120" w:line="480" w:lineRule="auto"/>
        <w:jc w:val="both"/>
        <w:rPr>
          <w:rFonts w:ascii="Times New Roman" w:hAnsi="Times New Roman" w:cs="Times New Roman"/>
          <w:sz w:val="24"/>
          <w:szCs w:val="24"/>
        </w:rPr>
      </w:pPr>
    </w:p>
    <w:p w:rsidR="00513C8F" w:rsidRPr="003374A1" w:rsidRDefault="00513C8F" w:rsidP="00513C8F">
      <w:pPr>
        <w:spacing w:after="120" w:line="480" w:lineRule="auto"/>
        <w:jc w:val="both"/>
        <w:rPr>
          <w:rFonts w:ascii="Times New Roman" w:hAnsi="Times New Roman" w:cs="Times New Roman"/>
          <w:sz w:val="28"/>
          <w:szCs w:val="28"/>
        </w:rPr>
      </w:pPr>
      <w:r w:rsidRPr="003374A1">
        <w:rPr>
          <w:rFonts w:ascii="Times New Roman" w:hAnsi="Times New Roman" w:cs="Times New Roman"/>
          <w:sz w:val="28"/>
          <w:szCs w:val="28"/>
        </w:rPr>
        <w:t>2.3.9</w:t>
      </w:r>
      <w:r>
        <w:rPr>
          <w:rFonts w:ascii="Times New Roman" w:hAnsi="Times New Roman" w:cs="Times New Roman"/>
          <w:sz w:val="28"/>
          <w:szCs w:val="28"/>
        </w:rPr>
        <w:tab/>
      </w:r>
      <w:r>
        <w:rPr>
          <w:rFonts w:ascii="Times New Roman" w:hAnsi="Times New Roman" w:cs="Times New Roman"/>
          <w:sz w:val="28"/>
          <w:szCs w:val="28"/>
        </w:rPr>
        <w:tab/>
        <w:t>Fixative preparation</w:t>
      </w:r>
    </w:p>
    <w:p w:rsidR="00513C8F" w:rsidRPr="003374A1" w:rsidRDefault="00513C8F" w:rsidP="00513C8F">
      <w:pPr>
        <w:spacing w:after="120" w:line="480" w:lineRule="auto"/>
        <w:jc w:val="both"/>
        <w:rPr>
          <w:rFonts w:ascii="Times New Roman" w:hAnsi="Times New Roman" w:cs="Times New Roman"/>
          <w:sz w:val="28"/>
          <w:szCs w:val="28"/>
        </w:rPr>
      </w:pPr>
      <w:r w:rsidRPr="003374A1">
        <w:rPr>
          <w:rFonts w:ascii="Times New Roman" w:hAnsi="Times New Roman" w:cs="Times New Roman"/>
          <w:sz w:val="28"/>
          <w:szCs w:val="28"/>
        </w:rPr>
        <w:t xml:space="preserve">2.3.9.1 </w:t>
      </w:r>
      <w:r w:rsidRPr="003374A1">
        <w:rPr>
          <w:rFonts w:ascii="Times New Roman" w:hAnsi="Times New Roman" w:cs="Times New Roman"/>
          <w:sz w:val="28"/>
          <w:szCs w:val="28"/>
        </w:rPr>
        <w:tab/>
        <w:t>Preparation of 16%</w:t>
      </w:r>
      <w:r>
        <w:rPr>
          <w:rFonts w:ascii="Times New Roman" w:hAnsi="Times New Roman" w:cs="Times New Roman"/>
          <w:sz w:val="28"/>
          <w:szCs w:val="28"/>
        </w:rPr>
        <w:t xml:space="preserve"> (w/v)</w:t>
      </w:r>
      <w:r w:rsidRPr="003374A1">
        <w:rPr>
          <w:rFonts w:ascii="Times New Roman" w:hAnsi="Times New Roman" w:cs="Times New Roman"/>
          <w:sz w:val="28"/>
          <w:szCs w:val="28"/>
        </w:rPr>
        <w:t xml:space="preserve"> </w:t>
      </w:r>
      <w:r>
        <w:rPr>
          <w:rFonts w:ascii="Times New Roman" w:hAnsi="Times New Roman" w:cs="Times New Roman"/>
          <w:sz w:val="28"/>
          <w:szCs w:val="28"/>
        </w:rPr>
        <w:t>p</w:t>
      </w:r>
      <w:r w:rsidRPr="003374A1">
        <w:rPr>
          <w:rFonts w:ascii="Times New Roman" w:hAnsi="Times New Roman" w:cs="Times New Roman"/>
          <w:sz w:val="28"/>
          <w:szCs w:val="28"/>
        </w:rPr>
        <w:t>araformaldehyde</w:t>
      </w:r>
    </w:p>
    <w:p w:rsidR="00513C8F" w:rsidRDefault="00513C8F" w:rsidP="00513C8F">
      <w:pPr>
        <w:spacing w:after="120" w:line="480" w:lineRule="auto"/>
        <w:jc w:val="both"/>
        <w:rPr>
          <w:rFonts w:ascii="Times New Roman" w:hAnsi="Times New Roman" w:cs="Times New Roman"/>
          <w:sz w:val="24"/>
          <w:szCs w:val="24"/>
        </w:rPr>
      </w:pPr>
      <w:r w:rsidRPr="00CD1ED0">
        <w:rPr>
          <w:rFonts w:ascii="Times New Roman" w:hAnsi="Times New Roman" w:cs="Times New Roman"/>
          <w:sz w:val="24"/>
          <w:szCs w:val="24"/>
        </w:rPr>
        <w:t xml:space="preserve">100 mM </w:t>
      </w:r>
      <w:r>
        <w:rPr>
          <w:rFonts w:ascii="Times New Roman" w:hAnsi="Times New Roman" w:cs="Times New Roman"/>
          <w:sz w:val="24"/>
          <w:szCs w:val="24"/>
        </w:rPr>
        <w:t>s</w:t>
      </w:r>
      <w:r w:rsidRPr="00CD1ED0">
        <w:rPr>
          <w:rFonts w:ascii="Times New Roman" w:hAnsi="Times New Roman" w:cs="Times New Roman"/>
          <w:sz w:val="24"/>
          <w:szCs w:val="24"/>
        </w:rPr>
        <w:t xml:space="preserve">odium phosphate buffer </w:t>
      </w:r>
      <w:r>
        <w:rPr>
          <w:rFonts w:ascii="Times New Roman" w:hAnsi="Times New Roman" w:cs="Times New Roman"/>
          <w:sz w:val="24"/>
          <w:szCs w:val="24"/>
        </w:rPr>
        <w:t>(</w:t>
      </w:r>
      <w:r w:rsidRPr="00CD1ED0">
        <w:rPr>
          <w:rFonts w:ascii="Times New Roman" w:hAnsi="Times New Roman" w:cs="Times New Roman"/>
          <w:sz w:val="24"/>
          <w:szCs w:val="24"/>
        </w:rPr>
        <w:t xml:space="preserve">pH </w:t>
      </w:r>
      <w:r>
        <w:rPr>
          <w:rFonts w:ascii="Times New Roman" w:hAnsi="Times New Roman" w:cs="Times New Roman"/>
          <w:sz w:val="24"/>
          <w:szCs w:val="24"/>
        </w:rPr>
        <w:t>7</w:t>
      </w:r>
      <w:r w:rsidRPr="00CD1ED0">
        <w:rPr>
          <w:rFonts w:ascii="Times New Roman" w:hAnsi="Times New Roman" w:cs="Times New Roman"/>
          <w:sz w:val="24"/>
          <w:szCs w:val="24"/>
        </w:rPr>
        <w:t>.0</w:t>
      </w:r>
      <w:r>
        <w:rPr>
          <w:rFonts w:ascii="Times New Roman" w:hAnsi="Times New Roman" w:cs="Times New Roman"/>
          <w:sz w:val="24"/>
          <w:szCs w:val="24"/>
        </w:rPr>
        <w:t>) was prepared as follows</w:t>
      </w:r>
      <w:r w:rsidRPr="00CD1ED0">
        <w:rPr>
          <w:rFonts w:ascii="Times New Roman" w:hAnsi="Times New Roman" w:cs="Times New Roman"/>
          <w:sz w:val="24"/>
          <w:szCs w:val="24"/>
        </w:rPr>
        <w:t>:</w:t>
      </w:r>
    </w:p>
    <w:p w:rsidR="00513C8F" w:rsidRPr="00CD1ED0" w:rsidRDefault="00513C8F" w:rsidP="00513C8F">
      <w:pPr>
        <w:spacing w:after="120" w:line="480" w:lineRule="auto"/>
        <w:jc w:val="both"/>
        <w:rPr>
          <w:rFonts w:ascii="Times New Roman" w:hAnsi="Times New Roman" w:cs="Times New Roman"/>
          <w:sz w:val="24"/>
          <w:szCs w:val="24"/>
          <w:lang w:val="de-DE"/>
        </w:rPr>
      </w:pPr>
      <w:r w:rsidRPr="00CD1ED0">
        <w:rPr>
          <w:rFonts w:ascii="Times New Roman" w:hAnsi="Times New Roman" w:cs="Times New Roman"/>
          <w:sz w:val="24"/>
          <w:szCs w:val="24"/>
          <w:lang w:val="de-DE"/>
        </w:rPr>
        <w:t>Na</w:t>
      </w:r>
      <w:r w:rsidRPr="00CD1ED0">
        <w:rPr>
          <w:rFonts w:ascii="Times New Roman" w:hAnsi="Times New Roman" w:cs="Times New Roman"/>
          <w:sz w:val="24"/>
          <w:szCs w:val="24"/>
          <w:vertAlign w:val="subscript"/>
          <w:lang w:val="de-DE"/>
        </w:rPr>
        <w:t>2</w:t>
      </w:r>
      <w:r w:rsidRPr="00CD1ED0">
        <w:rPr>
          <w:rFonts w:ascii="Times New Roman" w:hAnsi="Times New Roman" w:cs="Times New Roman"/>
          <w:sz w:val="24"/>
          <w:szCs w:val="24"/>
          <w:lang w:val="de-DE"/>
        </w:rPr>
        <w:t>HPO</w:t>
      </w:r>
      <w:r w:rsidRPr="00CD1ED0">
        <w:rPr>
          <w:rFonts w:ascii="Times New Roman" w:hAnsi="Times New Roman" w:cs="Times New Roman"/>
          <w:sz w:val="24"/>
          <w:szCs w:val="24"/>
          <w:vertAlign w:val="subscript"/>
          <w:lang w:val="de-DE"/>
        </w:rPr>
        <w:t>4</w:t>
      </w:r>
      <w:r w:rsidRPr="00CD1ED0">
        <w:rPr>
          <w:rFonts w:ascii="Times New Roman" w:hAnsi="Times New Roman" w:cs="Times New Roman"/>
          <w:sz w:val="24"/>
          <w:szCs w:val="24"/>
          <w:lang w:val="de-DE"/>
        </w:rPr>
        <w:t xml:space="preserve"> (1</w:t>
      </w:r>
      <w:r>
        <w:rPr>
          <w:rFonts w:ascii="Times New Roman" w:hAnsi="Times New Roman" w:cs="Times New Roman"/>
          <w:sz w:val="24"/>
          <w:szCs w:val="24"/>
          <w:lang w:val="de-DE"/>
        </w:rPr>
        <w:t xml:space="preserve"> </w:t>
      </w:r>
      <w:r w:rsidRPr="00CD1ED0">
        <w:rPr>
          <w:rFonts w:ascii="Times New Roman" w:hAnsi="Times New Roman" w:cs="Times New Roman"/>
          <w:sz w:val="24"/>
          <w:szCs w:val="24"/>
          <w:lang w:val="de-DE"/>
        </w:rPr>
        <w:t>M)</w:t>
      </w:r>
      <w:r w:rsidRPr="00CD1ED0">
        <w:rPr>
          <w:rFonts w:ascii="Times New Roman" w:hAnsi="Times New Roman" w:cs="Times New Roman"/>
          <w:sz w:val="24"/>
          <w:szCs w:val="24"/>
          <w:lang w:val="de-DE"/>
        </w:rPr>
        <w:tab/>
      </w:r>
      <w:r w:rsidRPr="00CD1ED0">
        <w:rPr>
          <w:rFonts w:ascii="Times New Roman" w:hAnsi="Times New Roman" w:cs="Times New Roman"/>
          <w:sz w:val="24"/>
          <w:szCs w:val="24"/>
          <w:lang w:val="de-DE"/>
        </w:rPr>
        <w:tab/>
      </w:r>
      <w:r w:rsidRPr="00CD1ED0">
        <w:rPr>
          <w:rFonts w:ascii="Times New Roman" w:hAnsi="Times New Roman" w:cs="Times New Roman"/>
          <w:sz w:val="24"/>
          <w:szCs w:val="24"/>
          <w:lang w:val="de-DE"/>
        </w:rPr>
        <w:tab/>
      </w:r>
      <w:r w:rsidRPr="00CD1ED0">
        <w:rPr>
          <w:rFonts w:ascii="Times New Roman" w:hAnsi="Times New Roman" w:cs="Times New Roman"/>
          <w:sz w:val="24"/>
          <w:szCs w:val="24"/>
          <w:lang w:val="de-DE"/>
        </w:rPr>
        <w:tab/>
      </w:r>
      <w:r w:rsidRPr="00CD1ED0">
        <w:rPr>
          <w:rFonts w:ascii="Times New Roman" w:hAnsi="Times New Roman" w:cs="Times New Roman"/>
          <w:sz w:val="24"/>
          <w:szCs w:val="24"/>
          <w:lang w:val="de-DE"/>
        </w:rPr>
        <w:tab/>
      </w:r>
      <w:r w:rsidRPr="00CD1ED0">
        <w:rPr>
          <w:rFonts w:ascii="Times New Roman" w:hAnsi="Times New Roman" w:cs="Times New Roman"/>
          <w:sz w:val="24"/>
          <w:szCs w:val="24"/>
          <w:lang w:val="de-DE"/>
        </w:rPr>
        <w:tab/>
      </w:r>
      <w:r w:rsidRPr="00CD1ED0">
        <w:rPr>
          <w:rFonts w:ascii="Times New Roman" w:hAnsi="Times New Roman" w:cs="Times New Roman"/>
          <w:sz w:val="24"/>
          <w:szCs w:val="24"/>
          <w:lang w:val="de-DE"/>
        </w:rPr>
        <w:tab/>
      </w:r>
      <w:r w:rsidRPr="00CD1ED0">
        <w:rPr>
          <w:rFonts w:ascii="Times New Roman" w:hAnsi="Times New Roman" w:cs="Times New Roman"/>
          <w:sz w:val="24"/>
          <w:szCs w:val="24"/>
          <w:lang w:val="de-DE"/>
        </w:rPr>
        <w:tab/>
      </w:r>
      <w:r>
        <w:rPr>
          <w:rFonts w:ascii="Times New Roman" w:hAnsi="Times New Roman" w:cs="Times New Roman"/>
          <w:sz w:val="24"/>
          <w:szCs w:val="24"/>
          <w:lang w:val="de-DE"/>
        </w:rPr>
        <w:t>57.7</w:t>
      </w:r>
      <w:r w:rsidRPr="00CD1ED0">
        <w:rPr>
          <w:rFonts w:ascii="Times New Roman" w:hAnsi="Times New Roman" w:cs="Times New Roman"/>
          <w:sz w:val="24"/>
          <w:szCs w:val="24"/>
          <w:lang w:val="de-DE"/>
        </w:rPr>
        <w:t xml:space="preserve"> ml</w:t>
      </w:r>
    </w:p>
    <w:p w:rsidR="00513C8F" w:rsidRPr="00CD1ED0" w:rsidRDefault="00513C8F" w:rsidP="00513C8F">
      <w:pPr>
        <w:spacing w:after="120" w:line="480" w:lineRule="auto"/>
        <w:jc w:val="both"/>
        <w:rPr>
          <w:rFonts w:ascii="Times New Roman" w:hAnsi="Times New Roman" w:cs="Times New Roman"/>
          <w:sz w:val="24"/>
          <w:szCs w:val="24"/>
          <w:lang w:val="de-DE"/>
        </w:rPr>
      </w:pPr>
      <w:r w:rsidRPr="00CD1ED0">
        <w:rPr>
          <w:rFonts w:ascii="Times New Roman" w:hAnsi="Times New Roman" w:cs="Times New Roman"/>
          <w:sz w:val="24"/>
          <w:szCs w:val="24"/>
          <w:lang w:val="de-DE"/>
        </w:rPr>
        <w:lastRenderedPageBreak/>
        <w:t>NaH</w:t>
      </w:r>
      <w:r w:rsidRPr="00CD1ED0">
        <w:rPr>
          <w:rFonts w:ascii="Times New Roman" w:hAnsi="Times New Roman" w:cs="Times New Roman"/>
          <w:sz w:val="24"/>
          <w:szCs w:val="24"/>
          <w:vertAlign w:val="subscript"/>
          <w:lang w:val="de-DE"/>
        </w:rPr>
        <w:t>2</w:t>
      </w:r>
      <w:r w:rsidRPr="00CD1ED0">
        <w:rPr>
          <w:rFonts w:ascii="Times New Roman" w:hAnsi="Times New Roman" w:cs="Times New Roman"/>
          <w:sz w:val="24"/>
          <w:szCs w:val="24"/>
          <w:lang w:val="de-DE"/>
        </w:rPr>
        <w:t>PO</w:t>
      </w:r>
      <w:r w:rsidRPr="00CD1ED0">
        <w:rPr>
          <w:rFonts w:ascii="Times New Roman" w:hAnsi="Times New Roman" w:cs="Times New Roman"/>
          <w:sz w:val="24"/>
          <w:szCs w:val="24"/>
          <w:vertAlign w:val="subscript"/>
          <w:lang w:val="de-DE"/>
        </w:rPr>
        <w:t>4</w:t>
      </w:r>
      <w:r w:rsidRPr="00CD1ED0">
        <w:rPr>
          <w:rFonts w:ascii="Times New Roman" w:hAnsi="Times New Roman" w:cs="Times New Roman"/>
          <w:sz w:val="24"/>
          <w:szCs w:val="24"/>
          <w:lang w:val="de-DE"/>
        </w:rPr>
        <w:t xml:space="preserve"> (1</w:t>
      </w:r>
      <w:r>
        <w:rPr>
          <w:rFonts w:ascii="Times New Roman" w:hAnsi="Times New Roman" w:cs="Times New Roman"/>
          <w:sz w:val="24"/>
          <w:szCs w:val="24"/>
          <w:lang w:val="de-DE"/>
        </w:rPr>
        <w:t xml:space="preserve"> </w:t>
      </w:r>
      <w:r w:rsidRPr="00CD1ED0">
        <w:rPr>
          <w:rFonts w:ascii="Times New Roman" w:hAnsi="Times New Roman" w:cs="Times New Roman"/>
          <w:sz w:val="24"/>
          <w:szCs w:val="24"/>
          <w:lang w:val="de-DE"/>
        </w:rPr>
        <w:t>M)</w:t>
      </w:r>
      <w:r w:rsidRPr="00CD1ED0">
        <w:rPr>
          <w:rFonts w:ascii="Times New Roman" w:hAnsi="Times New Roman" w:cs="Times New Roman"/>
          <w:sz w:val="24"/>
          <w:szCs w:val="24"/>
          <w:lang w:val="de-DE"/>
        </w:rPr>
        <w:tab/>
      </w:r>
      <w:r w:rsidRPr="00CD1ED0">
        <w:rPr>
          <w:rFonts w:ascii="Times New Roman" w:hAnsi="Times New Roman" w:cs="Times New Roman"/>
          <w:sz w:val="24"/>
          <w:szCs w:val="24"/>
          <w:lang w:val="de-DE"/>
        </w:rPr>
        <w:tab/>
      </w:r>
      <w:r w:rsidRPr="00CD1ED0">
        <w:rPr>
          <w:rFonts w:ascii="Times New Roman" w:hAnsi="Times New Roman" w:cs="Times New Roman"/>
          <w:sz w:val="24"/>
          <w:szCs w:val="24"/>
          <w:lang w:val="de-DE"/>
        </w:rPr>
        <w:tab/>
      </w:r>
      <w:r w:rsidRPr="00CD1ED0">
        <w:rPr>
          <w:rFonts w:ascii="Times New Roman" w:hAnsi="Times New Roman" w:cs="Times New Roman"/>
          <w:sz w:val="24"/>
          <w:szCs w:val="24"/>
          <w:lang w:val="de-DE"/>
        </w:rPr>
        <w:tab/>
      </w:r>
      <w:r w:rsidRPr="00CD1ED0">
        <w:rPr>
          <w:rFonts w:ascii="Times New Roman" w:hAnsi="Times New Roman" w:cs="Times New Roman"/>
          <w:sz w:val="24"/>
          <w:szCs w:val="24"/>
          <w:lang w:val="de-DE"/>
        </w:rPr>
        <w:tab/>
      </w:r>
      <w:r w:rsidRPr="00CD1ED0">
        <w:rPr>
          <w:rFonts w:ascii="Times New Roman" w:hAnsi="Times New Roman" w:cs="Times New Roman"/>
          <w:sz w:val="24"/>
          <w:szCs w:val="24"/>
          <w:lang w:val="de-DE"/>
        </w:rPr>
        <w:tab/>
      </w:r>
      <w:r w:rsidRPr="00CD1ED0">
        <w:rPr>
          <w:rFonts w:ascii="Times New Roman" w:hAnsi="Times New Roman" w:cs="Times New Roman"/>
          <w:sz w:val="24"/>
          <w:szCs w:val="24"/>
          <w:lang w:val="de-DE"/>
        </w:rPr>
        <w:tab/>
      </w:r>
      <w:r w:rsidRPr="00CD1ED0">
        <w:rPr>
          <w:rFonts w:ascii="Times New Roman" w:hAnsi="Times New Roman" w:cs="Times New Roman"/>
          <w:sz w:val="24"/>
          <w:szCs w:val="24"/>
          <w:lang w:val="de-DE"/>
        </w:rPr>
        <w:tab/>
        <w:t>42.3 ml</w:t>
      </w:r>
    </w:p>
    <w:p w:rsidR="00513C8F" w:rsidRPr="00CD1ED0" w:rsidRDefault="00513C8F" w:rsidP="00513C8F">
      <w:pPr>
        <w:spacing w:after="120" w:line="480" w:lineRule="auto"/>
        <w:jc w:val="both"/>
        <w:rPr>
          <w:rFonts w:ascii="Times New Roman" w:hAnsi="Times New Roman" w:cs="Times New Roman"/>
          <w:sz w:val="24"/>
          <w:szCs w:val="24"/>
        </w:rPr>
      </w:pPr>
      <w:r w:rsidRPr="00CD1ED0">
        <w:rPr>
          <w:rFonts w:ascii="Times New Roman" w:hAnsi="Times New Roman" w:cs="Times New Roman"/>
          <w:sz w:val="24"/>
          <w:szCs w:val="24"/>
        </w:rPr>
        <w:t>The final volume was adjusted to 1 l.</w:t>
      </w:r>
    </w:p>
    <w:p w:rsidR="00513C8F" w:rsidRPr="00CD1ED0" w:rsidRDefault="00513C8F" w:rsidP="00513C8F">
      <w:pPr>
        <w:spacing w:after="120" w:line="480" w:lineRule="auto"/>
        <w:jc w:val="both"/>
        <w:rPr>
          <w:rFonts w:ascii="Times New Roman" w:hAnsi="Times New Roman" w:cs="Times New Roman"/>
          <w:sz w:val="24"/>
          <w:szCs w:val="24"/>
        </w:rPr>
      </w:pPr>
    </w:p>
    <w:p w:rsidR="00513C8F" w:rsidRPr="00CD1ED0" w:rsidRDefault="00513C8F" w:rsidP="00513C8F">
      <w:pPr>
        <w:spacing w:after="120" w:line="480" w:lineRule="auto"/>
        <w:jc w:val="both"/>
        <w:rPr>
          <w:rFonts w:ascii="Times New Roman" w:hAnsi="Times New Roman" w:cs="Times New Roman"/>
          <w:sz w:val="24"/>
          <w:szCs w:val="24"/>
        </w:rPr>
      </w:pPr>
      <w:r w:rsidRPr="00CD1ED0">
        <w:rPr>
          <w:rFonts w:ascii="Times New Roman" w:hAnsi="Times New Roman" w:cs="Times New Roman"/>
          <w:sz w:val="24"/>
          <w:szCs w:val="24"/>
        </w:rPr>
        <w:t>For 16%</w:t>
      </w:r>
      <w:r>
        <w:rPr>
          <w:rFonts w:ascii="Times New Roman" w:hAnsi="Times New Roman" w:cs="Times New Roman"/>
          <w:sz w:val="24"/>
          <w:szCs w:val="24"/>
        </w:rPr>
        <w:t xml:space="preserve"> (w/v)</w:t>
      </w:r>
      <w:r w:rsidRPr="00CD1ED0">
        <w:rPr>
          <w:rFonts w:ascii="Times New Roman" w:hAnsi="Times New Roman" w:cs="Times New Roman"/>
          <w:sz w:val="24"/>
          <w:szCs w:val="24"/>
        </w:rPr>
        <w:t xml:space="preserve"> paraformaldehyde:</w:t>
      </w:r>
    </w:p>
    <w:p w:rsidR="00513C8F" w:rsidRPr="008B4A4C" w:rsidRDefault="00513C8F" w:rsidP="00513C8F">
      <w:pPr>
        <w:spacing w:after="120" w:line="480" w:lineRule="auto"/>
        <w:rPr>
          <w:rFonts w:ascii="Times New Roman" w:hAnsi="Times New Roman" w:cs="Times New Roman"/>
          <w:sz w:val="24"/>
          <w:szCs w:val="24"/>
        </w:rPr>
      </w:pPr>
      <w:r w:rsidRPr="008B4A4C">
        <w:rPr>
          <w:rFonts w:ascii="Times New Roman" w:hAnsi="Times New Roman" w:cs="Times New Roman"/>
          <w:sz w:val="24"/>
          <w:szCs w:val="24"/>
        </w:rPr>
        <w:t>100 mM sodium phosphate buffer (pH 7)</w:t>
      </w:r>
      <w:r w:rsidRPr="008B4A4C">
        <w:rPr>
          <w:rFonts w:ascii="Times New Roman" w:hAnsi="Times New Roman" w:cs="Times New Roman"/>
          <w:sz w:val="24"/>
          <w:szCs w:val="24"/>
        </w:rPr>
        <w:tab/>
      </w:r>
      <w:r w:rsidRPr="008B4A4C">
        <w:rPr>
          <w:rFonts w:ascii="Times New Roman" w:hAnsi="Times New Roman" w:cs="Times New Roman"/>
          <w:sz w:val="24"/>
          <w:szCs w:val="24"/>
        </w:rPr>
        <w:tab/>
      </w:r>
      <w:r w:rsidRPr="008B4A4C">
        <w:rPr>
          <w:rFonts w:ascii="Times New Roman" w:hAnsi="Times New Roman" w:cs="Times New Roman"/>
          <w:sz w:val="24"/>
          <w:szCs w:val="24"/>
        </w:rPr>
        <w:tab/>
      </w:r>
      <w:r w:rsidRPr="008B4A4C">
        <w:rPr>
          <w:rFonts w:ascii="Times New Roman" w:hAnsi="Times New Roman" w:cs="Times New Roman"/>
          <w:sz w:val="24"/>
          <w:szCs w:val="24"/>
        </w:rPr>
        <w:tab/>
      </w:r>
      <w:r w:rsidRPr="008B4A4C">
        <w:rPr>
          <w:rFonts w:ascii="Times New Roman" w:hAnsi="Times New Roman" w:cs="Times New Roman"/>
          <w:sz w:val="24"/>
          <w:szCs w:val="24"/>
        </w:rPr>
        <w:tab/>
        <w:t>50 ml</w:t>
      </w:r>
    </w:p>
    <w:p w:rsidR="00513C8F" w:rsidRPr="008B4A4C" w:rsidRDefault="00513C8F" w:rsidP="00513C8F">
      <w:pPr>
        <w:spacing w:after="120" w:line="480" w:lineRule="auto"/>
        <w:rPr>
          <w:rFonts w:ascii="Times New Roman" w:hAnsi="Times New Roman" w:cs="Times New Roman"/>
          <w:sz w:val="24"/>
          <w:szCs w:val="24"/>
        </w:rPr>
      </w:pPr>
      <w:r w:rsidRPr="008B4A4C">
        <w:rPr>
          <w:rFonts w:ascii="Times New Roman" w:hAnsi="Times New Roman" w:cs="Times New Roman"/>
          <w:sz w:val="24"/>
          <w:szCs w:val="24"/>
        </w:rPr>
        <w:t>Paraformaldehyde</w:t>
      </w:r>
      <w:r w:rsidRPr="008B4A4C">
        <w:rPr>
          <w:rFonts w:ascii="Times New Roman" w:hAnsi="Times New Roman" w:cs="Times New Roman"/>
          <w:sz w:val="24"/>
          <w:szCs w:val="24"/>
        </w:rPr>
        <w:tab/>
      </w:r>
      <w:r w:rsidRPr="008B4A4C">
        <w:rPr>
          <w:rFonts w:ascii="Times New Roman" w:hAnsi="Times New Roman" w:cs="Times New Roman"/>
          <w:sz w:val="24"/>
          <w:szCs w:val="24"/>
        </w:rPr>
        <w:tab/>
      </w:r>
      <w:r w:rsidRPr="008B4A4C">
        <w:rPr>
          <w:rFonts w:ascii="Times New Roman" w:hAnsi="Times New Roman" w:cs="Times New Roman"/>
          <w:sz w:val="24"/>
          <w:szCs w:val="24"/>
        </w:rPr>
        <w:tab/>
      </w:r>
      <w:r w:rsidRPr="008B4A4C">
        <w:rPr>
          <w:rFonts w:ascii="Times New Roman" w:hAnsi="Times New Roman" w:cs="Times New Roman"/>
          <w:sz w:val="24"/>
          <w:szCs w:val="24"/>
        </w:rPr>
        <w:tab/>
      </w:r>
      <w:r w:rsidRPr="008B4A4C">
        <w:rPr>
          <w:rFonts w:ascii="Times New Roman" w:hAnsi="Times New Roman" w:cs="Times New Roman"/>
          <w:sz w:val="24"/>
          <w:szCs w:val="24"/>
        </w:rPr>
        <w:tab/>
      </w:r>
      <w:r w:rsidRPr="008B4A4C">
        <w:rPr>
          <w:rFonts w:ascii="Times New Roman" w:hAnsi="Times New Roman" w:cs="Times New Roman"/>
          <w:sz w:val="24"/>
          <w:szCs w:val="24"/>
        </w:rPr>
        <w:tab/>
      </w:r>
      <w:r w:rsidRPr="008B4A4C">
        <w:rPr>
          <w:rFonts w:ascii="Times New Roman" w:hAnsi="Times New Roman" w:cs="Times New Roman"/>
          <w:sz w:val="24"/>
          <w:szCs w:val="24"/>
        </w:rPr>
        <w:tab/>
      </w:r>
      <w:r w:rsidRPr="008B4A4C">
        <w:rPr>
          <w:rFonts w:ascii="Times New Roman" w:hAnsi="Times New Roman" w:cs="Times New Roman"/>
          <w:sz w:val="24"/>
          <w:szCs w:val="24"/>
        </w:rPr>
        <w:tab/>
        <w:t>8.0 g</w:t>
      </w:r>
    </w:p>
    <w:p w:rsidR="00513C8F" w:rsidRPr="008B4A4C" w:rsidRDefault="00513C8F" w:rsidP="00513C8F">
      <w:pPr>
        <w:spacing w:after="120" w:line="480" w:lineRule="auto"/>
        <w:rPr>
          <w:rFonts w:ascii="Times New Roman" w:hAnsi="Times New Roman" w:cs="Times New Roman"/>
          <w:sz w:val="24"/>
          <w:szCs w:val="24"/>
        </w:rPr>
      </w:pPr>
    </w:p>
    <w:p w:rsidR="00513C8F" w:rsidRDefault="00513C8F" w:rsidP="00513C8F">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The solution was h</w:t>
      </w:r>
      <w:r w:rsidRPr="00CD1ED0">
        <w:rPr>
          <w:rFonts w:ascii="Times New Roman" w:hAnsi="Times New Roman" w:cs="Times New Roman"/>
          <w:sz w:val="24"/>
          <w:szCs w:val="24"/>
        </w:rPr>
        <w:t>eat</w:t>
      </w:r>
      <w:r>
        <w:rPr>
          <w:rFonts w:ascii="Times New Roman" w:hAnsi="Times New Roman" w:cs="Times New Roman"/>
          <w:sz w:val="24"/>
          <w:szCs w:val="24"/>
        </w:rPr>
        <w:t>ed</w:t>
      </w:r>
      <w:r w:rsidRPr="00CD1ED0">
        <w:rPr>
          <w:rFonts w:ascii="Times New Roman" w:hAnsi="Times New Roman" w:cs="Times New Roman"/>
          <w:sz w:val="24"/>
          <w:szCs w:val="24"/>
        </w:rPr>
        <w:t xml:space="preserve"> </w:t>
      </w:r>
      <w:r>
        <w:rPr>
          <w:rFonts w:ascii="Times New Roman" w:hAnsi="Times New Roman" w:cs="Times New Roman"/>
          <w:sz w:val="24"/>
          <w:szCs w:val="24"/>
        </w:rPr>
        <w:t>to</w:t>
      </w:r>
      <w:r w:rsidRPr="00CD1ED0">
        <w:rPr>
          <w:rFonts w:ascii="Times New Roman" w:hAnsi="Times New Roman" w:cs="Times New Roman"/>
          <w:sz w:val="24"/>
          <w:szCs w:val="24"/>
        </w:rPr>
        <w:t xml:space="preserve"> 60°C </w:t>
      </w:r>
      <w:r>
        <w:rPr>
          <w:rFonts w:ascii="Times New Roman" w:hAnsi="Times New Roman" w:cs="Times New Roman"/>
          <w:sz w:val="24"/>
          <w:szCs w:val="24"/>
        </w:rPr>
        <w:t>in a water bath and mixed vigorously</w:t>
      </w:r>
      <w:r w:rsidRPr="00CD1ED0">
        <w:rPr>
          <w:rFonts w:ascii="Times New Roman" w:hAnsi="Times New Roman" w:cs="Times New Roman"/>
          <w:sz w:val="24"/>
          <w:szCs w:val="24"/>
        </w:rPr>
        <w:t>.</w:t>
      </w:r>
      <w:r>
        <w:rPr>
          <w:rFonts w:ascii="Times New Roman" w:hAnsi="Times New Roman" w:cs="Times New Roman"/>
          <w:sz w:val="24"/>
          <w:szCs w:val="24"/>
        </w:rPr>
        <w:t xml:space="preserve"> </w:t>
      </w:r>
      <w:r w:rsidRPr="00CD1ED0">
        <w:rPr>
          <w:rFonts w:ascii="Times New Roman" w:hAnsi="Times New Roman" w:cs="Times New Roman"/>
          <w:sz w:val="24"/>
          <w:szCs w:val="24"/>
        </w:rPr>
        <w:t>NaOH (≥5</w:t>
      </w:r>
      <w:r>
        <w:rPr>
          <w:rFonts w:ascii="Times New Roman" w:hAnsi="Times New Roman" w:cs="Times New Roman"/>
          <w:sz w:val="24"/>
          <w:szCs w:val="24"/>
        </w:rPr>
        <w:t xml:space="preserve"> </w:t>
      </w:r>
      <w:r w:rsidRPr="00CD1ED0">
        <w:rPr>
          <w:rFonts w:ascii="Times New Roman" w:hAnsi="Times New Roman" w:cs="Times New Roman"/>
          <w:sz w:val="24"/>
          <w:szCs w:val="24"/>
        </w:rPr>
        <w:t xml:space="preserve">M) </w:t>
      </w:r>
      <w:r>
        <w:rPr>
          <w:rFonts w:ascii="Times New Roman" w:hAnsi="Times New Roman" w:cs="Times New Roman"/>
          <w:sz w:val="24"/>
          <w:szCs w:val="24"/>
        </w:rPr>
        <w:t xml:space="preserve">solution was added </w:t>
      </w:r>
      <w:r w:rsidRPr="00CD1ED0">
        <w:rPr>
          <w:rFonts w:ascii="Times New Roman" w:hAnsi="Times New Roman" w:cs="Times New Roman"/>
          <w:sz w:val="24"/>
          <w:szCs w:val="24"/>
        </w:rPr>
        <w:t>drop wise</w:t>
      </w:r>
      <w:r>
        <w:rPr>
          <w:rFonts w:ascii="Times New Roman" w:hAnsi="Times New Roman" w:cs="Times New Roman"/>
          <w:sz w:val="24"/>
          <w:szCs w:val="24"/>
        </w:rPr>
        <w:t xml:space="preserve">, with heating and vigorous mixing, </w:t>
      </w:r>
      <w:r w:rsidRPr="00CD1ED0">
        <w:rPr>
          <w:rFonts w:ascii="Times New Roman" w:hAnsi="Times New Roman" w:cs="Times New Roman"/>
          <w:sz w:val="24"/>
          <w:szCs w:val="24"/>
        </w:rPr>
        <w:t>until the solution clear</w:t>
      </w:r>
      <w:r>
        <w:rPr>
          <w:rFonts w:ascii="Times New Roman" w:hAnsi="Times New Roman" w:cs="Times New Roman"/>
          <w:sz w:val="24"/>
          <w:szCs w:val="24"/>
        </w:rPr>
        <w:t>ed</w:t>
      </w:r>
      <w:r w:rsidRPr="00CD1ED0">
        <w:rPr>
          <w:rFonts w:ascii="Times New Roman" w:hAnsi="Times New Roman" w:cs="Times New Roman"/>
          <w:sz w:val="24"/>
          <w:szCs w:val="24"/>
        </w:rPr>
        <w:t>.</w:t>
      </w:r>
      <w:r>
        <w:rPr>
          <w:rFonts w:ascii="Times New Roman" w:hAnsi="Times New Roman" w:cs="Times New Roman"/>
          <w:sz w:val="24"/>
          <w:szCs w:val="24"/>
        </w:rPr>
        <w:t xml:space="preserve"> Solution was stored at 4 </w:t>
      </w:r>
      <w:r w:rsidRPr="00CD1ED0">
        <w:rPr>
          <w:rFonts w:ascii="Times New Roman" w:hAnsi="Times New Roman" w:cs="Times New Roman"/>
          <w:sz w:val="24"/>
          <w:szCs w:val="24"/>
        </w:rPr>
        <w:t>°C</w:t>
      </w:r>
      <w:r>
        <w:rPr>
          <w:rFonts w:ascii="Times New Roman" w:hAnsi="Times New Roman" w:cs="Times New Roman"/>
          <w:sz w:val="24"/>
          <w:szCs w:val="24"/>
        </w:rPr>
        <w:t xml:space="preserve"> for no longer than 8 weeks.</w:t>
      </w:r>
    </w:p>
    <w:p w:rsidR="00513C8F" w:rsidRDefault="00513C8F" w:rsidP="00513C8F">
      <w:pPr>
        <w:spacing w:after="120" w:line="480" w:lineRule="auto"/>
        <w:rPr>
          <w:rFonts w:ascii="Times New Roman" w:hAnsi="Times New Roman" w:cs="Times New Roman"/>
          <w:sz w:val="24"/>
          <w:szCs w:val="24"/>
        </w:rPr>
      </w:pPr>
    </w:p>
    <w:p w:rsidR="00513C8F" w:rsidRPr="00CD1ED0" w:rsidRDefault="00513C8F" w:rsidP="00513C8F">
      <w:pPr>
        <w:spacing w:after="120" w:line="480" w:lineRule="auto"/>
        <w:rPr>
          <w:rFonts w:ascii="Times New Roman" w:hAnsi="Times New Roman" w:cs="Times New Roman"/>
          <w:sz w:val="28"/>
          <w:szCs w:val="28"/>
        </w:rPr>
      </w:pPr>
      <w:r w:rsidRPr="00CD1ED0">
        <w:rPr>
          <w:rFonts w:ascii="Times New Roman" w:hAnsi="Times New Roman" w:cs="Times New Roman"/>
          <w:sz w:val="28"/>
          <w:szCs w:val="28"/>
        </w:rPr>
        <w:t>2.3.9.</w:t>
      </w:r>
      <w:r>
        <w:rPr>
          <w:rFonts w:ascii="Times New Roman" w:hAnsi="Times New Roman" w:cs="Times New Roman"/>
          <w:sz w:val="28"/>
          <w:szCs w:val="28"/>
        </w:rPr>
        <w:t>2</w:t>
      </w:r>
      <w:r w:rsidRPr="00CD1ED0">
        <w:rPr>
          <w:rFonts w:ascii="Times New Roman" w:hAnsi="Times New Roman" w:cs="Times New Roman"/>
          <w:sz w:val="28"/>
          <w:szCs w:val="28"/>
        </w:rPr>
        <w:t>.</w:t>
      </w:r>
      <w:r>
        <w:rPr>
          <w:rFonts w:ascii="Times New Roman" w:hAnsi="Times New Roman" w:cs="Times New Roman"/>
          <w:sz w:val="28"/>
          <w:szCs w:val="28"/>
        </w:rPr>
        <w:tab/>
        <w:t>Fixative</w:t>
      </w:r>
    </w:p>
    <w:p w:rsidR="00513C8F" w:rsidRPr="00E46E95" w:rsidRDefault="00513C8F" w:rsidP="00513C8F">
      <w:pPr>
        <w:spacing w:after="120" w:line="480" w:lineRule="auto"/>
        <w:jc w:val="both"/>
        <w:rPr>
          <w:rFonts w:ascii="Times New Roman" w:hAnsi="Times New Roman" w:cs="Times New Roman"/>
          <w:sz w:val="24"/>
          <w:szCs w:val="24"/>
        </w:rPr>
      </w:pPr>
      <w:r w:rsidRPr="00E46E95">
        <w:rPr>
          <w:rFonts w:ascii="Times New Roman" w:hAnsi="Times New Roman" w:cs="Times New Roman"/>
          <w:sz w:val="24"/>
          <w:szCs w:val="24"/>
        </w:rPr>
        <w:t>Paraformaldehyde, 16 % (w/v)</w:t>
      </w:r>
      <w:r w:rsidRPr="00E46E95">
        <w:rPr>
          <w:rFonts w:ascii="Times New Roman" w:hAnsi="Times New Roman" w:cs="Times New Roman"/>
          <w:sz w:val="24"/>
          <w:szCs w:val="24"/>
        </w:rPr>
        <w:tab/>
      </w:r>
      <w:r w:rsidRPr="00E46E95">
        <w:rPr>
          <w:rFonts w:ascii="Times New Roman" w:hAnsi="Times New Roman" w:cs="Times New Roman"/>
          <w:sz w:val="24"/>
          <w:szCs w:val="24"/>
        </w:rPr>
        <w:tab/>
      </w:r>
      <w:r w:rsidRPr="00E46E95">
        <w:rPr>
          <w:rFonts w:ascii="Times New Roman" w:hAnsi="Times New Roman" w:cs="Times New Roman"/>
          <w:sz w:val="24"/>
          <w:szCs w:val="24"/>
        </w:rPr>
        <w:tab/>
      </w:r>
      <w:r w:rsidRPr="00E46E95">
        <w:rPr>
          <w:rFonts w:ascii="Times New Roman" w:hAnsi="Times New Roman" w:cs="Times New Roman"/>
          <w:sz w:val="24"/>
          <w:szCs w:val="24"/>
        </w:rPr>
        <w:tab/>
      </w:r>
      <w:r w:rsidRPr="00E46E95">
        <w:rPr>
          <w:rFonts w:ascii="Times New Roman" w:hAnsi="Times New Roman" w:cs="Times New Roman"/>
          <w:sz w:val="24"/>
          <w:szCs w:val="24"/>
        </w:rPr>
        <w:tab/>
      </w:r>
      <w:r w:rsidRPr="00E46E95">
        <w:rPr>
          <w:rFonts w:ascii="Times New Roman" w:hAnsi="Times New Roman" w:cs="Times New Roman"/>
          <w:sz w:val="24"/>
          <w:szCs w:val="24"/>
        </w:rPr>
        <w:tab/>
        <w:t>1.68 ml</w:t>
      </w:r>
    </w:p>
    <w:p w:rsidR="00513C8F" w:rsidRPr="00E46E95" w:rsidRDefault="00513C8F" w:rsidP="00513C8F">
      <w:pPr>
        <w:spacing w:after="120" w:line="480" w:lineRule="auto"/>
        <w:jc w:val="both"/>
        <w:rPr>
          <w:rFonts w:ascii="Times New Roman" w:hAnsi="Times New Roman" w:cs="Times New Roman"/>
          <w:sz w:val="24"/>
          <w:szCs w:val="24"/>
        </w:rPr>
      </w:pPr>
      <w:r w:rsidRPr="00E46E95">
        <w:rPr>
          <w:rFonts w:ascii="Times New Roman" w:hAnsi="Times New Roman" w:cs="Times New Roman"/>
          <w:sz w:val="24"/>
          <w:szCs w:val="24"/>
        </w:rPr>
        <w:t>Glutaraldehyde, 25 % (w/v)</w:t>
      </w:r>
      <w:r w:rsidRPr="00E46E95">
        <w:rPr>
          <w:rFonts w:ascii="Times New Roman" w:hAnsi="Times New Roman" w:cs="Times New Roman"/>
          <w:sz w:val="24"/>
          <w:szCs w:val="24"/>
        </w:rPr>
        <w:tab/>
      </w:r>
      <w:r w:rsidRPr="00E46E95">
        <w:rPr>
          <w:rFonts w:ascii="Times New Roman" w:hAnsi="Times New Roman" w:cs="Times New Roman"/>
          <w:sz w:val="24"/>
          <w:szCs w:val="24"/>
        </w:rPr>
        <w:tab/>
      </w:r>
      <w:r w:rsidRPr="00E46E95">
        <w:rPr>
          <w:rFonts w:ascii="Times New Roman" w:hAnsi="Times New Roman" w:cs="Times New Roman"/>
          <w:sz w:val="24"/>
          <w:szCs w:val="24"/>
        </w:rPr>
        <w:tab/>
      </w:r>
      <w:r w:rsidRPr="00E46E95">
        <w:rPr>
          <w:rFonts w:ascii="Times New Roman" w:hAnsi="Times New Roman" w:cs="Times New Roman"/>
          <w:sz w:val="24"/>
          <w:szCs w:val="24"/>
        </w:rPr>
        <w:tab/>
      </w:r>
      <w:r w:rsidRPr="00E46E95">
        <w:rPr>
          <w:rFonts w:ascii="Times New Roman" w:hAnsi="Times New Roman" w:cs="Times New Roman"/>
          <w:sz w:val="24"/>
          <w:szCs w:val="24"/>
        </w:rPr>
        <w:tab/>
      </w:r>
      <w:r w:rsidRPr="00E46E95">
        <w:rPr>
          <w:rFonts w:ascii="Times New Roman" w:hAnsi="Times New Roman" w:cs="Times New Roman"/>
          <w:sz w:val="24"/>
          <w:szCs w:val="24"/>
        </w:rPr>
        <w:tab/>
      </w:r>
      <w:r w:rsidRPr="00E46E95">
        <w:rPr>
          <w:rFonts w:ascii="Times New Roman" w:hAnsi="Times New Roman" w:cs="Times New Roman"/>
          <w:sz w:val="24"/>
          <w:szCs w:val="24"/>
        </w:rPr>
        <w:tab/>
        <w:t>2 µl</w:t>
      </w:r>
    </w:p>
    <w:p w:rsidR="00513C8F" w:rsidRDefault="00513C8F" w:rsidP="00513C8F">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100 mM sodium phosphate buffer (pH 7)</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8.32 ml</w:t>
      </w:r>
    </w:p>
    <w:p w:rsidR="00513C8F" w:rsidRPr="00E46E95" w:rsidRDefault="00513C8F" w:rsidP="00513C8F">
      <w:pPr>
        <w:spacing w:after="120" w:line="480" w:lineRule="auto"/>
        <w:jc w:val="both"/>
        <w:rPr>
          <w:rFonts w:ascii="Times New Roman" w:hAnsi="Times New Roman" w:cs="Times New Roman"/>
          <w:sz w:val="24"/>
          <w:szCs w:val="24"/>
        </w:rPr>
      </w:pPr>
    </w:p>
    <w:p w:rsidR="00513C8F" w:rsidRDefault="00513C8F" w:rsidP="00513C8F">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t>2.4</w:t>
      </w:r>
      <w:r w:rsidRPr="0076399D">
        <w:rPr>
          <w:rFonts w:ascii="Times New Roman" w:hAnsi="Times New Roman" w:cs="Times New Roman"/>
          <w:sz w:val="28"/>
          <w:szCs w:val="28"/>
        </w:rPr>
        <w:tab/>
      </w:r>
      <w:r w:rsidRPr="0076399D">
        <w:rPr>
          <w:rFonts w:ascii="Times New Roman" w:hAnsi="Times New Roman" w:cs="Times New Roman"/>
          <w:sz w:val="28"/>
          <w:szCs w:val="28"/>
        </w:rPr>
        <w:tab/>
        <w:t>Bacterial strains and plasmids</w:t>
      </w:r>
    </w:p>
    <w:p w:rsidR="00513C8F" w:rsidRDefault="00513C8F" w:rsidP="00513C8F">
      <w:pPr>
        <w:spacing w:after="120" w:line="480" w:lineRule="auto"/>
        <w:jc w:val="both"/>
        <w:rPr>
          <w:rFonts w:ascii="Times New Roman" w:hAnsi="Times New Roman" w:cs="Times New Roman"/>
          <w:sz w:val="28"/>
          <w:szCs w:val="28"/>
        </w:rPr>
      </w:pPr>
      <w:r>
        <w:rPr>
          <w:rFonts w:ascii="Times New Roman" w:hAnsi="Times New Roman" w:cs="Times New Roman"/>
          <w:sz w:val="28"/>
          <w:szCs w:val="28"/>
        </w:rPr>
        <w:t>2.4.1</w:t>
      </w:r>
      <w:r>
        <w:rPr>
          <w:rFonts w:ascii="Times New Roman" w:hAnsi="Times New Roman" w:cs="Times New Roman"/>
          <w:sz w:val="28"/>
          <w:szCs w:val="28"/>
        </w:rPr>
        <w:tab/>
      </w:r>
      <w:r>
        <w:rPr>
          <w:rFonts w:ascii="Times New Roman" w:hAnsi="Times New Roman" w:cs="Times New Roman"/>
          <w:sz w:val="28"/>
          <w:szCs w:val="28"/>
        </w:rPr>
        <w:tab/>
      </w:r>
      <w:r w:rsidRPr="001773B4">
        <w:rPr>
          <w:rFonts w:ascii="Times New Roman" w:hAnsi="Times New Roman" w:cs="Times New Roman"/>
          <w:i/>
          <w:sz w:val="28"/>
          <w:szCs w:val="28"/>
        </w:rPr>
        <w:t>Bacillus subtilis</w:t>
      </w:r>
      <w:r>
        <w:rPr>
          <w:rFonts w:ascii="Times New Roman" w:hAnsi="Times New Roman" w:cs="Times New Roman"/>
          <w:sz w:val="28"/>
          <w:szCs w:val="28"/>
        </w:rPr>
        <w:t xml:space="preserve"> strains</w:t>
      </w:r>
    </w:p>
    <w:p w:rsidR="00513C8F" w:rsidRPr="00BE5042" w:rsidRDefault="00513C8F" w:rsidP="00513C8F">
      <w:pPr>
        <w:spacing w:after="120" w:line="480" w:lineRule="auto"/>
        <w:jc w:val="both"/>
        <w:rPr>
          <w:rFonts w:ascii="Times New Roman" w:hAnsi="Times New Roman" w:cs="Times New Roman"/>
          <w:sz w:val="24"/>
          <w:szCs w:val="24"/>
          <w:vertAlign w:val="subscript"/>
        </w:rPr>
      </w:pPr>
      <w:r w:rsidRPr="00BE5042">
        <w:rPr>
          <w:rFonts w:ascii="Times New Roman" w:hAnsi="Times New Roman" w:cs="Times New Roman"/>
          <w:sz w:val="24"/>
          <w:szCs w:val="24"/>
        </w:rPr>
        <w:t xml:space="preserve">The strain used in this study was </w:t>
      </w:r>
      <w:r w:rsidRPr="00BE5042">
        <w:rPr>
          <w:rFonts w:ascii="Times New Roman" w:hAnsi="Times New Roman" w:cs="Times New Roman"/>
          <w:i/>
          <w:sz w:val="24"/>
          <w:szCs w:val="24"/>
        </w:rPr>
        <w:t>B. subtilis</w:t>
      </w:r>
      <w:r w:rsidRPr="00BE5042">
        <w:rPr>
          <w:rFonts w:ascii="Times New Roman" w:hAnsi="Times New Roman" w:cs="Times New Roman"/>
          <w:sz w:val="24"/>
          <w:szCs w:val="24"/>
        </w:rPr>
        <w:t xml:space="preserve"> 168. Routine culture of </w:t>
      </w:r>
      <w:r w:rsidRPr="00BE5042">
        <w:rPr>
          <w:rFonts w:ascii="Times New Roman" w:hAnsi="Times New Roman" w:cs="Times New Roman"/>
          <w:i/>
          <w:sz w:val="24"/>
          <w:szCs w:val="24"/>
        </w:rPr>
        <w:t>B. subtilis</w:t>
      </w:r>
      <w:r w:rsidRPr="00BE5042">
        <w:rPr>
          <w:rFonts w:ascii="Times New Roman" w:hAnsi="Times New Roman" w:cs="Times New Roman"/>
          <w:sz w:val="24"/>
          <w:szCs w:val="24"/>
        </w:rPr>
        <w:t xml:space="preserve"> was on NA plates for solid media, or NB for liquid culture at 37 °C with aeration. Liquid cultures were typically inoculated to a known OD</w:t>
      </w:r>
      <w:r w:rsidRPr="00BE5042">
        <w:rPr>
          <w:rFonts w:ascii="Times New Roman" w:hAnsi="Times New Roman" w:cs="Times New Roman"/>
          <w:sz w:val="24"/>
          <w:szCs w:val="24"/>
          <w:vertAlign w:val="subscript"/>
        </w:rPr>
        <w:t>600</w:t>
      </w:r>
      <w:r w:rsidRPr="00BE5042">
        <w:rPr>
          <w:rFonts w:ascii="Times New Roman" w:hAnsi="Times New Roman" w:cs="Times New Roman"/>
          <w:sz w:val="24"/>
          <w:szCs w:val="24"/>
        </w:rPr>
        <w:t xml:space="preserve"> from an overnight starter culture. </w:t>
      </w:r>
      <w:r w:rsidRPr="00BE5042">
        <w:rPr>
          <w:rFonts w:ascii="Times New Roman" w:hAnsi="Times New Roman" w:cs="Times New Roman"/>
          <w:sz w:val="24"/>
          <w:szCs w:val="24"/>
        </w:rPr>
        <w:lastRenderedPageBreak/>
        <w:t xml:space="preserve">For short term storage, plate cultures were stored at room temperature for up to 48 </w:t>
      </w:r>
      <w:r>
        <w:rPr>
          <w:rFonts w:ascii="Times New Roman" w:hAnsi="Times New Roman" w:cs="Times New Roman"/>
          <w:sz w:val="24"/>
          <w:szCs w:val="24"/>
        </w:rPr>
        <w:t>h</w:t>
      </w:r>
      <w:r w:rsidRPr="00BE5042">
        <w:rPr>
          <w:rFonts w:ascii="Times New Roman" w:hAnsi="Times New Roman" w:cs="Times New Roman"/>
          <w:sz w:val="24"/>
          <w:szCs w:val="24"/>
        </w:rPr>
        <w:t>. For long term storage 20% (v/v) glycerol was combined with an overnight culture, snap frozen in liquid N</w:t>
      </w:r>
      <w:r w:rsidRPr="00BE5042">
        <w:rPr>
          <w:rFonts w:ascii="Times New Roman" w:hAnsi="Times New Roman" w:cs="Times New Roman"/>
          <w:sz w:val="24"/>
          <w:szCs w:val="24"/>
          <w:vertAlign w:val="subscript"/>
        </w:rPr>
        <w:t>2</w:t>
      </w:r>
      <w:r w:rsidRPr="00BE5042">
        <w:rPr>
          <w:rFonts w:ascii="Times New Roman" w:hAnsi="Times New Roman" w:cs="Times New Roman"/>
          <w:sz w:val="24"/>
          <w:szCs w:val="24"/>
        </w:rPr>
        <w:t xml:space="preserve"> and stored at -70 °C.</w:t>
      </w:r>
    </w:p>
    <w:p w:rsidR="00513C8F" w:rsidRDefault="00513C8F" w:rsidP="00513C8F">
      <w:pPr>
        <w:rPr>
          <w:rFonts w:ascii="Times New Roman" w:hAnsi="Times New Roman" w:cs="Times New Roman"/>
          <w:sz w:val="28"/>
          <w:szCs w:val="28"/>
        </w:rPr>
      </w:pPr>
    </w:p>
    <w:p w:rsidR="00513C8F" w:rsidRPr="0076399D" w:rsidRDefault="00513C8F" w:rsidP="00513C8F">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t>2.4.</w:t>
      </w:r>
      <w:r>
        <w:rPr>
          <w:rFonts w:ascii="Times New Roman" w:hAnsi="Times New Roman" w:cs="Times New Roman"/>
          <w:sz w:val="28"/>
          <w:szCs w:val="28"/>
        </w:rPr>
        <w:t>2</w:t>
      </w:r>
      <w:r w:rsidRPr="0076399D">
        <w:rPr>
          <w:rFonts w:ascii="Times New Roman" w:hAnsi="Times New Roman" w:cs="Times New Roman"/>
          <w:sz w:val="28"/>
          <w:szCs w:val="28"/>
        </w:rPr>
        <w:tab/>
      </w:r>
      <w:r w:rsidRPr="0076399D">
        <w:rPr>
          <w:rFonts w:ascii="Times New Roman" w:hAnsi="Times New Roman" w:cs="Times New Roman"/>
          <w:sz w:val="28"/>
          <w:szCs w:val="28"/>
        </w:rPr>
        <w:tab/>
      </w:r>
      <w:r w:rsidRPr="0076399D">
        <w:rPr>
          <w:rFonts w:ascii="Times New Roman" w:hAnsi="Times New Roman" w:cs="Times New Roman"/>
          <w:i/>
          <w:sz w:val="28"/>
          <w:szCs w:val="28"/>
        </w:rPr>
        <w:t>Enterococcus faecalis</w:t>
      </w:r>
      <w:r w:rsidRPr="0076399D">
        <w:rPr>
          <w:rFonts w:ascii="Times New Roman" w:hAnsi="Times New Roman" w:cs="Times New Roman"/>
          <w:sz w:val="28"/>
          <w:szCs w:val="28"/>
        </w:rPr>
        <w:t xml:space="preserve"> strains</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 xml:space="preserve">The strain used in this study was </w:t>
      </w:r>
      <w:r w:rsidRPr="0076399D">
        <w:rPr>
          <w:rFonts w:ascii="Times New Roman" w:hAnsi="Times New Roman" w:cs="Times New Roman"/>
          <w:i/>
          <w:sz w:val="24"/>
          <w:szCs w:val="24"/>
        </w:rPr>
        <w:t xml:space="preserve">E. faecalis </w:t>
      </w:r>
      <w:r w:rsidRPr="0076399D">
        <w:rPr>
          <w:rFonts w:ascii="Times New Roman" w:hAnsi="Times New Roman" w:cs="Times New Roman"/>
          <w:sz w:val="24"/>
          <w:szCs w:val="24"/>
        </w:rPr>
        <w:t xml:space="preserve">JH2-2. Routine culture of </w:t>
      </w:r>
      <w:r w:rsidRPr="0076399D">
        <w:rPr>
          <w:rFonts w:ascii="Times New Roman" w:hAnsi="Times New Roman" w:cs="Times New Roman"/>
          <w:i/>
          <w:sz w:val="24"/>
          <w:szCs w:val="24"/>
        </w:rPr>
        <w:t>E. faecalis</w:t>
      </w:r>
      <w:r w:rsidRPr="0076399D">
        <w:rPr>
          <w:rFonts w:ascii="Times New Roman" w:hAnsi="Times New Roman" w:cs="Times New Roman"/>
          <w:sz w:val="24"/>
          <w:szCs w:val="24"/>
        </w:rPr>
        <w:t xml:space="preserve"> was on TSA plates for solid media, or TSB for liquid culture at 37 °C with aeration. Liquid cultures were typically inoculated to a known OD</w:t>
      </w:r>
      <w:r w:rsidRPr="0076399D">
        <w:rPr>
          <w:rFonts w:ascii="Times New Roman" w:hAnsi="Times New Roman" w:cs="Times New Roman"/>
          <w:sz w:val="24"/>
          <w:szCs w:val="24"/>
          <w:vertAlign w:val="subscript"/>
        </w:rPr>
        <w:t>600</w:t>
      </w:r>
      <w:r w:rsidRPr="0076399D">
        <w:rPr>
          <w:rFonts w:ascii="Times New Roman" w:hAnsi="Times New Roman" w:cs="Times New Roman"/>
          <w:sz w:val="24"/>
          <w:szCs w:val="24"/>
        </w:rPr>
        <w:t xml:space="preserve"> from an overnight starter culture. For short term storage, plate cultures were stored at 4 °C for up two weeks. For long term storage 20% (v/v) glycerol was combined with an overnight culture, snap frozen in liquid N</w:t>
      </w:r>
      <w:r w:rsidRPr="0076399D">
        <w:rPr>
          <w:rFonts w:ascii="Times New Roman" w:hAnsi="Times New Roman" w:cs="Times New Roman"/>
          <w:sz w:val="24"/>
          <w:szCs w:val="24"/>
          <w:vertAlign w:val="subscript"/>
        </w:rPr>
        <w:t>2</w:t>
      </w:r>
      <w:r w:rsidRPr="0076399D">
        <w:rPr>
          <w:rFonts w:ascii="Times New Roman" w:hAnsi="Times New Roman" w:cs="Times New Roman"/>
          <w:sz w:val="24"/>
          <w:szCs w:val="24"/>
        </w:rPr>
        <w:t xml:space="preserve"> and stored at -70 °C.</w:t>
      </w:r>
    </w:p>
    <w:p w:rsidR="00513C8F" w:rsidRPr="0076399D" w:rsidRDefault="00513C8F" w:rsidP="00513C8F">
      <w:pPr>
        <w:spacing w:after="120" w:line="480" w:lineRule="auto"/>
        <w:jc w:val="both"/>
        <w:rPr>
          <w:rFonts w:ascii="Times New Roman" w:hAnsi="Times New Roman" w:cs="Times New Roman"/>
          <w:sz w:val="24"/>
          <w:szCs w:val="24"/>
        </w:rPr>
      </w:pPr>
    </w:p>
    <w:p w:rsidR="00513C8F" w:rsidRPr="0076399D" w:rsidRDefault="00513C8F" w:rsidP="00513C8F">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t>2.4.</w:t>
      </w:r>
      <w:r>
        <w:rPr>
          <w:rFonts w:ascii="Times New Roman" w:hAnsi="Times New Roman" w:cs="Times New Roman"/>
          <w:sz w:val="28"/>
          <w:szCs w:val="28"/>
        </w:rPr>
        <w:t>3</w:t>
      </w:r>
      <w:r w:rsidRPr="0076399D">
        <w:rPr>
          <w:rFonts w:ascii="Times New Roman" w:hAnsi="Times New Roman" w:cs="Times New Roman"/>
          <w:sz w:val="28"/>
          <w:szCs w:val="28"/>
        </w:rPr>
        <w:tab/>
      </w:r>
      <w:r w:rsidRPr="0076399D">
        <w:rPr>
          <w:rFonts w:ascii="Times New Roman" w:hAnsi="Times New Roman" w:cs="Times New Roman"/>
          <w:sz w:val="28"/>
          <w:szCs w:val="28"/>
        </w:rPr>
        <w:tab/>
      </w:r>
      <w:r w:rsidRPr="0076399D">
        <w:rPr>
          <w:rFonts w:ascii="Times New Roman" w:hAnsi="Times New Roman" w:cs="Times New Roman"/>
          <w:i/>
          <w:sz w:val="28"/>
          <w:szCs w:val="28"/>
        </w:rPr>
        <w:t>Escherichia coli</w:t>
      </w:r>
      <w:r w:rsidRPr="0076399D">
        <w:rPr>
          <w:rFonts w:ascii="Times New Roman" w:hAnsi="Times New Roman" w:cs="Times New Roman"/>
          <w:sz w:val="28"/>
          <w:szCs w:val="28"/>
        </w:rPr>
        <w:t xml:space="preserve"> strains</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 xml:space="preserve">The </w:t>
      </w:r>
      <w:r w:rsidRPr="0076399D">
        <w:rPr>
          <w:rFonts w:ascii="Times New Roman" w:hAnsi="Times New Roman" w:cs="Times New Roman"/>
          <w:i/>
          <w:sz w:val="24"/>
          <w:szCs w:val="24"/>
        </w:rPr>
        <w:t>E. coli</w:t>
      </w:r>
      <w:r w:rsidRPr="0076399D">
        <w:rPr>
          <w:rFonts w:ascii="Times New Roman" w:hAnsi="Times New Roman" w:cs="Times New Roman"/>
          <w:sz w:val="24"/>
          <w:szCs w:val="24"/>
        </w:rPr>
        <w:t xml:space="preserve"> strains used in this study are listed in </w:t>
      </w:r>
      <w:r>
        <w:rPr>
          <w:rFonts w:ascii="Times New Roman" w:hAnsi="Times New Roman" w:cs="Times New Roman"/>
          <w:sz w:val="24"/>
          <w:szCs w:val="24"/>
        </w:rPr>
        <w:t>Table</w:t>
      </w:r>
      <w:r w:rsidRPr="0076399D">
        <w:rPr>
          <w:rFonts w:ascii="Times New Roman" w:hAnsi="Times New Roman" w:cs="Times New Roman"/>
          <w:sz w:val="24"/>
          <w:szCs w:val="24"/>
        </w:rPr>
        <w:t xml:space="preserve"> 2.2. Routine culture of </w:t>
      </w:r>
      <w:r w:rsidRPr="0076399D">
        <w:rPr>
          <w:rFonts w:ascii="Times New Roman" w:hAnsi="Times New Roman" w:cs="Times New Roman"/>
          <w:i/>
          <w:sz w:val="24"/>
          <w:szCs w:val="24"/>
        </w:rPr>
        <w:t>E. coli</w:t>
      </w:r>
      <w:r w:rsidRPr="0076399D">
        <w:rPr>
          <w:rFonts w:ascii="Times New Roman" w:hAnsi="Times New Roman" w:cs="Times New Roman"/>
          <w:sz w:val="24"/>
          <w:szCs w:val="24"/>
        </w:rPr>
        <w:t xml:space="preserve"> was on LB agar plates for solid media, or LB for liquid culture at 37 °C with aeration. Liquid cultures were typically inoculated to a known OD</w:t>
      </w:r>
      <w:r w:rsidRPr="0076399D">
        <w:rPr>
          <w:rFonts w:ascii="Times New Roman" w:hAnsi="Times New Roman" w:cs="Times New Roman"/>
          <w:sz w:val="24"/>
          <w:szCs w:val="24"/>
          <w:vertAlign w:val="subscript"/>
        </w:rPr>
        <w:t>600</w:t>
      </w:r>
      <w:r w:rsidRPr="0076399D">
        <w:rPr>
          <w:rFonts w:ascii="Times New Roman" w:hAnsi="Times New Roman" w:cs="Times New Roman"/>
          <w:sz w:val="24"/>
          <w:szCs w:val="24"/>
        </w:rPr>
        <w:t xml:space="preserve"> from an overnight starter culture. For short term storage, plate cultures were stored at 4 °C for up two weeks. For long term storage 20% (v/v) glycerol was combined with an overnight culture, snap frozen in liquid N</w:t>
      </w:r>
      <w:r w:rsidRPr="0076399D">
        <w:rPr>
          <w:rFonts w:ascii="Times New Roman" w:hAnsi="Times New Roman" w:cs="Times New Roman"/>
          <w:sz w:val="24"/>
          <w:szCs w:val="24"/>
          <w:vertAlign w:val="subscript"/>
        </w:rPr>
        <w:t>2</w:t>
      </w:r>
      <w:r w:rsidRPr="0076399D">
        <w:rPr>
          <w:rFonts w:ascii="Times New Roman" w:hAnsi="Times New Roman" w:cs="Times New Roman"/>
          <w:sz w:val="24"/>
          <w:szCs w:val="24"/>
        </w:rPr>
        <w:t xml:space="preserve"> and stored at -70 °C.</w:t>
      </w:r>
    </w:p>
    <w:p w:rsidR="00513C8F" w:rsidRPr="0076399D" w:rsidRDefault="00513C8F" w:rsidP="00513C8F">
      <w:pPr>
        <w:spacing w:line="360" w:lineRule="auto"/>
        <w:jc w:val="both"/>
        <w:rPr>
          <w:rFonts w:ascii="Times New Roman" w:hAnsi="Times New Roman" w:cs="Times New Roman"/>
          <w:sz w:val="24"/>
          <w:szCs w:val="24"/>
        </w:rPr>
      </w:pPr>
    </w:p>
    <w:p w:rsidR="00513C8F" w:rsidRPr="0076399D" w:rsidRDefault="00513C8F" w:rsidP="00513C8F">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t>2.4.</w:t>
      </w:r>
      <w:r>
        <w:rPr>
          <w:rFonts w:ascii="Times New Roman" w:hAnsi="Times New Roman" w:cs="Times New Roman"/>
          <w:sz w:val="28"/>
          <w:szCs w:val="28"/>
        </w:rPr>
        <w:t>4</w:t>
      </w:r>
      <w:r w:rsidRPr="0076399D">
        <w:rPr>
          <w:rFonts w:ascii="Times New Roman" w:hAnsi="Times New Roman" w:cs="Times New Roman"/>
          <w:sz w:val="28"/>
          <w:szCs w:val="28"/>
        </w:rPr>
        <w:tab/>
      </w:r>
      <w:r w:rsidRPr="0076399D">
        <w:rPr>
          <w:rFonts w:ascii="Times New Roman" w:hAnsi="Times New Roman" w:cs="Times New Roman"/>
          <w:sz w:val="28"/>
          <w:szCs w:val="28"/>
        </w:rPr>
        <w:tab/>
      </w:r>
      <w:r w:rsidRPr="0076399D">
        <w:rPr>
          <w:rFonts w:ascii="Times New Roman" w:hAnsi="Times New Roman" w:cs="Times New Roman"/>
          <w:i/>
          <w:sz w:val="28"/>
          <w:szCs w:val="28"/>
        </w:rPr>
        <w:t>Lactococcus lactis</w:t>
      </w:r>
      <w:r w:rsidRPr="0076399D">
        <w:rPr>
          <w:rFonts w:ascii="Times New Roman" w:hAnsi="Times New Roman" w:cs="Times New Roman"/>
          <w:sz w:val="28"/>
          <w:szCs w:val="28"/>
        </w:rPr>
        <w:t xml:space="preserve"> strains</w:t>
      </w:r>
    </w:p>
    <w:p w:rsidR="00513C8F"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 xml:space="preserve">The </w:t>
      </w:r>
      <w:r w:rsidRPr="0076399D">
        <w:rPr>
          <w:rFonts w:ascii="Times New Roman" w:hAnsi="Times New Roman" w:cs="Times New Roman"/>
          <w:i/>
          <w:sz w:val="24"/>
          <w:szCs w:val="24"/>
        </w:rPr>
        <w:t>L. lactis</w:t>
      </w:r>
      <w:r w:rsidRPr="0076399D">
        <w:rPr>
          <w:rFonts w:ascii="Times New Roman" w:hAnsi="Times New Roman" w:cs="Times New Roman"/>
          <w:sz w:val="24"/>
          <w:szCs w:val="24"/>
        </w:rPr>
        <w:t xml:space="preserve"> strains used in this study are listed in </w:t>
      </w:r>
      <w:r>
        <w:rPr>
          <w:rFonts w:ascii="Times New Roman" w:hAnsi="Times New Roman" w:cs="Times New Roman"/>
          <w:sz w:val="24"/>
          <w:szCs w:val="24"/>
        </w:rPr>
        <w:t>Table</w:t>
      </w:r>
      <w:r w:rsidRPr="0076399D">
        <w:rPr>
          <w:rFonts w:ascii="Times New Roman" w:hAnsi="Times New Roman" w:cs="Times New Roman"/>
          <w:sz w:val="24"/>
          <w:szCs w:val="24"/>
        </w:rPr>
        <w:t xml:space="preserve"> 2.3. Routine culture of </w:t>
      </w:r>
      <w:r w:rsidRPr="0076399D">
        <w:rPr>
          <w:rFonts w:ascii="Times New Roman" w:hAnsi="Times New Roman" w:cs="Times New Roman"/>
          <w:i/>
          <w:sz w:val="24"/>
          <w:szCs w:val="24"/>
        </w:rPr>
        <w:t>L. lactis</w:t>
      </w:r>
      <w:r w:rsidRPr="0076399D">
        <w:rPr>
          <w:rFonts w:ascii="Times New Roman" w:hAnsi="Times New Roman" w:cs="Times New Roman"/>
          <w:sz w:val="24"/>
          <w:szCs w:val="24"/>
        </w:rPr>
        <w:t xml:space="preserve"> was on M17 agar plates for solid media, or M17 for liquid culture at 30 °C with </w:t>
      </w:r>
      <w:r w:rsidRPr="0076399D">
        <w:rPr>
          <w:rFonts w:ascii="Times New Roman" w:hAnsi="Times New Roman" w:cs="Times New Roman"/>
          <w:sz w:val="24"/>
          <w:szCs w:val="24"/>
        </w:rPr>
        <w:lastRenderedPageBreak/>
        <w:t>aeration. Liquid cultures were typically inoculated to a known OD</w:t>
      </w:r>
      <w:r w:rsidRPr="0076399D">
        <w:rPr>
          <w:rFonts w:ascii="Times New Roman" w:hAnsi="Times New Roman" w:cs="Times New Roman"/>
          <w:sz w:val="24"/>
          <w:szCs w:val="24"/>
          <w:vertAlign w:val="subscript"/>
        </w:rPr>
        <w:t>600</w:t>
      </w:r>
      <w:r w:rsidRPr="0076399D">
        <w:rPr>
          <w:rFonts w:ascii="Times New Roman" w:hAnsi="Times New Roman" w:cs="Times New Roman"/>
          <w:sz w:val="24"/>
          <w:szCs w:val="24"/>
        </w:rPr>
        <w:t xml:space="preserve"> from an overnight starter culture. For short term storage, plate cultures were stored at 4 °C for up two weeks. For long term storage 20% (v/v) glycerol was combined with an overnight culture, snap frozen in liquid N</w:t>
      </w:r>
      <w:r w:rsidRPr="0076399D">
        <w:rPr>
          <w:rFonts w:ascii="Times New Roman" w:hAnsi="Times New Roman" w:cs="Times New Roman"/>
          <w:sz w:val="24"/>
          <w:szCs w:val="24"/>
          <w:vertAlign w:val="subscript"/>
        </w:rPr>
        <w:t>2</w:t>
      </w:r>
      <w:r w:rsidRPr="0076399D">
        <w:rPr>
          <w:rFonts w:ascii="Times New Roman" w:hAnsi="Times New Roman" w:cs="Times New Roman"/>
          <w:sz w:val="24"/>
          <w:szCs w:val="24"/>
        </w:rPr>
        <w:t xml:space="preserve"> and stored at -70 °C.</w:t>
      </w:r>
    </w:p>
    <w:p w:rsidR="00513C8F" w:rsidRPr="0076399D" w:rsidRDefault="00513C8F" w:rsidP="00513C8F">
      <w:pPr>
        <w:spacing w:after="120" w:line="480" w:lineRule="auto"/>
        <w:jc w:val="both"/>
        <w:rPr>
          <w:rFonts w:ascii="Times New Roman" w:hAnsi="Times New Roman" w:cs="Times New Roman"/>
          <w:sz w:val="24"/>
          <w:szCs w:val="24"/>
        </w:rPr>
      </w:pPr>
    </w:p>
    <w:p w:rsidR="00513C8F" w:rsidRPr="0076399D" w:rsidRDefault="00513C8F" w:rsidP="00513C8F">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t>2.4.</w:t>
      </w:r>
      <w:r>
        <w:rPr>
          <w:rFonts w:ascii="Times New Roman" w:hAnsi="Times New Roman" w:cs="Times New Roman"/>
          <w:sz w:val="28"/>
          <w:szCs w:val="28"/>
        </w:rPr>
        <w:t>5</w:t>
      </w:r>
      <w:r w:rsidRPr="0076399D">
        <w:rPr>
          <w:rFonts w:ascii="Times New Roman" w:hAnsi="Times New Roman" w:cs="Times New Roman"/>
          <w:sz w:val="28"/>
          <w:szCs w:val="28"/>
        </w:rPr>
        <w:tab/>
      </w:r>
      <w:r w:rsidRPr="0076399D">
        <w:rPr>
          <w:rFonts w:ascii="Times New Roman" w:hAnsi="Times New Roman" w:cs="Times New Roman"/>
          <w:sz w:val="28"/>
          <w:szCs w:val="28"/>
        </w:rPr>
        <w:tab/>
      </w:r>
      <w:r w:rsidRPr="0076399D">
        <w:rPr>
          <w:rFonts w:ascii="Times New Roman" w:hAnsi="Times New Roman" w:cs="Times New Roman"/>
          <w:i/>
          <w:sz w:val="28"/>
          <w:szCs w:val="28"/>
        </w:rPr>
        <w:t>Streptococcus pneumoniae</w:t>
      </w:r>
      <w:r w:rsidRPr="0076399D">
        <w:rPr>
          <w:rFonts w:ascii="Times New Roman" w:hAnsi="Times New Roman" w:cs="Times New Roman"/>
          <w:sz w:val="28"/>
          <w:szCs w:val="28"/>
        </w:rPr>
        <w:t xml:space="preserve"> strains</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 xml:space="preserve">The </w:t>
      </w:r>
      <w:r w:rsidRPr="0076399D">
        <w:rPr>
          <w:rFonts w:ascii="Times New Roman" w:hAnsi="Times New Roman" w:cs="Times New Roman"/>
          <w:i/>
          <w:sz w:val="24"/>
          <w:szCs w:val="24"/>
        </w:rPr>
        <w:t>S. pneumoniae</w:t>
      </w:r>
      <w:r w:rsidRPr="0076399D">
        <w:rPr>
          <w:rFonts w:ascii="Times New Roman" w:hAnsi="Times New Roman" w:cs="Times New Roman"/>
          <w:sz w:val="24"/>
          <w:szCs w:val="24"/>
        </w:rPr>
        <w:t xml:space="preserve"> strain used in this study </w:t>
      </w:r>
      <w:r>
        <w:rPr>
          <w:rFonts w:ascii="Times New Roman" w:hAnsi="Times New Roman" w:cs="Times New Roman"/>
          <w:sz w:val="24"/>
          <w:szCs w:val="24"/>
        </w:rPr>
        <w:t xml:space="preserve">was </w:t>
      </w:r>
      <w:r>
        <w:rPr>
          <w:rFonts w:ascii="Times New Roman" w:hAnsi="Times New Roman" w:cs="Times New Roman"/>
          <w:i/>
          <w:sz w:val="24"/>
          <w:szCs w:val="24"/>
        </w:rPr>
        <w:t xml:space="preserve">S. pneumoniae </w:t>
      </w:r>
      <w:r>
        <w:rPr>
          <w:rFonts w:ascii="Times New Roman" w:hAnsi="Times New Roman" w:cs="Times New Roman"/>
          <w:sz w:val="24"/>
          <w:szCs w:val="24"/>
        </w:rPr>
        <w:t>R6, an avirulent, unencapsulated derivative of D39</w:t>
      </w:r>
      <w:r w:rsidRPr="0076399D">
        <w:rPr>
          <w:rFonts w:ascii="Times New Roman" w:hAnsi="Times New Roman" w:cs="Times New Roman"/>
          <w:sz w:val="24"/>
          <w:szCs w:val="24"/>
        </w:rPr>
        <w:t xml:space="preserve">. Routine culture of </w:t>
      </w:r>
      <w:r w:rsidRPr="0076399D">
        <w:rPr>
          <w:rFonts w:ascii="Times New Roman" w:hAnsi="Times New Roman" w:cs="Times New Roman"/>
          <w:i/>
          <w:sz w:val="24"/>
          <w:szCs w:val="24"/>
        </w:rPr>
        <w:t>S. pneumoniae</w:t>
      </w:r>
      <w:r w:rsidRPr="0076399D">
        <w:rPr>
          <w:rFonts w:ascii="Times New Roman" w:hAnsi="Times New Roman" w:cs="Times New Roman"/>
          <w:sz w:val="24"/>
          <w:szCs w:val="24"/>
        </w:rPr>
        <w:t xml:space="preserve"> was on THY blood agar plates for solid media, or </w:t>
      </w:r>
      <w:proofErr w:type="gramStart"/>
      <w:r w:rsidRPr="0076399D">
        <w:rPr>
          <w:rFonts w:ascii="Times New Roman" w:hAnsi="Times New Roman" w:cs="Times New Roman"/>
          <w:sz w:val="24"/>
          <w:szCs w:val="24"/>
        </w:rPr>
        <w:t>THY for</w:t>
      </w:r>
      <w:proofErr w:type="gramEnd"/>
      <w:r w:rsidRPr="0076399D">
        <w:rPr>
          <w:rFonts w:ascii="Times New Roman" w:hAnsi="Times New Roman" w:cs="Times New Roman"/>
          <w:sz w:val="24"/>
          <w:szCs w:val="24"/>
        </w:rPr>
        <w:t xml:space="preserve"> liquid culture at 37 °C without aeration. Liquid cultures were typically inoculated to a known OD</w:t>
      </w:r>
      <w:r w:rsidRPr="0076399D">
        <w:rPr>
          <w:rFonts w:ascii="Times New Roman" w:hAnsi="Times New Roman" w:cs="Times New Roman"/>
          <w:sz w:val="24"/>
          <w:szCs w:val="24"/>
          <w:vertAlign w:val="subscript"/>
        </w:rPr>
        <w:t>600</w:t>
      </w:r>
      <w:r w:rsidRPr="0076399D">
        <w:rPr>
          <w:rFonts w:ascii="Times New Roman" w:hAnsi="Times New Roman" w:cs="Times New Roman"/>
          <w:sz w:val="24"/>
          <w:szCs w:val="24"/>
        </w:rPr>
        <w:t xml:space="preserve"> from an exponential phase starter culture. </w:t>
      </w:r>
      <w:r>
        <w:rPr>
          <w:rFonts w:ascii="Times New Roman" w:hAnsi="Times New Roman" w:cs="Times New Roman"/>
          <w:sz w:val="24"/>
          <w:szCs w:val="24"/>
        </w:rPr>
        <w:t>P</w:t>
      </w:r>
      <w:r w:rsidRPr="0076399D">
        <w:rPr>
          <w:rFonts w:ascii="Times New Roman" w:hAnsi="Times New Roman" w:cs="Times New Roman"/>
          <w:sz w:val="24"/>
          <w:szCs w:val="24"/>
        </w:rPr>
        <w:t>late cultures were stored at room temperature for no longer than 48 hours. For long term storage 20% (v/v) glycerol was combined with an overnight culture, snap frozen in liquid N</w:t>
      </w:r>
      <w:r w:rsidRPr="0076399D">
        <w:rPr>
          <w:rFonts w:ascii="Times New Roman" w:hAnsi="Times New Roman" w:cs="Times New Roman"/>
          <w:sz w:val="24"/>
          <w:szCs w:val="24"/>
          <w:vertAlign w:val="subscript"/>
        </w:rPr>
        <w:t>2</w:t>
      </w:r>
      <w:r w:rsidRPr="0076399D">
        <w:rPr>
          <w:rFonts w:ascii="Times New Roman" w:hAnsi="Times New Roman" w:cs="Times New Roman"/>
          <w:sz w:val="24"/>
          <w:szCs w:val="24"/>
        </w:rPr>
        <w:t xml:space="preserve"> and stored at -70</w:t>
      </w:r>
      <w:r w:rsidRPr="00A06F09">
        <w:t xml:space="preserve"> </w:t>
      </w:r>
      <w:r w:rsidRPr="0076399D">
        <w:rPr>
          <w:rFonts w:ascii="Times New Roman" w:hAnsi="Times New Roman" w:cs="Times New Roman"/>
          <w:sz w:val="24"/>
          <w:szCs w:val="24"/>
        </w:rPr>
        <w:t>°C.</w:t>
      </w:r>
    </w:p>
    <w:p w:rsidR="00513C8F" w:rsidRDefault="00513C8F" w:rsidP="00513C8F">
      <w:pPr>
        <w:spacing w:after="120" w:line="480" w:lineRule="auto"/>
        <w:jc w:val="both"/>
        <w:rPr>
          <w:rFonts w:ascii="Times New Roman" w:hAnsi="Times New Roman" w:cs="Times New Roman"/>
          <w:sz w:val="24"/>
          <w:szCs w:val="24"/>
        </w:rPr>
      </w:pPr>
    </w:p>
    <w:p w:rsidR="00513C8F" w:rsidRPr="0076399D" w:rsidRDefault="00513C8F" w:rsidP="00513C8F">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t>2.4.</w:t>
      </w:r>
      <w:r>
        <w:rPr>
          <w:rFonts w:ascii="Times New Roman" w:hAnsi="Times New Roman" w:cs="Times New Roman"/>
          <w:sz w:val="28"/>
          <w:szCs w:val="28"/>
        </w:rPr>
        <w:t>6</w:t>
      </w:r>
      <w:r w:rsidRPr="0076399D">
        <w:rPr>
          <w:rFonts w:ascii="Times New Roman" w:hAnsi="Times New Roman" w:cs="Times New Roman"/>
          <w:sz w:val="28"/>
          <w:szCs w:val="28"/>
        </w:rPr>
        <w:tab/>
      </w:r>
      <w:r w:rsidRPr="0076399D">
        <w:rPr>
          <w:rFonts w:ascii="Times New Roman" w:hAnsi="Times New Roman" w:cs="Times New Roman"/>
          <w:sz w:val="28"/>
          <w:szCs w:val="28"/>
        </w:rPr>
        <w:tab/>
      </w:r>
      <w:r w:rsidRPr="0076399D">
        <w:rPr>
          <w:rFonts w:ascii="Times New Roman" w:hAnsi="Times New Roman" w:cs="Times New Roman"/>
          <w:i/>
          <w:sz w:val="28"/>
          <w:szCs w:val="28"/>
        </w:rPr>
        <w:t>Staphylococcus aureus</w:t>
      </w:r>
      <w:r w:rsidRPr="0076399D">
        <w:rPr>
          <w:rFonts w:ascii="Times New Roman" w:hAnsi="Times New Roman" w:cs="Times New Roman"/>
          <w:sz w:val="28"/>
          <w:szCs w:val="28"/>
        </w:rPr>
        <w:t xml:space="preserve"> strains</w:t>
      </w:r>
    </w:p>
    <w:p w:rsidR="00513C8F" w:rsidRPr="0076399D" w:rsidRDefault="00513C8F" w:rsidP="00513C8F">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 xml:space="preserve">The </w:t>
      </w:r>
      <w:r w:rsidRPr="0076399D">
        <w:rPr>
          <w:rFonts w:ascii="Times New Roman" w:hAnsi="Times New Roman" w:cs="Times New Roman"/>
          <w:i/>
          <w:sz w:val="24"/>
          <w:szCs w:val="24"/>
        </w:rPr>
        <w:t>S. aureus</w:t>
      </w:r>
      <w:r w:rsidRPr="0076399D">
        <w:rPr>
          <w:rFonts w:ascii="Times New Roman" w:hAnsi="Times New Roman" w:cs="Times New Roman"/>
          <w:sz w:val="24"/>
          <w:szCs w:val="24"/>
        </w:rPr>
        <w:t xml:space="preserve"> strains used in this study are listed in </w:t>
      </w:r>
      <w:r>
        <w:rPr>
          <w:rFonts w:ascii="Times New Roman" w:hAnsi="Times New Roman" w:cs="Times New Roman"/>
          <w:sz w:val="24"/>
          <w:szCs w:val="24"/>
        </w:rPr>
        <w:t>Table</w:t>
      </w:r>
      <w:r w:rsidRPr="0076399D">
        <w:rPr>
          <w:rFonts w:ascii="Times New Roman" w:hAnsi="Times New Roman" w:cs="Times New Roman"/>
          <w:sz w:val="24"/>
          <w:szCs w:val="24"/>
        </w:rPr>
        <w:t xml:space="preserve"> 2.4. Routine culture of </w:t>
      </w:r>
      <w:r w:rsidRPr="0076399D">
        <w:rPr>
          <w:rFonts w:ascii="Times New Roman" w:hAnsi="Times New Roman" w:cs="Times New Roman"/>
          <w:i/>
          <w:sz w:val="24"/>
          <w:szCs w:val="24"/>
        </w:rPr>
        <w:t>S.</w:t>
      </w:r>
      <w:r>
        <w:rPr>
          <w:rFonts w:ascii="Times New Roman" w:hAnsi="Times New Roman" w:cs="Times New Roman"/>
          <w:i/>
          <w:sz w:val="24"/>
          <w:szCs w:val="24"/>
        </w:rPr>
        <w:t> </w:t>
      </w:r>
      <w:r w:rsidRPr="0076399D">
        <w:rPr>
          <w:rFonts w:ascii="Times New Roman" w:hAnsi="Times New Roman" w:cs="Times New Roman"/>
          <w:i/>
          <w:sz w:val="24"/>
          <w:szCs w:val="24"/>
        </w:rPr>
        <w:t>aureus</w:t>
      </w:r>
      <w:r w:rsidRPr="0076399D">
        <w:rPr>
          <w:rFonts w:ascii="Times New Roman" w:hAnsi="Times New Roman" w:cs="Times New Roman"/>
          <w:sz w:val="24"/>
          <w:szCs w:val="24"/>
        </w:rPr>
        <w:t xml:space="preserve"> was on TSB agar plates for solid media, or TSB for liquid culture at 37 °C with aeration. Liquid cultures were typically inoculated to a known OD</w:t>
      </w:r>
      <w:r w:rsidRPr="0076399D">
        <w:rPr>
          <w:rFonts w:ascii="Times New Roman" w:hAnsi="Times New Roman" w:cs="Times New Roman"/>
          <w:sz w:val="24"/>
          <w:szCs w:val="24"/>
          <w:vertAlign w:val="subscript"/>
        </w:rPr>
        <w:t>600</w:t>
      </w:r>
      <w:r w:rsidRPr="0076399D">
        <w:rPr>
          <w:rFonts w:ascii="Times New Roman" w:hAnsi="Times New Roman" w:cs="Times New Roman"/>
          <w:sz w:val="24"/>
          <w:szCs w:val="24"/>
        </w:rPr>
        <w:t xml:space="preserve"> from an overnight starter culture. For short term storage, plate cultures were stored at 4 °C for up two weeks. For long term storage 20% (v/v) glycerol was combined with an overnight culture, snap frozen in liquid N</w:t>
      </w:r>
      <w:r w:rsidRPr="0076399D">
        <w:rPr>
          <w:rFonts w:ascii="Times New Roman" w:hAnsi="Times New Roman" w:cs="Times New Roman"/>
          <w:sz w:val="24"/>
          <w:szCs w:val="24"/>
          <w:vertAlign w:val="subscript"/>
        </w:rPr>
        <w:t>2</w:t>
      </w:r>
      <w:r w:rsidRPr="0076399D">
        <w:rPr>
          <w:rFonts w:ascii="Times New Roman" w:hAnsi="Times New Roman" w:cs="Times New Roman"/>
          <w:sz w:val="24"/>
          <w:szCs w:val="24"/>
        </w:rPr>
        <w:t xml:space="preserve"> and stored at -70 °C.</w:t>
      </w:r>
    </w:p>
    <w:p w:rsidR="00513C8F" w:rsidRDefault="00513C8F" w:rsidP="00513C8F">
      <w:pPr>
        <w:rPr>
          <w:rFonts w:ascii="Times New Roman" w:hAnsi="Times New Roman" w:cs="Times New Roman"/>
          <w:b/>
          <w:sz w:val="24"/>
          <w:szCs w:val="24"/>
        </w:rPr>
      </w:pPr>
      <w:r>
        <w:rPr>
          <w:rFonts w:ascii="Times New Roman" w:hAnsi="Times New Roman" w:cs="Times New Roman"/>
          <w:b/>
          <w:sz w:val="24"/>
          <w:szCs w:val="24"/>
        </w:rPr>
        <w:br w:type="page"/>
      </w:r>
    </w:p>
    <w:p w:rsidR="002D7C9B" w:rsidRPr="004954B7" w:rsidRDefault="002D7C9B" w:rsidP="002D7C9B">
      <w:pPr>
        <w:jc w:val="both"/>
        <w:rPr>
          <w:rFonts w:ascii="Times New Roman" w:hAnsi="Times New Roman" w:cs="Times New Roman"/>
          <w:b/>
          <w:sz w:val="24"/>
          <w:szCs w:val="24"/>
        </w:rPr>
      </w:pPr>
      <w:r w:rsidRPr="004954B7">
        <w:rPr>
          <w:rFonts w:ascii="Times New Roman" w:hAnsi="Times New Roman" w:cs="Times New Roman"/>
          <w:b/>
          <w:sz w:val="24"/>
          <w:szCs w:val="24"/>
        </w:rPr>
        <w:lastRenderedPageBreak/>
        <w:t xml:space="preserve">Table 2.2 </w:t>
      </w:r>
      <w:r w:rsidRPr="004954B7">
        <w:rPr>
          <w:rFonts w:ascii="Times New Roman" w:hAnsi="Times New Roman" w:cs="Times New Roman"/>
          <w:b/>
          <w:i/>
          <w:sz w:val="24"/>
          <w:szCs w:val="24"/>
        </w:rPr>
        <w:t xml:space="preserve">E. coli </w:t>
      </w:r>
      <w:r w:rsidRPr="004954B7">
        <w:rPr>
          <w:rFonts w:ascii="Times New Roman" w:hAnsi="Times New Roman" w:cs="Times New Roman"/>
          <w:b/>
          <w:sz w:val="24"/>
          <w:szCs w:val="24"/>
        </w:rPr>
        <w:t>strains used in this study</w:t>
      </w:r>
    </w:p>
    <w:tbl>
      <w:tblPr>
        <w:tblStyle w:val="TableGrid"/>
        <w:tblW w:w="0" w:type="auto"/>
        <w:tblLook w:val="04A0"/>
      </w:tblPr>
      <w:tblGrid>
        <w:gridCol w:w="1825"/>
        <w:gridCol w:w="4104"/>
        <w:gridCol w:w="2791"/>
      </w:tblGrid>
      <w:tr w:rsidR="002D7C9B" w:rsidRPr="0076399D" w:rsidTr="002D7C9B">
        <w:tc>
          <w:tcPr>
            <w:tcW w:w="1951" w:type="dxa"/>
            <w:tcBorders>
              <w:left w:val="nil"/>
              <w:bottom w:val="single" w:sz="4" w:space="0" w:color="auto"/>
              <w:right w:val="nil"/>
            </w:tcBorders>
            <w:tcMar>
              <w:top w:w="57" w:type="dxa"/>
              <w:bottom w:w="85" w:type="dxa"/>
            </w:tcMar>
          </w:tcPr>
          <w:p w:rsidR="002D7C9B" w:rsidRPr="0076399D" w:rsidRDefault="002D7C9B" w:rsidP="002D7C9B">
            <w:pPr>
              <w:jc w:val="center"/>
              <w:rPr>
                <w:rFonts w:ascii="Times New Roman" w:hAnsi="Times New Roman" w:cs="Times New Roman"/>
                <w:b/>
              </w:rPr>
            </w:pPr>
            <w:r w:rsidRPr="0076399D">
              <w:rPr>
                <w:rFonts w:ascii="Times New Roman" w:hAnsi="Times New Roman" w:cs="Times New Roman"/>
                <w:b/>
              </w:rPr>
              <w:t>Strain</w:t>
            </w:r>
          </w:p>
        </w:tc>
        <w:tc>
          <w:tcPr>
            <w:tcW w:w="4253" w:type="dxa"/>
            <w:tcBorders>
              <w:left w:val="nil"/>
              <w:bottom w:val="single" w:sz="4" w:space="0" w:color="auto"/>
              <w:right w:val="nil"/>
            </w:tcBorders>
            <w:tcMar>
              <w:top w:w="57" w:type="dxa"/>
              <w:bottom w:w="85" w:type="dxa"/>
            </w:tcMar>
          </w:tcPr>
          <w:p w:rsidR="002D7C9B" w:rsidRPr="0076399D" w:rsidRDefault="002D7C9B" w:rsidP="002D7C9B">
            <w:pPr>
              <w:jc w:val="center"/>
              <w:rPr>
                <w:rFonts w:ascii="Times New Roman" w:hAnsi="Times New Roman" w:cs="Times New Roman"/>
                <w:b/>
              </w:rPr>
            </w:pPr>
            <w:r w:rsidRPr="0076399D">
              <w:rPr>
                <w:rFonts w:ascii="Times New Roman" w:hAnsi="Times New Roman" w:cs="Times New Roman"/>
                <w:b/>
              </w:rPr>
              <w:t>Relevant background/genotype/markers</w:t>
            </w:r>
          </w:p>
        </w:tc>
        <w:tc>
          <w:tcPr>
            <w:tcW w:w="3038" w:type="dxa"/>
            <w:tcBorders>
              <w:left w:val="nil"/>
              <w:bottom w:val="single" w:sz="4" w:space="0" w:color="auto"/>
              <w:right w:val="nil"/>
            </w:tcBorders>
            <w:tcMar>
              <w:top w:w="57" w:type="dxa"/>
              <w:bottom w:w="85" w:type="dxa"/>
            </w:tcMar>
          </w:tcPr>
          <w:p w:rsidR="002D7C9B" w:rsidRPr="0076399D" w:rsidRDefault="002D7C9B" w:rsidP="002D7C9B">
            <w:pPr>
              <w:jc w:val="center"/>
              <w:rPr>
                <w:rFonts w:ascii="Times New Roman" w:hAnsi="Times New Roman" w:cs="Times New Roman"/>
                <w:b/>
              </w:rPr>
            </w:pPr>
            <w:r w:rsidRPr="0076399D">
              <w:rPr>
                <w:rFonts w:ascii="Times New Roman" w:hAnsi="Times New Roman" w:cs="Times New Roman"/>
                <w:b/>
              </w:rPr>
              <w:t>Source</w:t>
            </w:r>
          </w:p>
        </w:tc>
      </w:tr>
      <w:tr w:rsidR="002D7C9B" w:rsidRPr="0076399D" w:rsidTr="002D7C9B">
        <w:tc>
          <w:tcPr>
            <w:tcW w:w="1951" w:type="dxa"/>
            <w:tcBorders>
              <w:left w:val="nil"/>
              <w:bottom w:val="nil"/>
              <w:right w:val="nil"/>
            </w:tcBorders>
            <w:tcMar>
              <w:top w:w="57" w:type="dxa"/>
              <w:bottom w:w="85" w:type="dxa"/>
            </w:tcMar>
            <w:vAlign w:val="center"/>
          </w:tcPr>
          <w:p w:rsidR="002D7C9B" w:rsidRPr="0076399D" w:rsidRDefault="002D7C9B" w:rsidP="002D7C9B">
            <w:pPr>
              <w:jc w:val="center"/>
              <w:rPr>
                <w:rFonts w:ascii="Times New Roman" w:hAnsi="Times New Roman" w:cs="Times New Roman"/>
              </w:rPr>
            </w:pPr>
            <w:r w:rsidRPr="0076399D">
              <w:rPr>
                <w:rFonts w:ascii="Times New Roman" w:hAnsi="Times New Roman" w:cs="Times New Roman"/>
              </w:rPr>
              <w:t>BL21 (DE3)</w:t>
            </w:r>
          </w:p>
        </w:tc>
        <w:tc>
          <w:tcPr>
            <w:tcW w:w="4253" w:type="dxa"/>
            <w:tcBorders>
              <w:left w:val="nil"/>
              <w:bottom w:val="nil"/>
              <w:right w:val="nil"/>
            </w:tcBorders>
            <w:tcMar>
              <w:top w:w="57" w:type="dxa"/>
              <w:bottom w:w="85" w:type="dxa"/>
            </w:tcMar>
            <w:vAlign w:val="center"/>
          </w:tcPr>
          <w:p w:rsidR="002D7C9B" w:rsidRPr="0076399D" w:rsidRDefault="002D7C9B" w:rsidP="002D7C9B">
            <w:pPr>
              <w:jc w:val="center"/>
              <w:rPr>
                <w:rFonts w:ascii="Times New Roman" w:hAnsi="Times New Roman" w:cs="Times New Roman"/>
              </w:rPr>
            </w:pPr>
            <w:r w:rsidRPr="0076399D">
              <w:rPr>
                <w:rFonts w:ascii="Times New Roman" w:hAnsi="Times New Roman" w:cs="Times New Roman"/>
              </w:rPr>
              <w:t>F</w:t>
            </w:r>
            <w:r w:rsidRPr="0076399D">
              <w:rPr>
                <w:rFonts w:ascii="Times New Roman" w:hAnsi="Times New Roman" w:cs="Times New Roman"/>
                <w:vertAlign w:val="superscript"/>
              </w:rPr>
              <w:t>-</w:t>
            </w:r>
            <w:r w:rsidRPr="0076399D">
              <w:rPr>
                <w:rFonts w:ascii="Times New Roman" w:hAnsi="Times New Roman" w:cs="Times New Roman"/>
              </w:rPr>
              <w:t xml:space="preserve"> </w:t>
            </w:r>
            <w:r w:rsidRPr="0076399D">
              <w:rPr>
                <w:rFonts w:ascii="Times New Roman" w:hAnsi="Times New Roman" w:cs="Times New Roman"/>
                <w:i/>
              </w:rPr>
              <w:t>ompT hsdS</w:t>
            </w:r>
            <w:r w:rsidRPr="0076399D">
              <w:rPr>
                <w:rFonts w:ascii="Times New Roman" w:hAnsi="Times New Roman" w:cs="Times New Roman"/>
                <w:i/>
                <w:vertAlign w:val="subscript"/>
              </w:rPr>
              <w:t>B</w:t>
            </w:r>
            <w:r w:rsidRPr="0076399D">
              <w:rPr>
                <w:rFonts w:ascii="Times New Roman" w:hAnsi="Times New Roman" w:cs="Times New Roman"/>
                <w:i/>
              </w:rPr>
              <w:t xml:space="preserve"> </w:t>
            </w:r>
            <w:r w:rsidRPr="0076399D">
              <w:rPr>
                <w:rFonts w:ascii="Times New Roman" w:hAnsi="Times New Roman" w:cs="Times New Roman"/>
              </w:rPr>
              <w:t>(r</w:t>
            </w:r>
            <w:r w:rsidRPr="0076399D">
              <w:rPr>
                <w:rFonts w:ascii="Times New Roman" w:hAnsi="Times New Roman" w:cs="Times New Roman"/>
                <w:vertAlign w:val="subscript"/>
              </w:rPr>
              <w:t>B</w:t>
            </w:r>
            <w:r w:rsidRPr="0076399D">
              <w:rPr>
                <w:rFonts w:ascii="Times New Roman" w:hAnsi="Times New Roman" w:cs="Times New Roman"/>
                <w:vertAlign w:val="superscript"/>
              </w:rPr>
              <w:t>-</w:t>
            </w:r>
            <w:r w:rsidRPr="0076399D">
              <w:rPr>
                <w:rFonts w:ascii="Times New Roman" w:hAnsi="Times New Roman" w:cs="Times New Roman"/>
              </w:rPr>
              <w:t xml:space="preserve"> m</w:t>
            </w:r>
            <w:r w:rsidRPr="0076399D">
              <w:rPr>
                <w:rFonts w:ascii="Times New Roman" w:hAnsi="Times New Roman" w:cs="Times New Roman"/>
                <w:vertAlign w:val="subscript"/>
              </w:rPr>
              <w:t>B</w:t>
            </w:r>
            <w:r w:rsidRPr="0076399D">
              <w:rPr>
                <w:rFonts w:ascii="Times New Roman" w:hAnsi="Times New Roman" w:cs="Times New Roman"/>
                <w:vertAlign w:val="superscript"/>
              </w:rPr>
              <w:t>-</w:t>
            </w:r>
            <w:r w:rsidRPr="0076399D">
              <w:rPr>
                <w:rFonts w:ascii="Times New Roman" w:hAnsi="Times New Roman" w:cs="Times New Roman"/>
              </w:rPr>
              <w:t xml:space="preserve">) </w:t>
            </w:r>
            <w:r w:rsidRPr="0076399D">
              <w:rPr>
                <w:rFonts w:ascii="Times New Roman" w:hAnsi="Times New Roman" w:cs="Times New Roman"/>
                <w:i/>
              </w:rPr>
              <w:t xml:space="preserve">gal dcm </w:t>
            </w:r>
            <w:r w:rsidRPr="0076399D">
              <w:rPr>
                <w:rFonts w:ascii="Times New Roman" w:hAnsi="Times New Roman" w:cs="Times New Roman"/>
              </w:rPr>
              <w:t>(DE3)</w:t>
            </w:r>
          </w:p>
        </w:tc>
        <w:tc>
          <w:tcPr>
            <w:tcW w:w="3038" w:type="dxa"/>
            <w:tcBorders>
              <w:left w:val="nil"/>
              <w:bottom w:val="nil"/>
              <w:right w:val="nil"/>
            </w:tcBorders>
            <w:tcMar>
              <w:top w:w="57" w:type="dxa"/>
              <w:bottom w:w="85" w:type="dxa"/>
            </w:tcMar>
            <w:vAlign w:val="center"/>
          </w:tcPr>
          <w:p w:rsidR="002D7C9B" w:rsidRPr="0076399D" w:rsidRDefault="002D7C9B" w:rsidP="002D7C9B">
            <w:pPr>
              <w:jc w:val="center"/>
              <w:rPr>
                <w:rFonts w:ascii="Times New Roman" w:hAnsi="Times New Roman" w:cs="Times New Roman"/>
              </w:rPr>
            </w:pPr>
            <w:r w:rsidRPr="0076399D">
              <w:rPr>
                <w:rFonts w:ascii="Times New Roman" w:hAnsi="Times New Roman" w:cs="Times New Roman"/>
              </w:rPr>
              <w:t>Novagen</w:t>
            </w:r>
          </w:p>
        </w:tc>
      </w:tr>
      <w:tr w:rsidR="002D7C9B" w:rsidRPr="0076399D" w:rsidTr="002D7C9B">
        <w:tc>
          <w:tcPr>
            <w:tcW w:w="1951" w:type="dxa"/>
            <w:tcBorders>
              <w:top w:val="nil"/>
              <w:left w:val="nil"/>
              <w:bottom w:val="nil"/>
              <w:right w:val="nil"/>
            </w:tcBorders>
            <w:tcMar>
              <w:top w:w="57" w:type="dxa"/>
              <w:bottom w:w="85" w:type="dxa"/>
            </w:tcMar>
            <w:vAlign w:val="center"/>
          </w:tcPr>
          <w:p w:rsidR="002D7C9B" w:rsidRPr="0076399D" w:rsidRDefault="002D7C9B" w:rsidP="002D7C9B">
            <w:pPr>
              <w:jc w:val="center"/>
              <w:rPr>
                <w:rFonts w:ascii="Times New Roman" w:hAnsi="Times New Roman" w:cs="Times New Roman"/>
              </w:rPr>
            </w:pPr>
            <w:r w:rsidRPr="0076399D">
              <w:rPr>
                <w:rFonts w:ascii="Times New Roman" w:hAnsi="Times New Roman" w:cs="Times New Roman"/>
              </w:rPr>
              <w:t>Top10</w:t>
            </w:r>
          </w:p>
        </w:tc>
        <w:tc>
          <w:tcPr>
            <w:tcW w:w="4253" w:type="dxa"/>
            <w:tcBorders>
              <w:top w:val="nil"/>
              <w:left w:val="nil"/>
              <w:bottom w:val="nil"/>
              <w:right w:val="nil"/>
            </w:tcBorders>
            <w:tcMar>
              <w:top w:w="57" w:type="dxa"/>
              <w:bottom w:w="85" w:type="dxa"/>
            </w:tcMar>
            <w:vAlign w:val="center"/>
          </w:tcPr>
          <w:p w:rsidR="002D7C9B" w:rsidRPr="0076399D" w:rsidRDefault="002D7C9B" w:rsidP="002D7C9B">
            <w:pPr>
              <w:jc w:val="center"/>
              <w:rPr>
                <w:rFonts w:ascii="Times New Roman" w:hAnsi="Times New Roman" w:cs="Times New Roman"/>
              </w:rPr>
            </w:pPr>
            <w:r w:rsidRPr="0076399D">
              <w:rPr>
                <w:rFonts w:ascii="Times New Roman" w:hAnsi="Times New Roman" w:cs="Times New Roman"/>
              </w:rPr>
              <w:t>F</w:t>
            </w:r>
            <w:r w:rsidRPr="0076399D">
              <w:rPr>
                <w:rFonts w:ascii="Times New Roman" w:hAnsi="Times New Roman" w:cs="Times New Roman"/>
                <w:vertAlign w:val="superscript"/>
              </w:rPr>
              <w:t>-</w:t>
            </w:r>
            <w:r w:rsidRPr="0076399D">
              <w:rPr>
                <w:rFonts w:ascii="Times New Roman" w:hAnsi="Times New Roman" w:cs="Times New Roman"/>
              </w:rPr>
              <w:t xml:space="preserve"> </w:t>
            </w:r>
            <w:r w:rsidRPr="0076399D">
              <w:rPr>
                <w:rFonts w:ascii="Times New Roman" w:hAnsi="Times New Roman" w:cs="Times New Roman"/>
                <w:i/>
              </w:rPr>
              <w:t>mcrA</w:t>
            </w:r>
            <w:r w:rsidRPr="0076399D">
              <w:rPr>
                <w:rFonts w:ascii="Times New Roman" w:hAnsi="Times New Roman" w:cs="Times New Roman"/>
              </w:rPr>
              <w:t xml:space="preserve"> Δ(mrr-hsdRMS-mcrBC) φ80 </w:t>
            </w:r>
            <w:r w:rsidRPr="0076399D">
              <w:rPr>
                <w:rFonts w:ascii="Times New Roman" w:hAnsi="Times New Roman" w:cs="Times New Roman"/>
                <w:i/>
              </w:rPr>
              <w:t>lacZ</w:t>
            </w:r>
            <w:r w:rsidRPr="0076399D">
              <w:rPr>
                <w:rFonts w:ascii="Times New Roman" w:hAnsi="Times New Roman" w:cs="Times New Roman"/>
              </w:rPr>
              <w:t xml:space="preserve"> Δ</w:t>
            </w:r>
            <w:r w:rsidRPr="0076399D">
              <w:rPr>
                <w:rFonts w:ascii="Times New Roman" w:hAnsi="Times New Roman" w:cs="Times New Roman"/>
                <w:i/>
              </w:rPr>
              <w:t>M15</w:t>
            </w:r>
            <w:r w:rsidRPr="0076399D">
              <w:rPr>
                <w:rFonts w:ascii="Times New Roman" w:hAnsi="Times New Roman" w:cs="Times New Roman"/>
              </w:rPr>
              <w:t xml:space="preserve"> Δ</w:t>
            </w:r>
            <w:r w:rsidRPr="0076399D">
              <w:rPr>
                <w:rFonts w:ascii="Times New Roman" w:hAnsi="Times New Roman" w:cs="Times New Roman"/>
                <w:i/>
              </w:rPr>
              <w:t>lacX74 recA1 deoR araD139</w:t>
            </w:r>
            <w:r w:rsidRPr="0076399D">
              <w:rPr>
                <w:rFonts w:ascii="Times New Roman" w:hAnsi="Times New Roman" w:cs="Times New Roman"/>
              </w:rPr>
              <w:t xml:space="preserve"> Δ(</w:t>
            </w:r>
            <w:r w:rsidRPr="0076399D">
              <w:rPr>
                <w:rFonts w:ascii="Times New Roman" w:hAnsi="Times New Roman" w:cs="Times New Roman"/>
                <w:i/>
              </w:rPr>
              <w:t>ara-leu</w:t>
            </w:r>
            <w:r w:rsidRPr="0076399D">
              <w:rPr>
                <w:rFonts w:ascii="Times New Roman" w:hAnsi="Times New Roman" w:cs="Times New Roman"/>
              </w:rPr>
              <w:t xml:space="preserve">) </w:t>
            </w:r>
            <w:r w:rsidRPr="0076399D">
              <w:rPr>
                <w:rFonts w:ascii="Times New Roman" w:hAnsi="Times New Roman" w:cs="Times New Roman"/>
                <w:i/>
              </w:rPr>
              <w:t>7697 galK rpsL</w:t>
            </w:r>
            <w:r w:rsidRPr="0076399D">
              <w:rPr>
                <w:rFonts w:ascii="Times New Roman" w:hAnsi="Times New Roman" w:cs="Times New Roman"/>
              </w:rPr>
              <w:t xml:space="preserve"> (Str</w:t>
            </w:r>
            <w:r w:rsidRPr="0076399D">
              <w:rPr>
                <w:rFonts w:ascii="Times New Roman" w:hAnsi="Times New Roman" w:cs="Times New Roman"/>
                <w:vertAlign w:val="superscript"/>
              </w:rPr>
              <w:t>R</w:t>
            </w:r>
            <w:r w:rsidRPr="0076399D">
              <w:rPr>
                <w:rFonts w:ascii="Times New Roman" w:hAnsi="Times New Roman" w:cs="Times New Roman"/>
              </w:rPr>
              <w:t xml:space="preserve">) </w:t>
            </w:r>
            <w:r w:rsidRPr="0076399D">
              <w:rPr>
                <w:rFonts w:ascii="Times New Roman" w:hAnsi="Times New Roman" w:cs="Times New Roman"/>
                <w:i/>
              </w:rPr>
              <w:t>endA1 nupG</w:t>
            </w:r>
          </w:p>
        </w:tc>
        <w:tc>
          <w:tcPr>
            <w:tcW w:w="3038" w:type="dxa"/>
            <w:tcBorders>
              <w:top w:val="nil"/>
              <w:left w:val="nil"/>
              <w:bottom w:val="nil"/>
              <w:right w:val="nil"/>
            </w:tcBorders>
            <w:tcMar>
              <w:top w:w="57" w:type="dxa"/>
              <w:bottom w:w="85" w:type="dxa"/>
            </w:tcMar>
            <w:vAlign w:val="center"/>
          </w:tcPr>
          <w:p w:rsidR="002D7C9B" w:rsidRPr="0076399D" w:rsidRDefault="002D7C9B" w:rsidP="002D7C9B">
            <w:pPr>
              <w:jc w:val="center"/>
              <w:rPr>
                <w:rFonts w:ascii="Times New Roman" w:hAnsi="Times New Roman" w:cs="Times New Roman"/>
              </w:rPr>
            </w:pPr>
            <w:r w:rsidRPr="0076399D">
              <w:rPr>
                <w:rFonts w:ascii="Times New Roman" w:hAnsi="Times New Roman" w:cs="Times New Roman"/>
              </w:rPr>
              <w:t>Invitrogen</w:t>
            </w:r>
          </w:p>
        </w:tc>
      </w:tr>
      <w:tr w:rsidR="002D7C9B" w:rsidRPr="00B75472" w:rsidTr="002D7C9B">
        <w:tc>
          <w:tcPr>
            <w:tcW w:w="1951" w:type="dxa"/>
            <w:tcBorders>
              <w:top w:val="nil"/>
              <w:left w:val="nil"/>
              <w:bottom w:val="nil"/>
              <w:right w:val="nil"/>
            </w:tcBorders>
            <w:tcMar>
              <w:top w:w="57" w:type="dxa"/>
              <w:bottom w:w="85" w:type="dxa"/>
            </w:tcMar>
            <w:vAlign w:val="center"/>
          </w:tcPr>
          <w:p w:rsidR="002D7C9B" w:rsidRPr="0076399D" w:rsidRDefault="002D7C9B" w:rsidP="002D7C9B">
            <w:pPr>
              <w:jc w:val="center"/>
              <w:rPr>
                <w:rFonts w:ascii="Times New Roman" w:hAnsi="Times New Roman" w:cs="Times New Roman"/>
              </w:rPr>
            </w:pPr>
            <w:r>
              <w:rPr>
                <w:rFonts w:ascii="Times New Roman" w:hAnsi="Times New Roman" w:cs="Times New Roman"/>
              </w:rPr>
              <w:t>SJF2195</w:t>
            </w:r>
          </w:p>
        </w:tc>
        <w:tc>
          <w:tcPr>
            <w:tcW w:w="4253" w:type="dxa"/>
            <w:tcBorders>
              <w:top w:val="nil"/>
              <w:left w:val="nil"/>
              <w:bottom w:val="nil"/>
              <w:right w:val="nil"/>
            </w:tcBorders>
            <w:tcMar>
              <w:top w:w="57" w:type="dxa"/>
              <w:bottom w:w="85" w:type="dxa"/>
            </w:tcMar>
            <w:vAlign w:val="center"/>
          </w:tcPr>
          <w:p w:rsidR="002D7C9B" w:rsidRPr="00B75472" w:rsidRDefault="002D7C9B" w:rsidP="002D7C9B">
            <w:pPr>
              <w:jc w:val="center"/>
              <w:rPr>
                <w:rFonts w:ascii="Times New Roman" w:hAnsi="Times New Roman" w:cs="Times New Roman"/>
              </w:rPr>
            </w:pPr>
            <w:r w:rsidRPr="00B75472">
              <w:rPr>
                <w:rFonts w:ascii="Times New Roman" w:hAnsi="Times New Roman" w:cs="Times New Roman"/>
              </w:rPr>
              <w:t>BL21 (DE3) pSRC003</w:t>
            </w:r>
          </w:p>
        </w:tc>
        <w:tc>
          <w:tcPr>
            <w:tcW w:w="3038" w:type="dxa"/>
            <w:tcBorders>
              <w:top w:val="nil"/>
              <w:left w:val="nil"/>
              <w:bottom w:val="nil"/>
              <w:right w:val="nil"/>
            </w:tcBorders>
            <w:tcMar>
              <w:top w:w="57" w:type="dxa"/>
              <w:bottom w:w="85" w:type="dxa"/>
            </w:tcMar>
            <w:vAlign w:val="center"/>
          </w:tcPr>
          <w:p w:rsidR="002D7C9B" w:rsidRPr="00B75472" w:rsidRDefault="002D7C9B" w:rsidP="002D7C9B">
            <w:pPr>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{"citationID":"2h41vvdd57","properties":{"formattedCitation":"(Clarke et al., 2006)","plainCitation":"(Clarke et al., 2006)"},"citationItems":[{"id":75,"uris":["http://zotero.org/users/944474/items/T2I9UKF5"],"uri":["http://zotero.org/users/944474/items/T2I9UKF5"],"itemData":{"id":75,"type":"article-journal","title":"Identification of in vivo-expressed antigens of Staphylococcus aureus and their use in vaccinations for protection against nasal carriage","container-title":"The Journal of Infectious Diseases","page":"1098-1108","volume":"193","issue":"8","abstract":"A spectrum of in vivo-expressed Staphylococcus aureus antigens was identified by probing bacteriophage expression libraries of S. aureus with serum samples from infected and uninfected individuals. Eleven recombinant antigenic proteins were produced, and specific antibody titers in a large collection of human serum samples were determined. Significantly increased concentrations of reactive immunoglobulin G (IgG) to 7 antigens were found in serum samples from ill individuals, compared with those in healthy individuals. Significantly higher concentrations of reactive IgG to 4 antigens, including iron-responsive surface determinant (Isd) A and IsdH, were found in serum samples from healthy individuals who were not nasal carriers of S. aureus, compared with those in healthy carriers. Vaccination of cotton rats with IsdA or IsdH protected against nasal carriage. Also, IsdA is involved in adherence of S. aureus to human desquamated nasal epithelial cells and is required for nasal colonization in the cotton rat model. Thus, vaccination with these antigens may prevent S. aureus carriage and reduce the prevalence of human disease.","DOI":"10.1086/501471","note":"PMID: 16544250","journalAbbreviation":"J. Infect. Dis.","author":[{"family":"Clarke","given":"Simon R"},{"family":"Brummell","given":"Kirsten J"},{"family":"Horsburgh","given":"Malcolm J"},{"family":"McDowell","given":"Philip W"},{"family":"Mohamad","given":"Sharifah A Syed"},{"family":"Stapleton","given":"Melanie R"},{"family":"Acevedo","given":"Jorge"},{"family":"Read","given":"Robert C"},{"family":"Day","given":"Nicholas P J"},{"family":"Peacock","given":"Sharon J"},{"family":"Mond","given":"James J"},{"family":"Kokai-Kun","given":"John F"},{"family":"Foster","given":"Simon J"}],"issued":{"year":2006,"month":4,"day":15},"accessed":{"year":2012,"month":3,"day":7},"page-first":"1098"}}],"schema":"https://github.com/citation-style-language/schema/raw/master/csl-citation.json"} </w:instrText>
            </w:r>
            <w:r>
              <w:rPr>
                <w:rFonts w:ascii="Times New Roman" w:hAnsi="Times New Roman" w:cs="Times New Roman"/>
              </w:rPr>
              <w:fldChar w:fldCharType="separate"/>
            </w:r>
            <w:r w:rsidRPr="00B75472">
              <w:rPr>
                <w:rFonts w:ascii="Times New Roman" w:hAnsi="Times New Roman" w:cs="Times New Roman"/>
              </w:rPr>
              <w:t xml:space="preserve">(Clarke </w:t>
            </w:r>
            <w:r w:rsidRPr="009C5F2F">
              <w:rPr>
                <w:rFonts w:ascii="Times New Roman" w:hAnsi="Times New Roman" w:cs="Times New Roman"/>
                <w:i/>
              </w:rPr>
              <w:t>et al</w:t>
            </w:r>
            <w:r w:rsidRPr="00B75472">
              <w:rPr>
                <w:rFonts w:ascii="Times New Roman" w:hAnsi="Times New Roman" w:cs="Times New Roman"/>
              </w:rPr>
              <w:t>., 2006)</w:t>
            </w:r>
            <w:r>
              <w:rPr>
                <w:rFonts w:ascii="Times New Roman" w:hAnsi="Times New Roman" w:cs="Times New Roman"/>
              </w:rPr>
              <w:fldChar w:fldCharType="end"/>
            </w:r>
          </w:p>
        </w:tc>
      </w:tr>
      <w:tr w:rsidR="002D7C9B" w:rsidRPr="0076399D" w:rsidTr="002D7C9B">
        <w:tc>
          <w:tcPr>
            <w:tcW w:w="1951" w:type="dxa"/>
            <w:tcBorders>
              <w:top w:val="nil"/>
              <w:left w:val="nil"/>
              <w:bottom w:val="nil"/>
              <w:right w:val="nil"/>
            </w:tcBorders>
            <w:tcMar>
              <w:top w:w="57" w:type="dxa"/>
              <w:bottom w:w="85" w:type="dxa"/>
            </w:tcMar>
            <w:vAlign w:val="center"/>
          </w:tcPr>
          <w:p w:rsidR="002D7C9B" w:rsidRDefault="002D7C9B" w:rsidP="002D7C9B">
            <w:pPr>
              <w:jc w:val="center"/>
              <w:rPr>
                <w:rFonts w:ascii="Times New Roman" w:hAnsi="Times New Roman" w:cs="Times New Roman"/>
              </w:rPr>
            </w:pPr>
            <w:r>
              <w:rPr>
                <w:rFonts w:ascii="Times New Roman" w:hAnsi="Times New Roman" w:cs="Times New Roman"/>
              </w:rPr>
              <w:t>SJF3061</w:t>
            </w:r>
          </w:p>
        </w:tc>
        <w:tc>
          <w:tcPr>
            <w:tcW w:w="4253" w:type="dxa"/>
            <w:tcBorders>
              <w:top w:val="nil"/>
              <w:left w:val="nil"/>
              <w:bottom w:val="nil"/>
              <w:right w:val="nil"/>
            </w:tcBorders>
            <w:tcMar>
              <w:top w:w="57" w:type="dxa"/>
              <w:bottom w:w="85" w:type="dxa"/>
            </w:tcMar>
            <w:vAlign w:val="center"/>
          </w:tcPr>
          <w:p w:rsidR="002D7C9B" w:rsidRPr="0076399D" w:rsidRDefault="002D7C9B" w:rsidP="002D7C9B">
            <w:pPr>
              <w:jc w:val="center"/>
              <w:rPr>
                <w:rFonts w:ascii="Times New Roman" w:hAnsi="Times New Roman" w:cs="Times New Roman"/>
              </w:rPr>
            </w:pPr>
            <w:r w:rsidRPr="00B75472">
              <w:rPr>
                <w:rFonts w:ascii="Times New Roman" w:hAnsi="Times New Roman" w:cs="Times New Roman"/>
              </w:rPr>
              <w:t xml:space="preserve">BL21 (DE3) </w:t>
            </w:r>
            <w:r>
              <w:rPr>
                <w:rFonts w:ascii="Times New Roman" w:hAnsi="Times New Roman" w:cs="Times New Roman"/>
              </w:rPr>
              <w:t>pSRC002</w:t>
            </w:r>
          </w:p>
        </w:tc>
        <w:tc>
          <w:tcPr>
            <w:tcW w:w="3038" w:type="dxa"/>
            <w:tcBorders>
              <w:top w:val="nil"/>
              <w:left w:val="nil"/>
              <w:bottom w:val="nil"/>
              <w:right w:val="nil"/>
            </w:tcBorders>
            <w:tcMar>
              <w:top w:w="57" w:type="dxa"/>
              <w:bottom w:w="85" w:type="dxa"/>
            </w:tcMar>
            <w:vAlign w:val="center"/>
          </w:tcPr>
          <w:p w:rsidR="002D7C9B" w:rsidRPr="0076399D" w:rsidRDefault="002D7C9B" w:rsidP="002D7C9B">
            <w:pPr>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{"citationID":"1aqe9lku7n","properties":{"formattedCitation":"(Clarke et al., 2006)","plainCitation":"(Clarke et al., 2006)"},"citationItems":[{"id":75,"uris":["http://zotero.org/users/944474/items/T2I9UKF5"],"uri":["http://zotero.org/users/944474/items/T2I9UKF5"],"itemData":{"id":75,"type":"article-journal","title":"Identification of in vivo-expressed antigens of Staphylococcus aureus and their use in vaccinations for protection against nasal carriage","container-title":"The Journal of Infectious Diseases","page":"1098-1108","volume":"193","issue":"8","abstract":"A spectrum of in vivo-expressed Staphylococcus aureus antigens was identified by probing bacteriophage expression libraries of S. aureus with serum samples from infected and uninfected individuals. Eleven recombinant antigenic proteins were produced, and specific antibody titers in a large collection of human serum samples were determined. Significantly increased concentrations of reactive immunoglobulin G (IgG) to 7 antigens were found in serum samples from ill individuals, compared with those in healthy individuals. Significantly higher concentrations of reactive IgG to 4 antigens, including iron-responsive surface determinant (Isd) A and IsdH, were found in serum samples from healthy individuals who were not nasal carriers of S. aureus, compared with those in healthy carriers. Vaccination of cotton rats with IsdA or IsdH protected against nasal carriage. Also, IsdA is involved in adherence of S. aureus to human desquamated nasal epithelial cells and is required for nasal colonization in the cotton rat model. Thus, vaccination with these antigens may prevent S. aureus carriage and reduce the prevalence of human disease.","DOI":"10.1086/501471","note":"PMID: 16544250","journalAbbreviation":"J. Infect. Dis.","author":[{"family":"Clarke","given":"Simon R"},{"family":"Brummell","given":"Kirsten J"},{"family":"Horsburgh","given":"Malcolm J"},{"family":"McDowell","given":"Philip W"},{"family":"Mohamad","given":"Sharifah A Syed"},{"family":"Stapleton","given":"Melanie R"},{"family":"Acevedo","given":"Jorge"},{"family":"Read","given":"Robert C"},{"family":"Day","given":"Nicholas P J"},{"family":"Peacock","given":"Sharon J"},{"family":"Mond","given":"James J"},{"family":"Kokai-Kun","given":"John F"},{"family":"Foster","given":"Simon J"}],"issued":{"year":2006,"month":4,"day":15},"accessed":{"year":2012,"month":3,"day":7},"page-first":"1098"}}],"schema":"https://github.com/citation-style-language/schema/raw/master/csl-citation.json"} </w:instrText>
            </w:r>
            <w:r>
              <w:rPr>
                <w:rFonts w:ascii="Times New Roman" w:hAnsi="Times New Roman" w:cs="Times New Roman"/>
              </w:rPr>
              <w:fldChar w:fldCharType="separate"/>
            </w:r>
            <w:r w:rsidRPr="00B75472">
              <w:rPr>
                <w:rFonts w:ascii="Times New Roman" w:hAnsi="Times New Roman" w:cs="Times New Roman"/>
              </w:rPr>
              <w:t xml:space="preserve">(Clarke </w:t>
            </w:r>
            <w:r w:rsidRPr="009C5F2F">
              <w:rPr>
                <w:rFonts w:ascii="Times New Roman" w:hAnsi="Times New Roman" w:cs="Times New Roman"/>
                <w:i/>
              </w:rPr>
              <w:t>et al</w:t>
            </w:r>
            <w:r w:rsidRPr="00B75472">
              <w:rPr>
                <w:rFonts w:ascii="Times New Roman" w:hAnsi="Times New Roman" w:cs="Times New Roman"/>
              </w:rPr>
              <w:t>., 2006)</w:t>
            </w:r>
            <w:r>
              <w:rPr>
                <w:rFonts w:ascii="Times New Roman" w:hAnsi="Times New Roman" w:cs="Times New Roman"/>
              </w:rPr>
              <w:fldChar w:fldCharType="end"/>
            </w:r>
          </w:p>
        </w:tc>
      </w:tr>
      <w:tr w:rsidR="002D7C9B" w:rsidRPr="0076399D" w:rsidTr="002D7C9B">
        <w:tc>
          <w:tcPr>
            <w:tcW w:w="1951" w:type="dxa"/>
            <w:tcBorders>
              <w:top w:val="nil"/>
              <w:left w:val="nil"/>
              <w:right w:val="nil"/>
            </w:tcBorders>
            <w:tcMar>
              <w:top w:w="57" w:type="dxa"/>
              <w:bottom w:w="85" w:type="dxa"/>
            </w:tcMar>
            <w:vAlign w:val="center"/>
          </w:tcPr>
          <w:p w:rsidR="002D7C9B" w:rsidRDefault="002D7C9B" w:rsidP="002D7C9B">
            <w:pPr>
              <w:jc w:val="center"/>
              <w:rPr>
                <w:rFonts w:ascii="Times New Roman" w:hAnsi="Times New Roman" w:cs="Times New Roman"/>
              </w:rPr>
            </w:pPr>
            <w:r>
              <w:rPr>
                <w:rFonts w:ascii="Times New Roman" w:hAnsi="Times New Roman" w:cs="Times New Roman"/>
              </w:rPr>
              <w:t>SJF3062</w:t>
            </w:r>
          </w:p>
        </w:tc>
        <w:tc>
          <w:tcPr>
            <w:tcW w:w="4253" w:type="dxa"/>
            <w:tcBorders>
              <w:top w:val="nil"/>
              <w:left w:val="nil"/>
              <w:right w:val="nil"/>
            </w:tcBorders>
            <w:tcMar>
              <w:top w:w="57" w:type="dxa"/>
              <w:bottom w:w="85" w:type="dxa"/>
            </w:tcMar>
            <w:vAlign w:val="center"/>
          </w:tcPr>
          <w:p w:rsidR="002D7C9B" w:rsidRPr="00B75472" w:rsidRDefault="002D7C9B" w:rsidP="002D7C9B">
            <w:pPr>
              <w:jc w:val="center"/>
              <w:rPr>
                <w:rFonts w:ascii="Times New Roman" w:hAnsi="Times New Roman" w:cs="Times New Roman"/>
              </w:rPr>
            </w:pPr>
            <w:r w:rsidRPr="00B75472">
              <w:rPr>
                <w:rFonts w:ascii="Times New Roman" w:hAnsi="Times New Roman" w:cs="Times New Roman"/>
              </w:rPr>
              <w:t>BL21 (DE3)</w:t>
            </w:r>
            <w:r>
              <w:rPr>
                <w:rFonts w:ascii="Times New Roman" w:hAnsi="Times New Roman" w:cs="Times New Roman"/>
              </w:rPr>
              <w:t xml:space="preserve"> pET24d+ </w:t>
            </w:r>
            <w:r w:rsidRPr="00B75472">
              <w:rPr>
                <w:rFonts w:ascii="Times New Roman" w:hAnsi="Times New Roman" w:cs="Times New Roman"/>
                <w:i/>
              </w:rPr>
              <w:t>sagB</w:t>
            </w:r>
            <w:r>
              <w:rPr>
                <w:rFonts w:ascii="Times New Roman" w:hAnsi="Times New Roman" w:cs="Times New Roman"/>
                <w:i/>
              </w:rPr>
              <w:t xml:space="preserve"> </w:t>
            </w:r>
            <w:r>
              <w:rPr>
                <w:rFonts w:ascii="Times New Roman" w:hAnsi="Times New Roman" w:cs="Times New Roman"/>
              </w:rPr>
              <w:t>overexpression construct</w:t>
            </w:r>
          </w:p>
        </w:tc>
        <w:tc>
          <w:tcPr>
            <w:tcW w:w="3038" w:type="dxa"/>
            <w:tcBorders>
              <w:top w:val="nil"/>
              <w:left w:val="nil"/>
              <w:right w:val="nil"/>
            </w:tcBorders>
            <w:tcMar>
              <w:top w:w="57" w:type="dxa"/>
              <w:bottom w:w="85" w:type="dxa"/>
            </w:tcMar>
            <w:vAlign w:val="center"/>
          </w:tcPr>
          <w:p w:rsidR="002D7C9B" w:rsidRPr="0076399D" w:rsidRDefault="002D7C9B" w:rsidP="002D7C9B">
            <w:pPr>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{"citationID":"e7b0f59j7","properties":{"formattedCitation":"(Hayhurst, 2006)","plainCitation":"(Hayhurst, 2006)"},"citationItems":[{"id":162,"uris":["http://zotero.org/users/944474/items/HJXN4FCN"],"uri":["http://zotero.org/users/944474/items/HJXN4FCN"],"itemData":{"id":162,"type":"thesis","title":"Peptidoglycan structure and dynamics in Gram positive bacteria","publisher":"University of Sheffield","author":[{"family":"Hayhurst","given":"Emma J"}],"issued":{"year":2006,"month":7}}}],"schema":"https://github.com/citation-style-language/schema/raw/master/csl-citation.json"} </w:instrText>
            </w:r>
            <w:r>
              <w:rPr>
                <w:rFonts w:ascii="Times New Roman" w:hAnsi="Times New Roman" w:cs="Times New Roman"/>
              </w:rPr>
              <w:fldChar w:fldCharType="separate"/>
            </w:r>
            <w:r w:rsidRPr="00B57EFB">
              <w:rPr>
                <w:rFonts w:ascii="Times New Roman" w:hAnsi="Times New Roman" w:cs="Times New Roman"/>
              </w:rPr>
              <w:t>(Hayhurst, 2006)</w:t>
            </w:r>
            <w:r>
              <w:rPr>
                <w:rFonts w:ascii="Times New Roman" w:hAnsi="Times New Roman" w:cs="Times New Roman"/>
              </w:rPr>
              <w:fldChar w:fldCharType="end"/>
            </w:r>
          </w:p>
        </w:tc>
      </w:tr>
    </w:tbl>
    <w:p w:rsidR="002D7C9B" w:rsidRDefault="002D7C9B" w:rsidP="002D7C9B">
      <w:pPr>
        <w:spacing w:after="120" w:line="480" w:lineRule="auto"/>
        <w:jc w:val="both"/>
        <w:rPr>
          <w:rFonts w:ascii="Times New Roman" w:hAnsi="Times New Roman" w:cs="Times New Roman"/>
          <w:sz w:val="24"/>
          <w:szCs w:val="24"/>
        </w:rPr>
      </w:pPr>
    </w:p>
    <w:p w:rsidR="002D7C9B" w:rsidRPr="0076399D" w:rsidRDefault="002D7C9B" w:rsidP="002D7C9B">
      <w:pPr>
        <w:spacing w:after="120" w:line="480" w:lineRule="auto"/>
        <w:jc w:val="both"/>
        <w:rPr>
          <w:rFonts w:ascii="Times New Roman" w:hAnsi="Times New Roman" w:cs="Times New Roman"/>
          <w:sz w:val="24"/>
          <w:szCs w:val="24"/>
        </w:rPr>
      </w:pPr>
    </w:p>
    <w:p w:rsidR="002D7C9B" w:rsidRPr="0076399D" w:rsidRDefault="002D7C9B" w:rsidP="002D7C9B">
      <w:pPr>
        <w:rPr>
          <w:rFonts w:ascii="Times New Roman" w:hAnsi="Times New Roman" w:cs="Times New Roman"/>
          <w:b/>
          <w:i/>
          <w:sz w:val="24"/>
          <w:szCs w:val="24"/>
        </w:rPr>
      </w:pPr>
      <w:r w:rsidRPr="0076399D">
        <w:rPr>
          <w:rFonts w:ascii="Times New Roman" w:hAnsi="Times New Roman" w:cs="Times New Roman"/>
          <w:b/>
          <w:sz w:val="24"/>
          <w:szCs w:val="24"/>
        </w:rPr>
        <w:t xml:space="preserve">Table 2.3 </w:t>
      </w:r>
      <w:r w:rsidRPr="0076399D">
        <w:rPr>
          <w:rFonts w:ascii="Times New Roman" w:hAnsi="Times New Roman" w:cs="Times New Roman"/>
          <w:b/>
          <w:i/>
          <w:sz w:val="24"/>
          <w:szCs w:val="24"/>
        </w:rPr>
        <w:t>L. lactis</w:t>
      </w:r>
      <w:r w:rsidRPr="0076399D">
        <w:rPr>
          <w:rFonts w:ascii="Times New Roman" w:hAnsi="Times New Roman" w:cs="Times New Roman"/>
          <w:b/>
          <w:sz w:val="24"/>
          <w:szCs w:val="24"/>
        </w:rPr>
        <w:t xml:space="preserve"> strains used in this study</w:t>
      </w:r>
    </w:p>
    <w:tbl>
      <w:tblPr>
        <w:tblStyle w:val="TableGrid"/>
        <w:tblW w:w="0" w:type="auto"/>
        <w:tblBorders>
          <w:left w:val="none" w:sz="0" w:space="0" w:color="auto"/>
          <w:right w:val="none" w:sz="0" w:space="0" w:color="auto"/>
          <w:insideH w:val="none" w:sz="0" w:space="0" w:color="auto"/>
          <w:insideV w:val="none" w:sz="0" w:space="0" w:color="auto"/>
        </w:tblBorders>
        <w:tblLook w:val="04A0"/>
      </w:tblPr>
      <w:tblGrid>
        <w:gridCol w:w="1384"/>
        <w:gridCol w:w="4111"/>
        <w:gridCol w:w="3033"/>
      </w:tblGrid>
      <w:tr w:rsidR="002D7C9B" w:rsidRPr="0076399D" w:rsidTr="002D7C9B">
        <w:tc>
          <w:tcPr>
            <w:tcW w:w="1384" w:type="dxa"/>
            <w:tcBorders>
              <w:top w:val="single" w:sz="4" w:space="0" w:color="auto"/>
              <w:bottom w:val="single" w:sz="4" w:space="0" w:color="auto"/>
            </w:tcBorders>
            <w:tcMar>
              <w:top w:w="57" w:type="dxa"/>
              <w:bottom w:w="85" w:type="dxa"/>
            </w:tcMar>
          </w:tcPr>
          <w:p w:rsidR="002D7C9B" w:rsidRPr="0076399D" w:rsidRDefault="002D7C9B" w:rsidP="002D7C9B">
            <w:pPr>
              <w:jc w:val="center"/>
              <w:rPr>
                <w:rFonts w:ascii="Times New Roman" w:hAnsi="Times New Roman" w:cs="Times New Roman"/>
                <w:b/>
              </w:rPr>
            </w:pPr>
            <w:r w:rsidRPr="0076399D">
              <w:rPr>
                <w:rFonts w:ascii="Times New Roman" w:hAnsi="Times New Roman" w:cs="Times New Roman"/>
                <w:b/>
              </w:rPr>
              <w:t>Strain</w:t>
            </w:r>
          </w:p>
        </w:tc>
        <w:tc>
          <w:tcPr>
            <w:tcW w:w="4111" w:type="dxa"/>
            <w:tcBorders>
              <w:top w:val="single" w:sz="4" w:space="0" w:color="auto"/>
              <w:bottom w:val="single" w:sz="4" w:space="0" w:color="auto"/>
            </w:tcBorders>
            <w:tcMar>
              <w:top w:w="57" w:type="dxa"/>
              <w:bottom w:w="85" w:type="dxa"/>
            </w:tcMar>
          </w:tcPr>
          <w:p w:rsidR="002D7C9B" w:rsidRPr="0076399D" w:rsidRDefault="002D7C9B" w:rsidP="002D7C9B">
            <w:pPr>
              <w:jc w:val="center"/>
              <w:rPr>
                <w:rFonts w:ascii="Times New Roman" w:hAnsi="Times New Roman" w:cs="Times New Roman"/>
                <w:b/>
              </w:rPr>
            </w:pPr>
            <w:r w:rsidRPr="0076399D">
              <w:rPr>
                <w:rFonts w:ascii="Times New Roman" w:hAnsi="Times New Roman" w:cs="Times New Roman"/>
                <w:b/>
              </w:rPr>
              <w:t>Relevant background/genotype/markers</w:t>
            </w:r>
          </w:p>
        </w:tc>
        <w:tc>
          <w:tcPr>
            <w:tcW w:w="3033" w:type="dxa"/>
            <w:tcBorders>
              <w:top w:val="single" w:sz="4" w:space="0" w:color="auto"/>
              <w:bottom w:val="single" w:sz="4" w:space="0" w:color="auto"/>
            </w:tcBorders>
            <w:tcMar>
              <w:top w:w="57" w:type="dxa"/>
              <w:bottom w:w="85" w:type="dxa"/>
            </w:tcMar>
          </w:tcPr>
          <w:p w:rsidR="002D7C9B" w:rsidRPr="0076399D" w:rsidRDefault="002D7C9B" w:rsidP="002D7C9B">
            <w:pPr>
              <w:jc w:val="center"/>
              <w:rPr>
                <w:rFonts w:ascii="Times New Roman" w:hAnsi="Times New Roman" w:cs="Times New Roman"/>
                <w:b/>
              </w:rPr>
            </w:pPr>
            <w:r w:rsidRPr="0076399D">
              <w:rPr>
                <w:rFonts w:ascii="Times New Roman" w:hAnsi="Times New Roman" w:cs="Times New Roman"/>
                <w:b/>
              </w:rPr>
              <w:t>Source</w:t>
            </w:r>
          </w:p>
        </w:tc>
      </w:tr>
      <w:tr w:rsidR="002D7C9B" w:rsidRPr="0076399D" w:rsidTr="002D7C9B">
        <w:tc>
          <w:tcPr>
            <w:tcW w:w="1384" w:type="dxa"/>
            <w:tcBorders>
              <w:top w:val="single" w:sz="4" w:space="0" w:color="auto"/>
            </w:tcBorders>
            <w:tcMar>
              <w:top w:w="57" w:type="dxa"/>
              <w:bottom w:w="85" w:type="dxa"/>
            </w:tcMar>
          </w:tcPr>
          <w:p w:rsidR="002D7C9B" w:rsidRPr="0076399D" w:rsidRDefault="002D7C9B" w:rsidP="002D7C9B">
            <w:pPr>
              <w:jc w:val="both"/>
              <w:rPr>
                <w:rFonts w:ascii="Times New Roman" w:hAnsi="Times New Roman" w:cs="Times New Roman"/>
              </w:rPr>
            </w:pPr>
            <w:r w:rsidRPr="0076399D">
              <w:rPr>
                <w:rFonts w:ascii="Times New Roman" w:hAnsi="Times New Roman" w:cs="Times New Roman"/>
              </w:rPr>
              <w:t>MG1363</w:t>
            </w:r>
          </w:p>
        </w:tc>
        <w:tc>
          <w:tcPr>
            <w:tcW w:w="4111" w:type="dxa"/>
            <w:tcBorders>
              <w:top w:val="single" w:sz="4" w:space="0" w:color="auto"/>
            </w:tcBorders>
            <w:tcMar>
              <w:top w:w="57" w:type="dxa"/>
              <w:bottom w:w="85" w:type="dxa"/>
            </w:tcMar>
          </w:tcPr>
          <w:p w:rsidR="002D7C9B" w:rsidRPr="0076399D" w:rsidRDefault="002D7C9B" w:rsidP="002D7C9B">
            <w:pPr>
              <w:jc w:val="both"/>
              <w:rPr>
                <w:rFonts w:ascii="Times New Roman" w:hAnsi="Times New Roman" w:cs="Times New Roman"/>
              </w:rPr>
            </w:pPr>
            <w:r>
              <w:rPr>
                <w:rFonts w:ascii="Times New Roman" w:hAnsi="Times New Roman" w:cs="Times New Roman"/>
              </w:rPr>
              <w:t>Wild type</w:t>
            </w:r>
          </w:p>
        </w:tc>
        <w:tc>
          <w:tcPr>
            <w:tcW w:w="3033" w:type="dxa"/>
            <w:tcBorders>
              <w:top w:val="single" w:sz="4" w:space="0" w:color="auto"/>
            </w:tcBorders>
            <w:tcMar>
              <w:top w:w="57" w:type="dxa"/>
              <w:bottom w:w="85" w:type="dxa"/>
            </w:tcMar>
          </w:tcPr>
          <w:p w:rsidR="002D7C9B" w:rsidRPr="0076399D" w:rsidRDefault="002D7C9B" w:rsidP="002D7C9B">
            <w:pPr>
              <w:jc w:val="both"/>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{"citationID":"1uj63u31b9","properties":{"formattedCitation":"(Chapot-Chartier et al., 2010)","plainCitation":"(Chapot-Chartier et al., 2010)"},"citationItems":[{"id":100,"uris":["http://zotero.org/users/944474/items/29C2CKP4"],"uri":["http://zotero.org/users/944474/items/29C2CKP4"],"itemData":{"id":100,"type":"article-journal","title":"Cell surface of Lactococcus lactis is covered by a protective polysaccharide pellicle","container-title":"The Journal of Biological Chemistry","page":"10464-10471","volume":"285","issue":"14","abstract":"In Gram-positive bacteria, the functional role of surface polysaccharides (PS) that are not of capsular nature remains poorly understood. Here, we report the presence of a novel cell wall PS pellicle on the surface of Lactococcus lactis. Spontaneous PS-negative mutants were selected using semi-liquid growth conditions, and all mutations were mapped in a single chromosomal locus coding for PS biosynthesis. PS molecules were shown to be composed of hexasaccharide phosphate repeating units that are distinct from other bacterial PS. Using complementary atomic force and transmission electron microscopy techniques, we showed that the PS layer forms an outer pellicle surrounding the cell. Notably, we found that this cell wall layer confers a protective barrier against host phagocytosis by murine macrophages. Altogether, our results suggest that the PS pellicle could represent a new cell envelope structural component of Gram-positive bacteria.","DOI":"10.1074/jbc.M109.082958","note":"PMID: 20106971","journalAbbreviation":"J. Biol. Chem.","author":[{"family":"Chapot-Chartier","given":"Marie-Pierre"},{"family":"Vinogradov","given":"Evgeny"},{"family":"Sadovskaya","given":"Irina"},{"family":"Andre","given":"Guillaume"},{"family":"Mistou","given":"Michel-Yves"},{"family":"Trieu-Cuot","given":"Patrick"},{"family":"Furlan","given":"Sylviane"},{"family":"Bidnenko","given":"Elena"},{"family":"Courtin","given":"Pascal"},{"family":"Péchoux","given":"Christine"},{"family":"Hols","given":"Pascal"},{"family":"Dufrêne","given":"Yves F"},{"family":"Kulakauskas","given":"Saulius"}],"issued":{"year":2010,"month":4,"day":2},"accessed":{"year":2012,"month":4,"day":2},"page-first":"10464"}}],"schema":"https://github.com/citation-style-language/schema/raw/master/csl-citation.json"} </w:instrText>
            </w:r>
            <w:r>
              <w:rPr>
                <w:rFonts w:ascii="Times New Roman" w:hAnsi="Times New Roman" w:cs="Times New Roman"/>
              </w:rPr>
              <w:fldChar w:fldCharType="separate"/>
            </w:r>
            <w:r w:rsidRPr="004954B7">
              <w:rPr>
                <w:rFonts w:ascii="Times New Roman" w:hAnsi="Times New Roman" w:cs="Times New Roman"/>
              </w:rPr>
              <w:t xml:space="preserve">(Chapot-Chartier </w:t>
            </w:r>
            <w:r w:rsidRPr="009C5F2F">
              <w:rPr>
                <w:rFonts w:ascii="Times New Roman" w:hAnsi="Times New Roman" w:cs="Times New Roman"/>
                <w:i/>
              </w:rPr>
              <w:t>et al</w:t>
            </w:r>
            <w:r w:rsidRPr="004954B7">
              <w:rPr>
                <w:rFonts w:ascii="Times New Roman" w:hAnsi="Times New Roman" w:cs="Times New Roman"/>
              </w:rPr>
              <w:t>., 2010)</w:t>
            </w:r>
            <w:r>
              <w:rPr>
                <w:rFonts w:ascii="Times New Roman" w:hAnsi="Times New Roman" w:cs="Times New Roman"/>
              </w:rPr>
              <w:fldChar w:fldCharType="end"/>
            </w:r>
            <w:r>
              <w:rPr>
                <w:rFonts w:ascii="Times New Roman" w:hAnsi="Times New Roman" w:cs="Times New Roman"/>
              </w:rPr>
              <w:t>.</w:t>
            </w:r>
          </w:p>
        </w:tc>
      </w:tr>
      <w:tr w:rsidR="002D7C9B" w:rsidRPr="0076399D" w:rsidTr="002D7C9B">
        <w:tc>
          <w:tcPr>
            <w:tcW w:w="1384" w:type="dxa"/>
            <w:tcMar>
              <w:top w:w="57" w:type="dxa"/>
              <w:bottom w:w="85" w:type="dxa"/>
            </w:tcMar>
          </w:tcPr>
          <w:p w:rsidR="002D7C9B" w:rsidRPr="0076399D" w:rsidRDefault="002D7C9B" w:rsidP="002D7C9B">
            <w:pPr>
              <w:jc w:val="both"/>
              <w:rPr>
                <w:rFonts w:ascii="Times New Roman" w:hAnsi="Times New Roman" w:cs="Times New Roman"/>
              </w:rPr>
            </w:pPr>
            <w:r w:rsidRPr="0076399D">
              <w:rPr>
                <w:rFonts w:ascii="Times New Roman" w:hAnsi="Times New Roman" w:cs="Times New Roman"/>
              </w:rPr>
              <w:t>VES5751</w:t>
            </w:r>
          </w:p>
        </w:tc>
        <w:tc>
          <w:tcPr>
            <w:tcW w:w="4111" w:type="dxa"/>
            <w:tcMar>
              <w:top w:w="57" w:type="dxa"/>
              <w:bottom w:w="85" w:type="dxa"/>
            </w:tcMar>
          </w:tcPr>
          <w:p w:rsidR="002D7C9B" w:rsidRPr="004954B7" w:rsidRDefault="002D7C9B" w:rsidP="002D7C9B">
            <w:pPr>
              <w:jc w:val="both"/>
              <w:rPr>
                <w:rFonts w:ascii="Times New Roman" w:hAnsi="Times New Roman" w:cs="Times New Roman"/>
              </w:rPr>
            </w:pPr>
            <w:r>
              <w:rPr>
                <w:rFonts w:ascii="Times New Roman" w:hAnsi="Times New Roman" w:cs="Times New Roman"/>
              </w:rPr>
              <w:t xml:space="preserve">Spontaneous MG1363 pellicle mutant, </w:t>
            </w:r>
            <w:r w:rsidRPr="004954B7">
              <w:rPr>
                <w:rFonts w:ascii="Times New Roman" w:hAnsi="Times New Roman" w:cs="Times New Roman"/>
              </w:rPr>
              <w:t xml:space="preserve">CCAA duplication in </w:t>
            </w:r>
            <w:r w:rsidRPr="004954B7">
              <w:rPr>
                <w:rStyle w:val="Emphasis"/>
                <w:rFonts w:ascii="Times New Roman" w:hAnsi="Times New Roman" w:cs="Times New Roman"/>
              </w:rPr>
              <w:t>llmg_0226</w:t>
            </w:r>
          </w:p>
        </w:tc>
        <w:tc>
          <w:tcPr>
            <w:tcW w:w="3033" w:type="dxa"/>
            <w:tcMar>
              <w:top w:w="57" w:type="dxa"/>
              <w:bottom w:w="85" w:type="dxa"/>
            </w:tcMar>
          </w:tcPr>
          <w:p w:rsidR="002D7C9B" w:rsidRPr="0076399D" w:rsidRDefault="002D7C9B" w:rsidP="002D7C9B">
            <w:pPr>
              <w:jc w:val="both"/>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{"citationID":"fRIzeGkQ","properties":{"formattedCitation":"(Chapot-Chartier et al., 2010)","plainCitation":"(Chapot-Chartier et al., 2010)"},"citationItems":[{"id":100,"uris":["http://zotero.org/users/944474/items/29C2CKP4"],"uri":["http://zotero.org/users/944474/items/29C2CKP4"],"itemData":{"id":100,"type":"article-journal","title":"Cell surface of Lactococcus lactis is covered by a protective polysaccharide pellicle","container-title":"The Journal of Biological Chemistry","page":"10464-10471","volume":"285","issue":"14","abstract":"In Gram-positive bacteria, the functional role of surface polysaccharides (PS) that are not of capsular nature remains poorly understood. Here, we report the presence of a novel cell wall PS pellicle on the surface of Lactococcus lactis. Spontaneous PS-negative mutants were selected using semi-liquid growth conditions, and all mutations were mapped in a single chromosomal locus coding for PS biosynthesis. PS molecules were shown to be composed of hexasaccharide phosphate repeating units that are distinct from other bacterial PS. Using complementary atomic force and transmission electron microscopy techniques, we showed that the PS layer forms an outer pellicle surrounding the cell. Notably, we found that this cell wall layer confers a protective barrier against host phagocytosis by murine macrophages. Altogether, our results suggest that the PS pellicle could represent a new cell envelope structural component of Gram-positive bacteria.","DOI":"10.1074/jbc.M109.082958","note":"PMID: 20106971","journalAbbreviation":"J. Biol. Chem.","author":[{"family":"Chapot-Chartier","given":"Marie-Pierre"},{"family":"Vinogradov","given":"Evgeny"},{"family":"Sadovskaya","given":"Irina"},{"family":"Andre","given":"Guillaume"},{"family":"Mistou","given":"Michel-Yves"},{"family":"Trieu-Cuot","given":"Patrick"},{"family":"Furlan","given":"Sylviane"},{"family":"Bidnenko","given":"Elena"},{"family":"Courtin","given":"Pascal"},{"family":"Péchoux","given":"Christine"},{"family":"Hols","given":"Pascal"},{"family":"Dufrêne","given":"Yves F"},{"family":"Kulakauskas","given":"Saulius"}],"issued":{"year":2010,"month":4,"day":2},"accessed":{"year":2012,"month":4,"day":2},"page-first":"10464"}}],"schema":"https://github.com/citation-style-language/schema/raw/master/csl-citation.json"} </w:instrText>
            </w:r>
            <w:r>
              <w:rPr>
                <w:rFonts w:ascii="Times New Roman" w:hAnsi="Times New Roman" w:cs="Times New Roman"/>
              </w:rPr>
              <w:fldChar w:fldCharType="separate"/>
            </w:r>
            <w:r w:rsidRPr="004954B7">
              <w:rPr>
                <w:rFonts w:ascii="Times New Roman" w:hAnsi="Times New Roman" w:cs="Times New Roman"/>
              </w:rPr>
              <w:t xml:space="preserve">(Chapot-Chartier </w:t>
            </w:r>
            <w:r w:rsidRPr="009C5F2F">
              <w:rPr>
                <w:rFonts w:ascii="Times New Roman" w:hAnsi="Times New Roman" w:cs="Times New Roman"/>
                <w:i/>
              </w:rPr>
              <w:t>et al</w:t>
            </w:r>
            <w:r w:rsidRPr="004954B7">
              <w:rPr>
                <w:rFonts w:ascii="Times New Roman" w:hAnsi="Times New Roman" w:cs="Times New Roman"/>
              </w:rPr>
              <w:t>., 2010)</w:t>
            </w:r>
            <w:r>
              <w:rPr>
                <w:rFonts w:ascii="Times New Roman" w:hAnsi="Times New Roman" w:cs="Times New Roman"/>
              </w:rPr>
              <w:fldChar w:fldCharType="end"/>
            </w:r>
            <w:r>
              <w:rPr>
                <w:rFonts w:ascii="Times New Roman" w:hAnsi="Times New Roman" w:cs="Times New Roman"/>
              </w:rPr>
              <w:t>.</w:t>
            </w:r>
          </w:p>
        </w:tc>
      </w:tr>
    </w:tbl>
    <w:p w:rsidR="002D7C9B" w:rsidRDefault="002D7C9B" w:rsidP="002D7C9B">
      <w:pPr>
        <w:spacing w:line="360" w:lineRule="auto"/>
        <w:jc w:val="both"/>
        <w:rPr>
          <w:rFonts w:ascii="Times New Roman" w:hAnsi="Times New Roman" w:cs="Times New Roman"/>
          <w:sz w:val="24"/>
          <w:szCs w:val="24"/>
        </w:rPr>
      </w:pPr>
    </w:p>
    <w:p w:rsidR="002D7C9B" w:rsidRDefault="002D7C9B" w:rsidP="002D7C9B">
      <w:pPr>
        <w:spacing w:line="360" w:lineRule="auto"/>
        <w:jc w:val="both"/>
        <w:rPr>
          <w:rFonts w:ascii="Times New Roman" w:hAnsi="Times New Roman" w:cs="Times New Roman"/>
          <w:sz w:val="24"/>
          <w:szCs w:val="24"/>
        </w:rPr>
      </w:pPr>
    </w:p>
    <w:p w:rsidR="002D7C9B" w:rsidRPr="0076399D" w:rsidRDefault="002D7C9B" w:rsidP="002D7C9B">
      <w:pPr>
        <w:rPr>
          <w:rFonts w:ascii="Times New Roman" w:hAnsi="Times New Roman" w:cs="Times New Roman"/>
          <w:b/>
          <w:sz w:val="24"/>
          <w:szCs w:val="24"/>
        </w:rPr>
      </w:pPr>
      <w:r w:rsidRPr="0076399D">
        <w:rPr>
          <w:rFonts w:ascii="Times New Roman" w:hAnsi="Times New Roman" w:cs="Times New Roman"/>
          <w:b/>
          <w:sz w:val="24"/>
          <w:szCs w:val="24"/>
        </w:rPr>
        <w:t xml:space="preserve">Table 2.4 </w:t>
      </w:r>
      <w:r w:rsidRPr="0076399D">
        <w:rPr>
          <w:rFonts w:ascii="Times New Roman" w:hAnsi="Times New Roman" w:cs="Times New Roman"/>
          <w:b/>
          <w:i/>
          <w:sz w:val="24"/>
          <w:szCs w:val="24"/>
        </w:rPr>
        <w:t>S. aureus</w:t>
      </w:r>
      <w:r w:rsidRPr="0076399D">
        <w:rPr>
          <w:rFonts w:ascii="Times New Roman" w:hAnsi="Times New Roman" w:cs="Times New Roman"/>
          <w:b/>
          <w:sz w:val="24"/>
          <w:szCs w:val="24"/>
        </w:rPr>
        <w:t xml:space="preserve"> strains used in this study</w:t>
      </w:r>
    </w:p>
    <w:tbl>
      <w:tblPr>
        <w:tblStyle w:val="TableGrid"/>
        <w:tblW w:w="5000" w:type="pct"/>
        <w:tblLook w:val="04A0"/>
      </w:tblPr>
      <w:tblGrid>
        <w:gridCol w:w="1841"/>
        <w:gridCol w:w="4505"/>
        <w:gridCol w:w="2374"/>
      </w:tblGrid>
      <w:tr w:rsidR="002D7C9B" w:rsidRPr="0076399D" w:rsidTr="002D7C9B">
        <w:tc>
          <w:tcPr>
            <w:tcW w:w="1056" w:type="pct"/>
            <w:tcBorders>
              <w:left w:val="nil"/>
              <w:bottom w:val="single" w:sz="4" w:space="0" w:color="auto"/>
              <w:right w:val="nil"/>
            </w:tcBorders>
          </w:tcPr>
          <w:p w:rsidR="002D7C9B" w:rsidRPr="0076399D" w:rsidRDefault="002D7C9B" w:rsidP="002D7C9B">
            <w:pPr>
              <w:spacing w:before="60" w:after="60"/>
              <w:jc w:val="center"/>
              <w:rPr>
                <w:rFonts w:ascii="Times New Roman" w:hAnsi="Times New Roman" w:cs="Times New Roman"/>
                <w:b/>
                <w:i/>
                <w:sz w:val="24"/>
                <w:szCs w:val="24"/>
              </w:rPr>
            </w:pPr>
            <w:r w:rsidRPr="0076399D">
              <w:rPr>
                <w:rFonts w:ascii="Times New Roman" w:hAnsi="Times New Roman" w:cs="Times New Roman"/>
                <w:b/>
                <w:i/>
                <w:sz w:val="24"/>
                <w:szCs w:val="24"/>
              </w:rPr>
              <w:t xml:space="preserve">S. aureus </w:t>
            </w:r>
            <w:r w:rsidRPr="0076399D">
              <w:rPr>
                <w:rFonts w:ascii="Times New Roman" w:hAnsi="Times New Roman" w:cs="Times New Roman"/>
                <w:b/>
                <w:sz w:val="24"/>
                <w:szCs w:val="24"/>
              </w:rPr>
              <w:t>strain</w:t>
            </w:r>
          </w:p>
        </w:tc>
        <w:tc>
          <w:tcPr>
            <w:tcW w:w="2583" w:type="pct"/>
            <w:tcBorders>
              <w:left w:val="nil"/>
              <w:bottom w:val="single" w:sz="4" w:space="0" w:color="auto"/>
              <w:right w:val="nil"/>
            </w:tcBorders>
          </w:tcPr>
          <w:p w:rsidR="002D7C9B" w:rsidRPr="0076399D" w:rsidRDefault="002D7C9B" w:rsidP="002D7C9B">
            <w:pPr>
              <w:spacing w:before="60" w:after="60"/>
              <w:jc w:val="center"/>
              <w:rPr>
                <w:rFonts w:ascii="Times New Roman" w:hAnsi="Times New Roman" w:cs="Times New Roman"/>
                <w:b/>
                <w:sz w:val="24"/>
                <w:szCs w:val="24"/>
              </w:rPr>
            </w:pPr>
            <w:r w:rsidRPr="0076399D">
              <w:rPr>
                <w:rFonts w:ascii="Times New Roman" w:hAnsi="Times New Roman" w:cs="Times New Roman"/>
                <w:b/>
                <w:sz w:val="24"/>
                <w:szCs w:val="24"/>
              </w:rPr>
              <w:t>Relevant genotype/marker</w:t>
            </w:r>
          </w:p>
        </w:tc>
        <w:tc>
          <w:tcPr>
            <w:tcW w:w="1362" w:type="pct"/>
            <w:tcBorders>
              <w:left w:val="nil"/>
              <w:bottom w:val="single" w:sz="4" w:space="0" w:color="auto"/>
              <w:right w:val="nil"/>
            </w:tcBorders>
          </w:tcPr>
          <w:p w:rsidR="002D7C9B" w:rsidRPr="0076399D" w:rsidRDefault="002D7C9B" w:rsidP="002D7C9B">
            <w:pPr>
              <w:spacing w:before="60" w:after="60"/>
              <w:jc w:val="center"/>
              <w:rPr>
                <w:rFonts w:ascii="Times New Roman" w:hAnsi="Times New Roman" w:cs="Times New Roman"/>
                <w:b/>
                <w:sz w:val="24"/>
                <w:szCs w:val="24"/>
              </w:rPr>
            </w:pPr>
            <w:r w:rsidRPr="0076399D">
              <w:rPr>
                <w:rFonts w:ascii="Times New Roman" w:hAnsi="Times New Roman" w:cs="Times New Roman"/>
                <w:b/>
                <w:sz w:val="24"/>
                <w:szCs w:val="24"/>
              </w:rPr>
              <w:t>Source</w:t>
            </w:r>
          </w:p>
        </w:tc>
      </w:tr>
      <w:tr w:rsidR="002D7C9B" w:rsidRPr="0076399D" w:rsidTr="002D7C9B">
        <w:tc>
          <w:tcPr>
            <w:tcW w:w="1056" w:type="pct"/>
            <w:tcBorders>
              <w:left w:val="nil"/>
              <w:bottom w:val="nil"/>
              <w:right w:val="nil"/>
            </w:tcBorders>
          </w:tcPr>
          <w:p w:rsidR="002D7C9B" w:rsidRPr="0076399D" w:rsidRDefault="002D7C9B" w:rsidP="002D7C9B">
            <w:pPr>
              <w:spacing w:before="60" w:after="60"/>
              <w:jc w:val="center"/>
              <w:rPr>
                <w:rFonts w:ascii="Times New Roman" w:hAnsi="Times New Roman" w:cs="Times New Roman"/>
              </w:rPr>
            </w:pPr>
            <w:r w:rsidRPr="0076399D">
              <w:rPr>
                <w:rFonts w:ascii="Times New Roman" w:hAnsi="Times New Roman" w:cs="Times New Roman"/>
              </w:rPr>
              <w:t>SH1000</w:t>
            </w:r>
          </w:p>
        </w:tc>
        <w:tc>
          <w:tcPr>
            <w:tcW w:w="2583" w:type="pct"/>
            <w:tcBorders>
              <w:left w:val="nil"/>
              <w:bottom w:val="nil"/>
              <w:right w:val="nil"/>
            </w:tcBorders>
          </w:tcPr>
          <w:p w:rsidR="002D7C9B" w:rsidRPr="0076399D" w:rsidRDefault="002D7C9B" w:rsidP="002D7C9B">
            <w:pPr>
              <w:spacing w:before="60" w:after="60"/>
              <w:rPr>
                <w:rFonts w:ascii="Times New Roman" w:hAnsi="Times New Roman" w:cs="Times New Roman"/>
              </w:rPr>
            </w:pPr>
            <w:r w:rsidRPr="0076399D">
              <w:rPr>
                <w:rFonts w:ascii="Times New Roman" w:hAnsi="Times New Roman" w:cs="Times New Roman"/>
              </w:rPr>
              <w:t xml:space="preserve">Functional </w:t>
            </w:r>
            <w:r w:rsidRPr="0076399D">
              <w:rPr>
                <w:rFonts w:ascii="Times New Roman" w:hAnsi="Times New Roman" w:cs="Times New Roman"/>
                <w:i/>
              </w:rPr>
              <w:t>rsbU</w:t>
            </w:r>
            <w:r w:rsidRPr="0076399D">
              <w:rPr>
                <w:rFonts w:ascii="Times New Roman" w:hAnsi="Times New Roman" w:cs="Times New Roman"/>
                <w:vertAlign w:val="superscript"/>
              </w:rPr>
              <w:t>+</w:t>
            </w:r>
            <w:r w:rsidRPr="0076399D">
              <w:rPr>
                <w:rFonts w:ascii="Times New Roman" w:hAnsi="Times New Roman" w:cs="Times New Roman"/>
              </w:rPr>
              <w:t xml:space="preserve"> derivative of 8325-4</w:t>
            </w:r>
          </w:p>
        </w:tc>
        <w:tc>
          <w:tcPr>
            <w:tcW w:w="1362" w:type="pct"/>
            <w:tcBorders>
              <w:left w:val="nil"/>
              <w:bottom w:val="nil"/>
              <w:right w:val="nil"/>
            </w:tcBorders>
          </w:tcPr>
          <w:p w:rsidR="002D7C9B" w:rsidRPr="0076399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{"citationID":"d5vrkljlp","properties":{"formattedCitation":"(Horsburgh et al., 2002)","plainCitation":"(Horsburgh et al., 2002)"},"citationItems":[{"id":691,"uris":["http://zotero.org/users/944474/items/AMK4RJVU"],"uri":["http://zotero.org/users/944474/items/AMK4RJVU"],"itemData":{"id":691,"type":"article-journal","title":"sigmaB modulates virulence determinant expression and stress resistance: characterization of a functional rsbU strain derived from Staphylococcus aureus 8325-4","container-title":"Journal of bacteriology","page":"5457-5467","volume":"184","issue":"19","abstract":"The accessory sigma factor sigmaB controls a general stress response that is thought to be important for Staphylococcus aureus survival and may contribute to virulence. The strain of choice for genetic studies, 8325-4, carries a small deletion in rsbU, which encodes a positive regulator of sigmaB activity. Consequently, to enable the role of sigmaB in virulence to be addressed, we constructed an rsbU(+) derivative, SH1000, using a method that does not leave behind an antibiotic resistance marker. The phenotypic properties of SH1000 (8325-4 rsbU(+)) were characterized and compared to those of 8325-4, the rsbU mutant, parent strain. A recognition site for sigmaB was located in the promoter region of katA, the gene encoding the sole catalase of S. aureus, by primer extension analysis. However, catalase expression and activity were similar in SH1000 (8325-4 rsbU(+)), suggesting that this promoter may have a minor role in catalase expression under normal conditions. Restoration of sigmaB activity in SH1000 (8325-4 rsbU(+)) resulted in a marked decrease in the levels of the exoproteins SspA and Hla, and this is likely to be mediated by reduced expression of agr in this strain. By using Western blotting and a sarA-lacZ reporter assay, the levels of SarA were found to be similar in strains 8325-4 and SH1000 (8325-4 rsbU(+)) and sigB mutant derivatives of these strains. This finding contrasts with previous reports that suggested that SarA expression levels are altered when they are measured transcriptionally. Inactivation of sarA in each of these strains resulted in an expected decrease in agr expression; however, the relative level of agr in SH1000 (8325-4 rsbU(+)) remained less than the relative levels in 8325-4 and the sigB mutant derivatives. We suggest that SarA is not likely to be the effector in the overall sigmaB-mediated effect on agr expression.","note":"PMID: 12218034","shortTitle":"sigmaB modulates virulence determinant expression and stress resistance","journalAbbreviation":"J. Bacteriol.","author":[{"family":"Horsburgh","given":"Malcolm J"},{"family":"Aish","given":"Joanne L"},{"family":"White","given":"Ian J"},{"family":"Shaw","given":"Les"},{"family":"Lithgow","given":"James K"},{"family":"Foster","given":"Simon J"}],"issued":{"year":2002,"month":10},"accessed":{"year":2012,"month":7,"day":9},"page-first":"5457"}}],"schema":"https://github.com/citation-style-language/schema/raw/master/csl-citation.json"} </w:instrText>
            </w:r>
            <w:r>
              <w:rPr>
                <w:rFonts w:ascii="Times New Roman" w:hAnsi="Times New Roman" w:cs="Times New Roman"/>
              </w:rPr>
              <w:fldChar w:fldCharType="separate"/>
            </w:r>
            <w:r w:rsidRPr="0082306F">
              <w:rPr>
                <w:rFonts w:ascii="Times New Roman" w:hAnsi="Times New Roman" w:cs="Times New Roman"/>
              </w:rPr>
              <w:t xml:space="preserve">(Horsburgh </w:t>
            </w:r>
            <w:r w:rsidRPr="009C5F2F">
              <w:rPr>
                <w:rFonts w:ascii="Times New Roman" w:hAnsi="Times New Roman" w:cs="Times New Roman"/>
                <w:i/>
              </w:rPr>
              <w:t>et al</w:t>
            </w:r>
            <w:r w:rsidRPr="0082306F">
              <w:rPr>
                <w:rFonts w:ascii="Times New Roman" w:hAnsi="Times New Roman" w:cs="Times New Roman"/>
              </w:rPr>
              <w:t>., 2002)</w:t>
            </w:r>
            <w:r>
              <w:rPr>
                <w:rFonts w:ascii="Times New Roman" w:hAnsi="Times New Roman" w:cs="Times New Roman"/>
              </w:rPr>
              <w:fldChar w:fldCharType="end"/>
            </w:r>
          </w:p>
        </w:tc>
      </w:tr>
      <w:tr w:rsidR="002D7C9B" w:rsidRPr="0076399D" w:rsidTr="002D7C9B">
        <w:tc>
          <w:tcPr>
            <w:tcW w:w="1056"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sidRPr="0076399D">
              <w:rPr>
                <w:rFonts w:ascii="Times New Roman" w:hAnsi="Times New Roman" w:cs="Times New Roman"/>
              </w:rPr>
              <w:t>RN4220</w:t>
            </w:r>
          </w:p>
        </w:tc>
        <w:tc>
          <w:tcPr>
            <w:tcW w:w="2583" w:type="pct"/>
            <w:tcBorders>
              <w:top w:val="nil"/>
              <w:left w:val="nil"/>
              <w:bottom w:val="nil"/>
              <w:right w:val="nil"/>
            </w:tcBorders>
          </w:tcPr>
          <w:p w:rsidR="002D7C9B" w:rsidRPr="0076399D" w:rsidRDefault="002D7C9B" w:rsidP="002D7C9B">
            <w:pPr>
              <w:spacing w:before="60" w:after="60"/>
              <w:rPr>
                <w:rFonts w:ascii="Times New Roman" w:hAnsi="Times New Roman" w:cs="Times New Roman"/>
              </w:rPr>
            </w:pPr>
            <w:r w:rsidRPr="0076399D">
              <w:rPr>
                <w:rFonts w:ascii="Times New Roman" w:hAnsi="Times New Roman" w:cs="Times New Roman"/>
              </w:rPr>
              <w:t xml:space="preserve">Restriction deficient </w:t>
            </w:r>
            <w:r>
              <w:rPr>
                <w:rFonts w:ascii="Times New Roman" w:hAnsi="Times New Roman" w:cs="Times New Roman"/>
              </w:rPr>
              <w:t>derivative of 8325-4</w:t>
            </w:r>
          </w:p>
        </w:tc>
        <w:tc>
          <w:tcPr>
            <w:tcW w:w="1362"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{"citationID":"2b2t7q2a7l","properties":{"formattedCitation":"(Kreiswirth et al., 1983)","plainCitation":"(Kreiswirth et al., 1983)"},"citationItems":[{"id":692,"uris":["http://zotero.org/users/944474/items/A4XDQTIA"],"uri":["http://zotero.org/users/944474/items/A4XDQTIA"],"itemData":{"id":692,"type":"article-journal","title":"The toxic shock syndrome exotoxin structural gene is not detectably transmitted by a prophage","container-title":"Nature","page":"709-712","volume":"305","issue":"5936","abstract":"Toxic shock syndrome (TSS) is a complex of generalized symptoms caused by a local staphylococcal infection, and a circulating toxin is thought to be involved. Indeed, nearly 100% of TSS isolates produce an exoprotein, TSSE, that is thought to have an aetiological role on the basis of positive animal tests (refs 1,2 and F. Quimby, personal communication) and human serological data. Although the precise role of TSSE in TSS remains unclear (E. Kass, personal communication), no other staphylococcal factor has been implicated. Our preliminary studies of the genetics of TSSE production failed to demonstrate plasmid or phage involvement or linkage with known chromosomal genes (ref. 4 and B.N.K. et al., unpublished data); however, Schutzer et al. have found that most TSS strains harbour prophages with common plating characteristics and suggest that the toxin(s) involved in TSS are transmitted by lysogenic conversion. We show here that TSSE is not demonstrably transferred by lysogeny; moreover, we have cloned the gene and found that the cloned product is serologically and biologically indistinguishable from the native protein, and that the TSSE determinant is associated with a larger DNA segment that is absent or rearranged in TSSE- strains.","note":"PMID: 6226876","journalAbbreviation":"Nature","author":[{"family":"Kreiswirth","given":"B N"},{"family":"Löfdahl","given":"S"},{"family":"Betley","given":"M J"},{"family":"O'Reilly","given":"M"},{"family":"Schlievert","given":"P M"},{"family":"Bergdoll","given":"M S"},{"family":"Novick","given":"R P"}],"issued":{"year":1983,"month":10,"day":20},"accessed":{"year":2012,"month":7,"day":9},"page-first":"709"}}],"schema":"https://github.com/citation-style-language/schema/raw/master/csl-citation.json"} </w:instrText>
            </w:r>
            <w:r>
              <w:rPr>
                <w:rFonts w:ascii="Times New Roman" w:hAnsi="Times New Roman" w:cs="Times New Roman"/>
              </w:rPr>
              <w:fldChar w:fldCharType="separate"/>
            </w:r>
            <w:r w:rsidRPr="0082306F">
              <w:rPr>
                <w:rFonts w:ascii="Times New Roman" w:hAnsi="Times New Roman" w:cs="Times New Roman"/>
              </w:rPr>
              <w:t xml:space="preserve">(Kreiswirth </w:t>
            </w:r>
            <w:r w:rsidRPr="009C5F2F">
              <w:rPr>
                <w:rFonts w:ascii="Times New Roman" w:hAnsi="Times New Roman" w:cs="Times New Roman"/>
                <w:i/>
              </w:rPr>
              <w:t>et al</w:t>
            </w:r>
            <w:r w:rsidRPr="0082306F">
              <w:rPr>
                <w:rFonts w:ascii="Times New Roman" w:hAnsi="Times New Roman" w:cs="Times New Roman"/>
              </w:rPr>
              <w:t>., 1983)</w:t>
            </w:r>
            <w:r>
              <w:rPr>
                <w:rFonts w:ascii="Times New Roman" w:hAnsi="Times New Roman" w:cs="Times New Roman"/>
              </w:rPr>
              <w:fldChar w:fldCharType="end"/>
            </w:r>
          </w:p>
        </w:tc>
      </w:tr>
      <w:tr w:rsidR="002D7C9B" w:rsidRPr="0076399D" w:rsidTr="002D7C9B">
        <w:tc>
          <w:tcPr>
            <w:tcW w:w="1056"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sidRPr="0076399D">
              <w:rPr>
                <w:rFonts w:ascii="Times New Roman" w:hAnsi="Times New Roman" w:cs="Times New Roman"/>
              </w:rPr>
              <w:t>SJF1363</w:t>
            </w:r>
          </w:p>
        </w:tc>
        <w:tc>
          <w:tcPr>
            <w:tcW w:w="2583" w:type="pct"/>
            <w:tcBorders>
              <w:top w:val="nil"/>
              <w:left w:val="nil"/>
              <w:bottom w:val="nil"/>
              <w:right w:val="nil"/>
            </w:tcBorders>
          </w:tcPr>
          <w:p w:rsidR="002D7C9B" w:rsidRPr="0076399D" w:rsidRDefault="002D7C9B" w:rsidP="002D7C9B">
            <w:pPr>
              <w:spacing w:before="60" w:after="60"/>
              <w:rPr>
                <w:rFonts w:ascii="Times New Roman" w:hAnsi="Times New Roman" w:cs="Times New Roman"/>
              </w:rPr>
            </w:pPr>
            <w:r w:rsidRPr="0076399D">
              <w:rPr>
                <w:rFonts w:ascii="Times New Roman" w:hAnsi="Times New Roman" w:cs="Times New Roman"/>
              </w:rPr>
              <w:t xml:space="preserve">SH1000 </w:t>
            </w:r>
            <w:r w:rsidRPr="0076399D">
              <w:rPr>
                <w:rFonts w:ascii="Times New Roman" w:hAnsi="Times New Roman" w:cs="Times New Roman"/>
                <w:i/>
              </w:rPr>
              <w:t>atl::</w:t>
            </w:r>
            <w:r>
              <w:rPr>
                <w:rFonts w:ascii="Times New Roman" w:hAnsi="Times New Roman" w:cs="Times New Roman"/>
                <w:i/>
              </w:rPr>
              <w:t>pAZ106</w:t>
            </w:r>
            <w:r w:rsidRPr="0076399D">
              <w:rPr>
                <w:rFonts w:ascii="Times New Roman" w:hAnsi="Times New Roman" w:cs="Times New Roman"/>
                <w:i/>
              </w:rPr>
              <w:t xml:space="preserve"> </w:t>
            </w:r>
            <w:r w:rsidRPr="003268CB">
              <w:rPr>
                <w:rFonts w:ascii="Times New Roman" w:hAnsi="Times New Roman" w:cs="Times New Roman"/>
              </w:rPr>
              <w:t>SA2297</w:t>
            </w:r>
            <w:r w:rsidRPr="0076399D">
              <w:rPr>
                <w:rFonts w:ascii="Times New Roman" w:hAnsi="Times New Roman" w:cs="Times New Roman"/>
                <w:i/>
              </w:rPr>
              <w:t>::</w:t>
            </w:r>
            <w:r w:rsidRPr="00CC515C">
              <w:rPr>
                <w:rFonts w:ascii="Times New Roman" w:hAnsi="Times New Roman" w:cs="Times New Roman"/>
                <w:i/>
              </w:rPr>
              <w:t>tetL</w:t>
            </w:r>
            <w:r w:rsidRPr="0076399D">
              <w:rPr>
                <w:rFonts w:ascii="Times New Roman" w:hAnsi="Times New Roman" w:cs="Times New Roman"/>
              </w:rPr>
              <w:t xml:space="preserve"> (Ery</w:t>
            </w:r>
            <w:r w:rsidRPr="0076399D">
              <w:rPr>
                <w:rFonts w:ascii="Times New Roman" w:hAnsi="Times New Roman" w:cs="Times New Roman"/>
                <w:vertAlign w:val="superscript"/>
              </w:rPr>
              <w:t>R</w:t>
            </w:r>
            <w:r w:rsidRPr="0076399D">
              <w:rPr>
                <w:rFonts w:ascii="Times New Roman" w:hAnsi="Times New Roman" w:cs="Times New Roman"/>
              </w:rPr>
              <w:t>, Tet</w:t>
            </w:r>
            <w:r w:rsidRPr="0076399D">
              <w:rPr>
                <w:rFonts w:ascii="Times New Roman" w:hAnsi="Times New Roman" w:cs="Times New Roman"/>
                <w:vertAlign w:val="superscript"/>
              </w:rPr>
              <w:t>R</w:t>
            </w:r>
            <w:r w:rsidRPr="0076399D">
              <w:rPr>
                <w:rFonts w:ascii="Times New Roman" w:hAnsi="Times New Roman" w:cs="Times New Roman"/>
              </w:rPr>
              <w:t>)</w:t>
            </w:r>
          </w:p>
        </w:tc>
        <w:tc>
          <w:tcPr>
            <w:tcW w:w="1362"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sidRPr="0076399D">
              <w:rPr>
                <w:rFonts w:ascii="Times New Roman" w:hAnsi="Times New Roman" w:cs="Times New Roman"/>
              </w:rPr>
              <w:t>Horsburgh and Foster, unpublished</w:t>
            </w:r>
          </w:p>
        </w:tc>
      </w:tr>
      <w:tr w:rsidR="002D7C9B" w:rsidRPr="0076399D" w:rsidTr="002D7C9B">
        <w:tc>
          <w:tcPr>
            <w:tcW w:w="1056"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sidRPr="0076399D">
              <w:rPr>
                <w:rFonts w:ascii="Times New Roman" w:hAnsi="Times New Roman" w:cs="Times New Roman"/>
              </w:rPr>
              <w:t>SJF1367</w:t>
            </w:r>
          </w:p>
        </w:tc>
        <w:tc>
          <w:tcPr>
            <w:tcW w:w="2583" w:type="pct"/>
            <w:tcBorders>
              <w:top w:val="nil"/>
              <w:left w:val="nil"/>
              <w:bottom w:val="nil"/>
              <w:right w:val="nil"/>
            </w:tcBorders>
          </w:tcPr>
          <w:p w:rsidR="002D7C9B" w:rsidRPr="0076399D" w:rsidRDefault="002D7C9B" w:rsidP="002D7C9B">
            <w:pPr>
              <w:spacing w:before="60" w:after="60"/>
              <w:rPr>
                <w:rFonts w:ascii="Times New Roman" w:hAnsi="Times New Roman" w:cs="Times New Roman"/>
              </w:rPr>
            </w:pPr>
            <w:r w:rsidRPr="0076399D">
              <w:rPr>
                <w:rFonts w:ascii="Times New Roman" w:hAnsi="Times New Roman" w:cs="Times New Roman"/>
              </w:rPr>
              <w:t xml:space="preserve">SH1000 </w:t>
            </w:r>
            <w:r w:rsidRPr="0076399D">
              <w:rPr>
                <w:rFonts w:ascii="Times New Roman" w:hAnsi="Times New Roman" w:cs="Times New Roman"/>
                <w:i/>
              </w:rPr>
              <w:t>atl::</w:t>
            </w:r>
            <w:r>
              <w:rPr>
                <w:rFonts w:ascii="Times New Roman" w:hAnsi="Times New Roman" w:cs="Times New Roman"/>
                <w:i/>
              </w:rPr>
              <w:t>pAZ106</w:t>
            </w:r>
            <w:r w:rsidRPr="0076399D">
              <w:rPr>
                <w:rFonts w:ascii="Times New Roman" w:hAnsi="Times New Roman" w:cs="Times New Roman"/>
                <w:i/>
              </w:rPr>
              <w:t xml:space="preserve"> </w:t>
            </w:r>
            <w:r w:rsidRPr="0076399D">
              <w:rPr>
                <w:rFonts w:ascii="Times New Roman" w:hAnsi="Times New Roman" w:cs="Times New Roman"/>
              </w:rPr>
              <w:t>(Ery</w:t>
            </w:r>
            <w:r w:rsidRPr="0076399D">
              <w:rPr>
                <w:rFonts w:ascii="Times New Roman" w:hAnsi="Times New Roman" w:cs="Times New Roman"/>
                <w:vertAlign w:val="superscript"/>
              </w:rPr>
              <w:t>R</w:t>
            </w:r>
            <w:r w:rsidRPr="0076399D">
              <w:rPr>
                <w:rFonts w:ascii="Times New Roman" w:hAnsi="Times New Roman" w:cs="Times New Roman"/>
              </w:rPr>
              <w:t>)</w:t>
            </w:r>
          </w:p>
        </w:tc>
        <w:tc>
          <w:tcPr>
            <w:tcW w:w="1362"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{"citationID":"29r9kkcvsq","properties":{"formattedCitation":"(Foster, 1995)","plainCitation":"(Foster, 1995)"},"citationItems":[{"id":48,"uris":["http://zotero.org/users/944474/items/D8DIGEZA"],"uri":["http://zotero.org/users/944474/items/D8DIGEZA"],"itemData":{"id":48,"type":"article-journal","title":"Molecular characterization and functional analysis of the major autolysin of Staphylococcus aureus 8325/4","container-title":"Journal of Bacteriology","page":"5723-5725","volume":"177","issue":"19","abstract":"The gene encoding the major autolysin of Staphylococcus aureus 8325/4 has been cloned, sequenced, and insertionally inactivated. The three-domain, 137,384-Da protein has a C-terminal glucosaminidase active site and is involved in cell separation, generalized cell lysis, and release of wall material at the cell surface. Expression occurs throughout growth and is stimulated by low temperatures and in the presence of 1 M NaCl.","note":"PMID: 7559367","journalAbbreviation":"J. Bacteriol.","author":[{"family":"Foster","given":"S J"}],"issued":{"year":1995,"month":10},"accessed":{"year":2012,"month":3,"day":6},"page-first":"5723"}}],"schema":"https://github.com/citation-style-language/schema/raw/master/csl-citation.json"} </w:instrText>
            </w:r>
            <w:r>
              <w:rPr>
                <w:rFonts w:ascii="Times New Roman" w:hAnsi="Times New Roman" w:cs="Times New Roman"/>
              </w:rPr>
              <w:fldChar w:fldCharType="separate"/>
            </w:r>
            <w:r w:rsidRPr="0082306F">
              <w:rPr>
                <w:rFonts w:ascii="Times New Roman" w:hAnsi="Times New Roman" w:cs="Times New Roman"/>
              </w:rPr>
              <w:t>(Foster, 1995)</w:t>
            </w:r>
            <w:r>
              <w:rPr>
                <w:rFonts w:ascii="Times New Roman" w:hAnsi="Times New Roman" w:cs="Times New Roman"/>
              </w:rPr>
              <w:fldChar w:fldCharType="end"/>
            </w:r>
          </w:p>
        </w:tc>
      </w:tr>
      <w:tr w:rsidR="002D7C9B" w:rsidRPr="0076399D" w:rsidTr="002D7C9B">
        <w:tc>
          <w:tcPr>
            <w:tcW w:w="1056"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sidRPr="0076399D">
              <w:rPr>
                <w:rFonts w:ascii="Times New Roman" w:hAnsi="Times New Roman" w:cs="Times New Roman"/>
              </w:rPr>
              <w:t>SJF1380</w:t>
            </w:r>
          </w:p>
        </w:tc>
        <w:tc>
          <w:tcPr>
            <w:tcW w:w="2583" w:type="pct"/>
            <w:tcBorders>
              <w:top w:val="nil"/>
              <w:left w:val="nil"/>
              <w:bottom w:val="nil"/>
              <w:right w:val="nil"/>
            </w:tcBorders>
          </w:tcPr>
          <w:p w:rsidR="002D7C9B" w:rsidRPr="0076399D" w:rsidRDefault="002D7C9B" w:rsidP="002D7C9B">
            <w:pPr>
              <w:spacing w:before="60" w:after="60"/>
              <w:rPr>
                <w:rFonts w:ascii="Times New Roman" w:hAnsi="Times New Roman" w:cs="Times New Roman"/>
              </w:rPr>
            </w:pPr>
            <w:r w:rsidRPr="0076399D">
              <w:rPr>
                <w:rFonts w:ascii="Times New Roman" w:hAnsi="Times New Roman" w:cs="Times New Roman"/>
              </w:rPr>
              <w:t xml:space="preserve">SH1000 </w:t>
            </w:r>
            <w:r w:rsidRPr="003268CB">
              <w:rPr>
                <w:rFonts w:ascii="Times New Roman" w:hAnsi="Times New Roman" w:cs="Times New Roman"/>
              </w:rPr>
              <w:t>SA2297</w:t>
            </w:r>
            <w:r w:rsidRPr="0076399D">
              <w:rPr>
                <w:rFonts w:ascii="Times New Roman" w:hAnsi="Times New Roman" w:cs="Times New Roman"/>
                <w:i/>
              </w:rPr>
              <w:t>::</w:t>
            </w:r>
            <w:r w:rsidRPr="00CC515C">
              <w:rPr>
                <w:rFonts w:ascii="Times New Roman" w:hAnsi="Times New Roman" w:cs="Times New Roman"/>
                <w:i/>
              </w:rPr>
              <w:t>tetL</w:t>
            </w:r>
            <w:r w:rsidRPr="0076399D">
              <w:rPr>
                <w:rFonts w:ascii="Times New Roman" w:hAnsi="Times New Roman" w:cs="Times New Roman"/>
              </w:rPr>
              <w:t xml:space="preserve"> (Tmn</w:t>
            </w:r>
            <w:r w:rsidRPr="0076399D">
              <w:rPr>
                <w:rFonts w:ascii="Times New Roman" w:hAnsi="Times New Roman" w:cs="Times New Roman"/>
                <w:vertAlign w:val="superscript"/>
              </w:rPr>
              <w:t>R</w:t>
            </w:r>
            <w:r w:rsidRPr="0076399D">
              <w:rPr>
                <w:rFonts w:ascii="Times New Roman" w:hAnsi="Times New Roman" w:cs="Times New Roman"/>
              </w:rPr>
              <w:t>)</w:t>
            </w:r>
          </w:p>
        </w:tc>
        <w:tc>
          <w:tcPr>
            <w:tcW w:w="1362"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sidRPr="0076399D">
              <w:rPr>
                <w:rFonts w:ascii="Times New Roman" w:hAnsi="Times New Roman" w:cs="Times New Roman"/>
              </w:rPr>
              <w:t>Horsburgh and Foster, unpublished</w:t>
            </w:r>
          </w:p>
        </w:tc>
      </w:tr>
      <w:tr w:rsidR="002D7C9B" w:rsidRPr="0076399D" w:rsidTr="002D7C9B">
        <w:tc>
          <w:tcPr>
            <w:tcW w:w="1056"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sidRPr="0076399D">
              <w:rPr>
                <w:rFonts w:ascii="Times New Roman" w:hAnsi="Times New Roman" w:cs="Times New Roman"/>
              </w:rPr>
              <w:t>SJF2115</w:t>
            </w:r>
          </w:p>
        </w:tc>
        <w:tc>
          <w:tcPr>
            <w:tcW w:w="2583" w:type="pct"/>
            <w:tcBorders>
              <w:top w:val="nil"/>
              <w:left w:val="nil"/>
              <w:bottom w:val="nil"/>
              <w:right w:val="nil"/>
            </w:tcBorders>
          </w:tcPr>
          <w:p w:rsidR="002D7C9B" w:rsidRPr="0076399D" w:rsidRDefault="002D7C9B" w:rsidP="002D7C9B">
            <w:pPr>
              <w:spacing w:before="60" w:after="60"/>
              <w:rPr>
                <w:rFonts w:ascii="Times New Roman" w:hAnsi="Times New Roman" w:cs="Times New Roman"/>
              </w:rPr>
            </w:pPr>
            <w:r w:rsidRPr="0076399D">
              <w:rPr>
                <w:rFonts w:ascii="Times New Roman" w:hAnsi="Times New Roman" w:cs="Times New Roman"/>
              </w:rPr>
              <w:t xml:space="preserve">SH1000 </w:t>
            </w:r>
            <w:r w:rsidRPr="0076399D">
              <w:rPr>
                <w:rFonts w:ascii="Times New Roman" w:hAnsi="Times New Roman" w:cs="Times New Roman"/>
                <w:i/>
              </w:rPr>
              <w:t>scaH::</w:t>
            </w:r>
            <w:r w:rsidRPr="00CC515C">
              <w:rPr>
                <w:rFonts w:ascii="Times New Roman" w:hAnsi="Times New Roman" w:cs="Times New Roman"/>
                <w:i/>
              </w:rPr>
              <w:t>tetM</w:t>
            </w:r>
            <w:r w:rsidRPr="0076399D">
              <w:rPr>
                <w:rFonts w:ascii="Times New Roman" w:hAnsi="Times New Roman" w:cs="Times New Roman"/>
                <w:i/>
              </w:rPr>
              <w:t xml:space="preserve"> </w:t>
            </w:r>
            <w:r w:rsidRPr="0076399D">
              <w:rPr>
                <w:rFonts w:ascii="Times New Roman" w:hAnsi="Times New Roman" w:cs="Times New Roman"/>
              </w:rPr>
              <w:t>(Tet</w:t>
            </w:r>
            <w:r w:rsidRPr="0076399D">
              <w:rPr>
                <w:rFonts w:ascii="Times New Roman" w:hAnsi="Times New Roman" w:cs="Times New Roman"/>
                <w:vertAlign w:val="superscript"/>
              </w:rPr>
              <w:t>R</w:t>
            </w:r>
            <w:r w:rsidRPr="0076399D">
              <w:rPr>
                <w:rFonts w:ascii="Times New Roman" w:hAnsi="Times New Roman" w:cs="Times New Roman"/>
              </w:rPr>
              <w:t>)</w:t>
            </w:r>
          </w:p>
        </w:tc>
        <w:tc>
          <w:tcPr>
            <w:tcW w:w="1362"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{"citationID":"1hvmp3190q","properties":{"formattedCitation":"(Mohamad,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4954B7">
              <w:rPr>
                <w:rFonts w:ascii="Times New Roman" w:hAnsi="Times New Roman" w:cs="Times New Roman"/>
              </w:rPr>
              <w:t>(Mohamad, 2007)</w:t>
            </w:r>
            <w:r>
              <w:rPr>
                <w:rFonts w:ascii="Times New Roman" w:hAnsi="Times New Roman" w:cs="Times New Roman"/>
              </w:rPr>
              <w:fldChar w:fldCharType="end"/>
            </w:r>
          </w:p>
        </w:tc>
      </w:tr>
      <w:tr w:rsidR="002D7C9B" w:rsidRPr="0076399D" w:rsidTr="002D7C9B">
        <w:tc>
          <w:tcPr>
            <w:tcW w:w="1056"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sidRPr="0076399D">
              <w:rPr>
                <w:rFonts w:ascii="Times New Roman" w:hAnsi="Times New Roman" w:cs="Times New Roman"/>
              </w:rPr>
              <w:t>SJF2117</w:t>
            </w:r>
          </w:p>
        </w:tc>
        <w:tc>
          <w:tcPr>
            <w:tcW w:w="2583" w:type="pct"/>
            <w:tcBorders>
              <w:top w:val="nil"/>
              <w:left w:val="nil"/>
              <w:bottom w:val="nil"/>
              <w:right w:val="nil"/>
            </w:tcBorders>
          </w:tcPr>
          <w:p w:rsidR="002D7C9B" w:rsidRPr="0076399D" w:rsidRDefault="002D7C9B" w:rsidP="002D7C9B">
            <w:pPr>
              <w:spacing w:before="60" w:after="60"/>
              <w:rPr>
                <w:rFonts w:ascii="Times New Roman" w:hAnsi="Times New Roman" w:cs="Times New Roman"/>
              </w:rPr>
            </w:pPr>
            <w:r w:rsidRPr="0076399D">
              <w:rPr>
                <w:rFonts w:ascii="Times New Roman" w:hAnsi="Times New Roman" w:cs="Times New Roman"/>
              </w:rPr>
              <w:t xml:space="preserve">SH1000 </w:t>
            </w:r>
            <w:r w:rsidRPr="0076399D">
              <w:rPr>
                <w:rFonts w:ascii="Times New Roman" w:hAnsi="Times New Roman" w:cs="Times New Roman"/>
                <w:i/>
              </w:rPr>
              <w:t xml:space="preserve">sagB::kan </w:t>
            </w:r>
            <w:r w:rsidRPr="0076399D">
              <w:rPr>
                <w:rFonts w:ascii="Times New Roman" w:hAnsi="Times New Roman" w:cs="Times New Roman"/>
              </w:rPr>
              <w:t>(Kan</w:t>
            </w:r>
            <w:r w:rsidRPr="0076399D">
              <w:rPr>
                <w:rFonts w:ascii="Times New Roman" w:hAnsi="Times New Roman" w:cs="Times New Roman"/>
                <w:vertAlign w:val="superscript"/>
              </w:rPr>
              <w:t>R</w:t>
            </w:r>
            <w:r w:rsidRPr="0076399D">
              <w:rPr>
                <w:rFonts w:ascii="Times New Roman" w:hAnsi="Times New Roman" w:cs="Times New Roman"/>
              </w:rPr>
              <w:t>)</w:t>
            </w:r>
          </w:p>
        </w:tc>
        <w:tc>
          <w:tcPr>
            <w:tcW w:w="1362"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{"citationID":"FkIMCmsr","properties":{"formattedCitation":"(Mohamad,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4954B7">
              <w:rPr>
                <w:rFonts w:ascii="Times New Roman" w:hAnsi="Times New Roman" w:cs="Times New Roman"/>
              </w:rPr>
              <w:t>(Mohamad, 2007)</w:t>
            </w:r>
            <w:r>
              <w:rPr>
                <w:rFonts w:ascii="Times New Roman" w:hAnsi="Times New Roman" w:cs="Times New Roman"/>
              </w:rPr>
              <w:fldChar w:fldCharType="end"/>
            </w:r>
          </w:p>
        </w:tc>
      </w:tr>
      <w:tr w:rsidR="002D7C9B" w:rsidRPr="0076399D" w:rsidTr="002D7C9B">
        <w:tc>
          <w:tcPr>
            <w:tcW w:w="1056"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sidRPr="0076399D">
              <w:rPr>
                <w:rFonts w:ascii="Times New Roman" w:hAnsi="Times New Roman" w:cs="Times New Roman"/>
              </w:rPr>
              <w:t>SJF2118</w:t>
            </w:r>
          </w:p>
        </w:tc>
        <w:tc>
          <w:tcPr>
            <w:tcW w:w="2583" w:type="pct"/>
            <w:tcBorders>
              <w:top w:val="nil"/>
              <w:left w:val="nil"/>
              <w:bottom w:val="nil"/>
              <w:right w:val="nil"/>
            </w:tcBorders>
          </w:tcPr>
          <w:p w:rsidR="002D7C9B" w:rsidRPr="0076399D" w:rsidRDefault="002D7C9B" w:rsidP="002D7C9B">
            <w:pPr>
              <w:spacing w:before="60" w:after="60"/>
              <w:rPr>
                <w:rFonts w:ascii="Times New Roman" w:hAnsi="Times New Roman" w:cs="Times New Roman"/>
              </w:rPr>
            </w:pPr>
            <w:r w:rsidRPr="0076399D">
              <w:rPr>
                <w:rFonts w:ascii="Times New Roman" w:hAnsi="Times New Roman" w:cs="Times New Roman"/>
              </w:rPr>
              <w:t xml:space="preserve">SH1000 </w:t>
            </w:r>
            <w:r w:rsidRPr="0076399D">
              <w:rPr>
                <w:rFonts w:ascii="Times New Roman" w:hAnsi="Times New Roman" w:cs="Times New Roman"/>
                <w:i/>
              </w:rPr>
              <w:t>atl::</w:t>
            </w:r>
            <w:r>
              <w:rPr>
                <w:rFonts w:ascii="Times New Roman" w:hAnsi="Times New Roman" w:cs="Times New Roman"/>
                <w:i/>
              </w:rPr>
              <w:t>pAZ106</w:t>
            </w:r>
            <w:r w:rsidRPr="0076399D">
              <w:rPr>
                <w:rFonts w:ascii="Times New Roman" w:hAnsi="Times New Roman" w:cs="Times New Roman"/>
                <w:i/>
              </w:rPr>
              <w:t xml:space="preserve"> sagB::kan </w:t>
            </w:r>
            <w:r w:rsidRPr="0076399D">
              <w:rPr>
                <w:rFonts w:ascii="Times New Roman" w:hAnsi="Times New Roman" w:cs="Times New Roman"/>
              </w:rPr>
              <w:t>(Ery</w:t>
            </w:r>
            <w:r w:rsidRPr="0076399D">
              <w:rPr>
                <w:rFonts w:ascii="Times New Roman" w:hAnsi="Times New Roman" w:cs="Times New Roman"/>
                <w:vertAlign w:val="superscript"/>
              </w:rPr>
              <w:t>R</w:t>
            </w:r>
            <w:r w:rsidRPr="0076399D">
              <w:rPr>
                <w:rFonts w:ascii="Times New Roman" w:hAnsi="Times New Roman" w:cs="Times New Roman"/>
              </w:rPr>
              <w:t>, Kan</w:t>
            </w:r>
            <w:r w:rsidRPr="0076399D">
              <w:rPr>
                <w:rFonts w:ascii="Times New Roman" w:hAnsi="Times New Roman" w:cs="Times New Roman"/>
                <w:vertAlign w:val="superscript"/>
              </w:rPr>
              <w:t>R</w:t>
            </w:r>
            <w:r w:rsidRPr="0076399D">
              <w:rPr>
                <w:rFonts w:ascii="Times New Roman" w:hAnsi="Times New Roman" w:cs="Times New Roman"/>
              </w:rPr>
              <w:t>)</w:t>
            </w:r>
          </w:p>
        </w:tc>
        <w:tc>
          <w:tcPr>
            <w:tcW w:w="1362"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{"citationID":"TB7wxMzC","properties":{"formattedCitation":"(Mohamad,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4954B7">
              <w:rPr>
                <w:rFonts w:ascii="Times New Roman" w:hAnsi="Times New Roman" w:cs="Times New Roman"/>
              </w:rPr>
              <w:t>(Mohamad, 2007)</w:t>
            </w:r>
            <w:r>
              <w:rPr>
                <w:rFonts w:ascii="Times New Roman" w:hAnsi="Times New Roman" w:cs="Times New Roman"/>
              </w:rPr>
              <w:fldChar w:fldCharType="end"/>
            </w:r>
          </w:p>
        </w:tc>
      </w:tr>
      <w:tr w:rsidR="002D7C9B" w:rsidRPr="0076399D" w:rsidTr="002D7C9B">
        <w:tc>
          <w:tcPr>
            <w:tcW w:w="1056"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sidRPr="0076399D">
              <w:rPr>
                <w:rFonts w:ascii="Times New Roman" w:hAnsi="Times New Roman" w:cs="Times New Roman"/>
              </w:rPr>
              <w:t>SJF2119</w:t>
            </w:r>
          </w:p>
        </w:tc>
        <w:tc>
          <w:tcPr>
            <w:tcW w:w="2583" w:type="pct"/>
            <w:tcBorders>
              <w:top w:val="nil"/>
              <w:left w:val="nil"/>
              <w:bottom w:val="nil"/>
              <w:right w:val="nil"/>
            </w:tcBorders>
          </w:tcPr>
          <w:p w:rsidR="002D7C9B" w:rsidRPr="0076399D" w:rsidRDefault="002D7C9B" w:rsidP="002D7C9B">
            <w:pPr>
              <w:spacing w:before="60" w:after="60"/>
              <w:rPr>
                <w:rFonts w:ascii="Times New Roman" w:hAnsi="Times New Roman" w:cs="Times New Roman"/>
                <w:lang w:val="de-DE"/>
              </w:rPr>
            </w:pPr>
            <w:r w:rsidRPr="0076399D">
              <w:rPr>
                <w:rFonts w:ascii="Times New Roman" w:hAnsi="Times New Roman" w:cs="Times New Roman"/>
                <w:lang w:val="de-DE"/>
              </w:rPr>
              <w:t>SH1000</w:t>
            </w:r>
            <w:r w:rsidRPr="0076399D">
              <w:rPr>
                <w:rFonts w:ascii="Times New Roman" w:hAnsi="Times New Roman" w:cs="Times New Roman"/>
                <w:i/>
                <w:lang w:val="de-DE"/>
              </w:rPr>
              <w:t xml:space="preserve"> </w:t>
            </w:r>
            <w:r w:rsidRPr="003268CB">
              <w:rPr>
                <w:rFonts w:ascii="Times New Roman" w:hAnsi="Times New Roman" w:cs="Times New Roman"/>
                <w:lang w:val="de-DE"/>
              </w:rPr>
              <w:t>SA2297</w:t>
            </w:r>
            <w:r w:rsidRPr="0076399D">
              <w:rPr>
                <w:rFonts w:ascii="Times New Roman" w:hAnsi="Times New Roman" w:cs="Times New Roman"/>
                <w:i/>
                <w:lang w:val="de-DE"/>
              </w:rPr>
              <w:t>::</w:t>
            </w:r>
            <w:r w:rsidRPr="00CC515C">
              <w:rPr>
                <w:rFonts w:ascii="Times New Roman" w:hAnsi="Times New Roman" w:cs="Times New Roman"/>
                <w:i/>
                <w:lang w:val="de-DE"/>
              </w:rPr>
              <w:t>tetL</w:t>
            </w:r>
            <w:r w:rsidRPr="0076399D">
              <w:rPr>
                <w:rFonts w:ascii="Times New Roman" w:hAnsi="Times New Roman" w:cs="Times New Roman"/>
                <w:i/>
                <w:lang w:val="de-DE"/>
              </w:rPr>
              <w:t xml:space="preserve"> sagB::kan </w:t>
            </w:r>
            <w:r w:rsidRPr="0076399D">
              <w:rPr>
                <w:rFonts w:ascii="Times New Roman" w:hAnsi="Times New Roman" w:cs="Times New Roman"/>
                <w:lang w:val="de-DE"/>
              </w:rPr>
              <w:t>(Kan</w:t>
            </w:r>
            <w:r w:rsidRPr="0076399D">
              <w:rPr>
                <w:rFonts w:ascii="Times New Roman" w:hAnsi="Times New Roman" w:cs="Times New Roman"/>
                <w:vertAlign w:val="superscript"/>
                <w:lang w:val="de-DE"/>
              </w:rPr>
              <w:t>R</w:t>
            </w:r>
            <w:r w:rsidRPr="0076399D">
              <w:rPr>
                <w:rFonts w:ascii="Times New Roman" w:hAnsi="Times New Roman" w:cs="Times New Roman"/>
                <w:lang w:val="de-DE"/>
              </w:rPr>
              <w:t>, Tmn</w:t>
            </w:r>
            <w:r w:rsidRPr="0076399D">
              <w:rPr>
                <w:rFonts w:ascii="Times New Roman" w:hAnsi="Times New Roman" w:cs="Times New Roman"/>
                <w:vertAlign w:val="superscript"/>
                <w:lang w:val="de-DE"/>
              </w:rPr>
              <w:t>R</w:t>
            </w:r>
            <w:r w:rsidRPr="0076399D">
              <w:rPr>
                <w:rFonts w:ascii="Times New Roman" w:hAnsi="Times New Roman" w:cs="Times New Roman"/>
                <w:lang w:val="de-DE"/>
              </w:rPr>
              <w:t>)</w:t>
            </w:r>
          </w:p>
        </w:tc>
        <w:tc>
          <w:tcPr>
            <w:tcW w:w="1362"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{"citationID":"Z3MNXRdx","properties":{"formattedCitation":"(Mohamad,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4954B7">
              <w:rPr>
                <w:rFonts w:ascii="Times New Roman" w:hAnsi="Times New Roman" w:cs="Times New Roman"/>
              </w:rPr>
              <w:t>(Mohamad, 2007)</w:t>
            </w:r>
            <w:r>
              <w:rPr>
                <w:rFonts w:ascii="Times New Roman" w:hAnsi="Times New Roman" w:cs="Times New Roman"/>
              </w:rPr>
              <w:fldChar w:fldCharType="end"/>
            </w:r>
          </w:p>
        </w:tc>
      </w:tr>
      <w:tr w:rsidR="002D7C9B" w:rsidRPr="0076399D" w:rsidTr="002D7C9B">
        <w:tc>
          <w:tcPr>
            <w:tcW w:w="1056" w:type="pct"/>
            <w:tcBorders>
              <w:top w:val="nil"/>
              <w:left w:val="nil"/>
              <w:bottom w:val="single" w:sz="4" w:space="0" w:color="auto"/>
              <w:right w:val="nil"/>
            </w:tcBorders>
          </w:tcPr>
          <w:p w:rsidR="002D7C9B" w:rsidRPr="0076399D" w:rsidRDefault="002D7C9B" w:rsidP="002D7C9B">
            <w:pPr>
              <w:spacing w:before="60" w:after="60"/>
              <w:jc w:val="center"/>
              <w:rPr>
                <w:rFonts w:ascii="Times New Roman" w:hAnsi="Times New Roman" w:cs="Times New Roman"/>
              </w:rPr>
            </w:pPr>
          </w:p>
        </w:tc>
        <w:tc>
          <w:tcPr>
            <w:tcW w:w="2583" w:type="pct"/>
            <w:tcBorders>
              <w:top w:val="nil"/>
              <w:left w:val="nil"/>
              <w:bottom w:val="single" w:sz="4" w:space="0" w:color="auto"/>
              <w:right w:val="nil"/>
            </w:tcBorders>
          </w:tcPr>
          <w:p w:rsidR="002D7C9B" w:rsidRPr="0076399D" w:rsidRDefault="002D7C9B" w:rsidP="002D7C9B">
            <w:pPr>
              <w:spacing w:before="60" w:after="60"/>
              <w:rPr>
                <w:rFonts w:ascii="Times New Roman" w:hAnsi="Times New Roman" w:cs="Times New Roman"/>
                <w:lang w:val="de-DE"/>
              </w:rPr>
            </w:pPr>
          </w:p>
        </w:tc>
        <w:tc>
          <w:tcPr>
            <w:tcW w:w="1362" w:type="pct"/>
            <w:tcBorders>
              <w:top w:val="nil"/>
              <w:left w:val="nil"/>
              <w:bottom w:val="single" w:sz="4" w:space="0" w:color="auto"/>
              <w:right w:val="nil"/>
            </w:tcBorders>
          </w:tcPr>
          <w:p w:rsidR="002D7C9B" w:rsidRDefault="002D7C9B" w:rsidP="002D7C9B">
            <w:pPr>
              <w:spacing w:before="60" w:after="60"/>
              <w:jc w:val="center"/>
              <w:rPr>
                <w:rFonts w:ascii="Times New Roman" w:hAnsi="Times New Roman" w:cs="Times New Roman"/>
              </w:rPr>
            </w:pPr>
          </w:p>
        </w:tc>
      </w:tr>
      <w:tr w:rsidR="002D7C9B" w:rsidRPr="0076399D" w:rsidTr="002D7C9B">
        <w:tc>
          <w:tcPr>
            <w:tcW w:w="1056" w:type="pct"/>
            <w:tcBorders>
              <w:top w:val="single" w:sz="4" w:space="0" w:color="auto"/>
              <w:left w:val="nil"/>
              <w:bottom w:val="single" w:sz="4" w:space="0" w:color="auto"/>
              <w:right w:val="nil"/>
            </w:tcBorders>
          </w:tcPr>
          <w:p w:rsidR="002D7C9B" w:rsidRPr="0076399D" w:rsidRDefault="002D7C9B" w:rsidP="002D7C9B">
            <w:pPr>
              <w:spacing w:before="60" w:after="60"/>
              <w:jc w:val="center"/>
              <w:rPr>
                <w:rFonts w:ascii="Times New Roman" w:hAnsi="Times New Roman" w:cs="Times New Roman"/>
                <w:b/>
                <w:i/>
                <w:sz w:val="24"/>
                <w:szCs w:val="24"/>
              </w:rPr>
            </w:pPr>
            <w:r w:rsidRPr="0076399D">
              <w:rPr>
                <w:rFonts w:ascii="Times New Roman" w:hAnsi="Times New Roman" w:cs="Times New Roman"/>
                <w:b/>
                <w:i/>
                <w:sz w:val="24"/>
                <w:szCs w:val="24"/>
              </w:rPr>
              <w:lastRenderedPageBreak/>
              <w:t xml:space="preserve">S. aureus </w:t>
            </w:r>
            <w:r w:rsidRPr="0076399D">
              <w:rPr>
                <w:rFonts w:ascii="Times New Roman" w:hAnsi="Times New Roman" w:cs="Times New Roman"/>
                <w:b/>
                <w:sz w:val="24"/>
                <w:szCs w:val="24"/>
              </w:rPr>
              <w:t>strain</w:t>
            </w:r>
          </w:p>
        </w:tc>
        <w:tc>
          <w:tcPr>
            <w:tcW w:w="2583" w:type="pct"/>
            <w:tcBorders>
              <w:top w:val="single" w:sz="4" w:space="0" w:color="auto"/>
              <w:left w:val="nil"/>
              <w:bottom w:val="single" w:sz="4" w:space="0" w:color="auto"/>
              <w:right w:val="nil"/>
            </w:tcBorders>
          </w:tcPr>
          <w:p w:rsidR="002D7C9B" w:rsidRPr="0076399D" w:rsidRDefault="002D7C9B" w:rsidP="002D7C9B">
            <w:pPr>
              <w:spacing w:before="60" w:after="60"/>
              <w:jc w:val="center"/>
              <w:rPr>
                <w:rFonts w:ascii="Times New Roman" w:hAnsi="Times New Roman" w:cs="Times New Roman"/>
                <w:b/>
                <w:sz w:val="24"/>
                <w:szCs w:val="24"/>
              </w:rPr>
            </w:pPr>
            <w:r w:rsidRPr="0076399D">
              <w:rPr>
                <w:rFonts w:ascii="Times New Roman" w:hAnsi="Times New Roman" w:cs="Times New Roman"/>
                <w:b/>
                <w:sz w:val="24"/>
                <w:szCs w:val="24"/>
              </w:rPr>
              <w:t>Relevant genotype/marker</w:t>
            </w:r>
          </w:p>
        </w:tc>
        <w:tc>
          <w:tcPr>
            <w:tcW w:w="1362" w:type="pct"/>
            <w:tcBorders>
              <w:top w:val="single" w:sz="4" w:space="0" w:color="auto"/>
              <w:left w:val="nil"/>
              <w:bottom w:val="single" w:sz="4" w:space="0" w:color="auto"/>
              <w:right w:val="nil"/>
            </w:tcBorders>
          </w:tcPr>
          <w:p w:rsidR="002D7C9B" w:rsidRPr="0076399D" w:rsidRDefault="002D7C9B" w:rsidP="002D7C9B">
            <w:pPr>
              <w:spacing w:before="60" w:after="60"/>
              <w:jc w:val="center"/>
              <w:rPr>
                <w:rFonts w:ascii="Times New Roman" w:hAnsi="Times New Roman" w:cs="Times New Roman"/>
                <w:b/>
                <w:sz w:val="24"/>
                <w:szCs w:val="24"/>
              </w:rPr>
            </w:pPr>
            <w:r w:rsidRPr="0076399D">
              <w:rPr>
                <w:rFonts w:ascii="Times New Roman" w:hAnsi="Times New Roman" w:cs="Times New Roman"/>
                <w:b/>
                <w:sz w:val="24"/>
                <w:szCs w:val="24"/>
              </w:rPr>
              <w:t>Source</w:t>
            </w:r>
          </w:p>
        </w:tc>
      </w:tr>
      <w:tr w:rsidR="002D7C9B" w:rsidRPr="0076399D" w:rsidTr="002D7C9B">
        <w:tc>
          <w:tcPr>
            <w:tcW w:w="1056" w:type="pct"/>
            <w:tcBorders>
              <w:top w:val="single" w:sz="4" w:space="0" w:color="auto"/>
              <w:left w:val="nil"/>
              <w:bottom w:val="nil"/>
              <w:right w:val="nil"/>
            </w:tcBorders>
          </w:tcPr>
          <w:p w:rsidR="002D7C9B" w:rsidRPr="0076399D" w:rsidRDefault="002D7C9B" w:rsidP="002D7C9B">
            <w:pPr>
              <w:spacing w:before="60" w:after="60"/>
              <w:jc w:val="center"/>
              <w:rPr>
                <w:rFonts w:ascii="Times New Roman" w:hAnsi="Times New Roman" w:cs="Times New Roman"/>
              </w:rPr>
            </w:pPr>
            <w:r w:rsidRPr="0076399D">
              <w:rPr>
                <w:rFonts w:ascii="Times New Roman" w:hAnsi="Times New Roman" w:cs="Times New Roman"/>
              </w:rPr>
              <w:t>SJF2120</w:t>
            </w:r>
          </w:p>
        </w:tc>
        <w:tc>
          <w:tcPr>
            <w:tcW w:w="2583" w:type="pct"/>
            <w:tcBorders>
              <w:top w:val="single" w:sz="4" w:space="0" w:color="auto"/>
              <w:left w:val="nil"/>
              <w:bottom w:val="nil"/>
              <w:right w:val="nil"/>
            </w:tcBorders>
          </w:tcPr>
          <w:p w:rsidR="002D7C9B" w:rsidRPr="0076399D" w:rsidRDefault="002D7C9B" w:rsidP="002D7C9B">
            <w:pPr>
              <w:spacing w:before="60" w:after="60"/>
              <w:rPr>
                <w:rFonts w:ascii="Times New Roman" w:hAnsi="Times New Roman" w:cs="Times New Roman"/>
              </w:rPr>
            </w:pPr>
            <w:r w:rsidRPr="0076399D">
              <w:rPr>
                <w:rFonts w:ascii="Times New Roman" w:hAnsi="Times New Roman" w:cs="Times New Roman"/>
              </w:rPr>
              <w:t xml:space="preserve">SH1000 </w:t>
            </w:r>
            <w:r w:rsidRPr="0076399D">
              <w:rPr>
                <w:rFonts w:ascii="Times New Roman" w:hAnsi="Times New Roman" w:cs="Times New Roman"/>
                <w:i/>
              </w:rPr>
              <w:t>atl::</w:t>
            </w:r>
            <w:r>
              <w:rPr>
                <w:rFonts w:ascii="Times New Roman" w:hAnsi="Times New Roman" w:cs="Times New Roman"/>
                <w:i/>
              </w:rPr>
              <w:t>pAZ106</w:t>
            </w:r>
            <w:r w:rsidRPr="0076399D">
              <w:rPr>
                <w:rFonts w:ascii="Times New Roman" w:hAnsi="Times New Roman" w:cs="Times New Roman"/>
                <w:i/>
              </w:rPr>
              <w:t xml:space="preserve"> sagB::kan </w:t>
            </w:r>
            <w:r w:rsidRPr="003268CB">
              <w:rPr>
                <w:rFonts w:ascii="Times New Roman" w:hAnsi="Times New Roman" w:cs="Times New Roman"/>
              </w:rPr>
              <w:t>SA2297</w:t>
            </w:r>
            <w:r w:rsidRPr="0076399D">
              <w:rPr>
                <w:rFonts w:ascii="Times New Roman" w:hAnsi="Times New Roman" w:cs="Times New Roman"/>
                <w:i/>
              </w:rPr>
              <w:t>::</w:t>
            </w:r>
            <w:r w:rsidRPr="00CC515C">
              <w:rPr>
                <w:rFonts w:ascii="Times New Roman" w:hAnsi="Times New Roman" w:cs="Times New Roman"/>
                <w:i/>
              </w:rPr>
              <w:t>tetL</w:t>
            </w:r>
            <w:r w:rsidRPr="0076399D">
              <w:rPr>
                <w:rFonts w:ascii="Times New Roman" w:hAnsi="Times New Roman" w:cs="Times New Roman"/>
              </w:rPr>
              <w:t xml:space="preserve"> (Ery</w:t>
            </w:r>
            <w:r w:rsidRPr="0076399D">
              <w:rPr>
                <w:rFonts w:ascii="Times New Roman" w:hAnsi="Times New Roman" w:cs="Times New Roman"/>
                <w:vertAlign w:val="superscript"/>
              </w:rPr>
              <w:t>R</w:t>
            </w:r>
            <w:r w:rsidRPr="0076399D">
              <w:rPr>
                <w:rFonts w:ascii="Times New Roman" w:hAnsi="Times New Roman" w:cs="Times New Roman"/>
              </w:rPr>
              <w:t>, Kan</w:t>
            </w:r>
            <w:r w:rsidRPr="0076399D">
              <w:rPr>
                <w:rFonts w:ascii="Times New Roman" w:hAnsi="Times New Roman" w:cs="Times New Roman"/>
                <w:vertAlign w:val="superscript"/>
              </w:rPr>
              <w:t>R</w:t>
            </w:r>
            <w:r w:rsidRPr="0076399D">
              <w:rPr>
                <w:rFonts w:ascii="Times New Roman" w:hAnsi="Times New Roman" w:cs="Times New Roman"/>
              </w:rPr>
              <w:t>, Tmn</w:t>
            </w:r>
            <w:r w:rsidRPr="0076399D">
              <w:rPr>
                <w:rFonts w:ascii="Times New Roman" w:hAnsi="Times New Roman" w:cs="Times New Roman"/>
                <w:vertAlign w:val="superscript"/>
              </w:rPr>
              <w:t>R</w:t>
            </w:r>
            <w:r w:rsidRPr="0076399D">
              <w:rPr>
                <w:rFonts w:ascii="Times New Roman" w:hAnsi="Times New Roman" w:cs="Times New Roman"/>
              </w:rPr>
              <w:t>)</w:t>
            </w:r>
          </w:p>
        </w:tc>
        <w:tc>
          <w:tcPr>
            <w:tcW w:w="1362" w:type="pct"/>
            <w:tcBorders>
              <w:top w:val="single" w:sz="4" w:space="0" w:color="auto"/>
              <w:left w:val="nil"/>
              <w:bottom w:val="nil"/>
              <w:right w:val="nil"/>
            </w:tcBorders>
          </w:tcPr>
          <w:p w:rsidR="002D7C9B" w:rsidRPr="0076399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{"citationID":"xQ918P1n","properties":{"formattedCitation":"(Mohamad,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4954B7">
              <w:rPr>
                <w:rFonts w:ascii="Times New Roman" w:hAnsi="Times New Roman" w:cs="Times New Roman"/>
              </w:rPr>
              <w:t>(Mohamad, 2007)</w:t>
            </w:r>
            <w:r>
              <w:rPr>
                <w:rFonts w:ascii="Times New Roman" w:hAnsi="Times New Roman" w:cs="Times New Roman"/>
              </w:rPr>
              <w:fldChar w:fldCharType="end"/>
            </w:r>
          </w:p>
        </w:tc>
      </w:tr>
      <w:tr w:rsidR="002D7C9B" w:rsidRPr="0076399D" w:rsidTr="002D7C9B">
        <w:tc>
          <w:tcPr>
            <w:tcW w:w="1056"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sidRPr="0076399D">
              <w:rPr>
                <w:rFonts w:ascii="Times New Roman" w:hAnsi="Times New Roman" w:cs="Times New Roman"/>
              </w:rPr>
              <w:t>SJF2121</w:t>
            </w:r>
          </w:p>
        </w:tc>
        <w:tc>
          <w:tcPr>
            <w:tcW w:w="2583" w:type="pct"/>
            <w:tcBorders>
              <w:top w:val="nil"/>
              <w:left w:val="nil"/>
              <w:bottom w:val="nil"/>
              <w:right w:val="nil"/>
            </w:tcBorders>
          </w:tcPr>
          <w:p w:rsidR="002D7C9B" w:rsidRPr="0076399D" w:rsidRDefault="002D7C9B" w:rsidP="002D7C9B">
            <w:pPr>
              <w:spacing w:before="60" w:after="60"/>
              <w:rPr>
                <w:rFonts w:ascii="Times New Roman" w:hAnsi="Times New Roman" w:cs="Times New Roman"/>
              </w:rPr>
            </w:pPr>
            <w:r w:rsidRPr="0076399D">
              <w:rPr>
                <w:rFonts w:ascii="Times New Roman" w:hAnsi="Times New Roman" w:cs="Times New Roman"/>
              </w:rPr>
              <w:t xml:space="preserve">SH1000 </w:t>
            </w:r>
            <w:r w:rsidRPr="0076399D">
              <w:rPr>
                <w:rFonts w:ascii="Times New Roman" w:hAnsi="Times New Roman" w:cs="Times New Roman"/>
                <w:i/>
              </w:rPr>
              <w:t>atl::</w:t>
            </w:r>
            <w:r>
              <w:rPr>
                <w:rFonts w:ascii="Times New Roman" w:hAnsi="Times New Roman" w:cs="Times New Roman"/>
                <w:i/>
              </w:rPr>
              <w:t>pAZ106</w:t>
            </w:r>
            <w:r w:rsidRPr="0076399D">
              <w:rPr>
                <w:rFonts w:ascii="Times New Roman" w:hAnsi="Times New Roman" w:cs="Times New Roman"/>
                <w:i/>
              </w:rPr>
              <w:t xml:space="preserve"> scaH::</w:t>
            </w:r>
            <w:r w:rsidRPr="00CC515C">
              <w:rPr>
                <w:rFonts w:ascii="Times New Roman" w:hAnsi="Times New Roman" w:cs="Times New Roman"/>
                <w:i/>
              </w:rPr>
              <w:t>tetM</w:t>
            </w:r>
            <w:r w:rsidRPr="0076399D">
              <w:rPr>
                <w:rFonts w:ascii="Times New Roman" w:hAnsi="Times New Roman" w:cs="Times New Roman"/>
              </w:rPr>
              <w:t xml:space="preserve"> (Ery</w:t>
            </w:r>
            <w:r w:rsidRPr="0076399D">
              <w:rPr>
                <w:rFonts w:ascii="Times New Roman" w:hAnsi="Times New Roman" w:cs="Times New Roman"/>
                <w:vertAlign w:val="superscript"/>
              </w:rPr>
              <w:t>R</w:t>
            </w:r>
            <w:r w:rsidRPr="0076399D">
              <w:rPr>
                <w:rFonts w:ascii="Times New Roman" w:hAnsi="Times New Roman" w:cs="Times New Roman"/>
              </w:rPr>
              <w:t>, Tet</w:t>
            </w:r>
            <w:r w:rsidRPr="0076399D">
              <w:rPr>
                <w:rFonts w:ascii="Times New Roman" w:hAnsi="Times New Roman" w:cs="Times New Roman"/>
                <w:vertAlign w:val="superscript"/>
              </w:rPr>
              <w:t>R</w:t>
            </w:r>
            <w:r w:rsidRPr="0076399D">
              <w:rPr>
                <w:rFonts w:ascii="Times New Roman" w:hAnsi="Times New Roman" w:cs="Times New Roman"/>
              </w:rPr>
              <w:t>)</w:t>
            </w:r>
          </w:p>
        </w:tc>
        <w:tc>
          <w:tcPr>
            <w:tcW w:w="1362"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{"citationID":"xDCfvA4b","properties":{"formattedCitation":"(Mohamad,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4954B7">
              <w:rPr>
                <w:rFonts w:ascii="Times New Roman" w:hAnsi="Times New Roman" w:cs="Times New Roman"/>
              </w:rPr>
              <w:t>(Mohamad, 2007)</w:t>
            </w:r>
            <w:r>
              <w:rPr>
                <w:rFonts w:ascii="Times New Roman" w:hAnsi="Times New Roman" w:cs="Times New Roman"/>
              </w:rPr>
              <w:fldChar w:fldCharType="end"/>
            </w:r>
          </w:p>
        </w:tc>
      </w:tr>
      <w:tr w:rsidR="002D7C9B" w:rsidRPr="0076399D" w:rsidTr="002D7C9B">
        <w:tc>
          <w:tcPr>
            <w:tcW w:w="1056"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sidRPr="0076399D">
              <w:rPr>
                <w:rFonts w:ascii="Times New Roman" w:hAnsi="Times New Roman" w:cs="Times New Roman"/>
              </w:rPr>
              <w:t>SJF2122</w:t>
            </w:r>
          </w:p>
        </w:tc>
        <w:tc>
          <w:tcPr>
            <w:tcW w:w="2583" w:type="pct"/>
            <w:tcBorders>
              <w:top w:val="nil"/>
              <w:left w:val="nil"/>
              <w:bottom w:val="nil"/>
              <w:right w:val="nil"/>
            </w:tcBorders>
          </w:tcPr>
          <w:p w:rsidR="002D7C9B" w:rsidRPr="0076399D" w:rsidRDefault="002D7C9B" w:rsidP="002D7C9B">
            <w:pPr>
              <w:spacing w:before="60" w:after="60"/>
              <w:rPr>
                <w:rFonts w:ascii="Times New Roman" w:hAnsi="Times New Roman" w:cs="Times New Roman"/>
              </w:rPr>
            </w:pPr>
            <w:r w:rsidRPr="0076399D">
              <w:rPr>
                <w:rFonts w:ascii="Times New Roman" w:hAnsi="Times New Roman" w:cs="Times New Roman"/>
              </w:rPr>
              <w:t>SH1000</w:t>
            </w:r>
            <w:r w:rsidRPr="0076399D">
              <w:rPr>
                <w:rFonts w:ascii="Times New Roman" w:hAnsi="Times New Roman" w:cs="Times New Roman"/>
                <w:i/>
              </w:rPr>
              <w:t xml:space="preserve"> </w:t>
            </w:r>
            <w:r w:rsidRPr="003268CB">
              <w:rPr>
                <w:rFonts w:ascii="Times New Roman" w:hAnsi="Times New Roman" w:cs="Times New Roman"/>
              </w:rPr>
              <w:t>SA2297</w:t>
            </w:r>
            <w:r w:rsidRPr="0076399D">
              <w:rPr>
                <w:rFonts w:ascii="Times New Roman" w:hAnsi="Times New Roman" w:cs="Times New Roman"/>
                <w:i/>
              </w:rPr>
              <w:t>::</w:t>
            </w:r>
            <w:r w:rsidRPr="00CC515C">
              <w:rPr>
                <w:rFonts w:ascii="Times New Roman" w:hAnsi="Times New Roman" w:cs="Times New Roman"/>
                <w:i/>
              </w:rPr>
              <w:t>tetL</w:t>
            </w:r>
            <w:r w:rsidRPr="0076399D">
              <w:rPr>
                <w:rFonts w:ascii="Times New Roman" w:hAnsi="Times New Roman" w:cs="Times New Roman"/>
              </w:rPr>
              <w:t xml:space="preserve"> </w:t>
            </w:r>
            <w:r w:rsidRPr="0076399D">
              <w:rPr>
                <w:rFonts w:ascii="Times New Roman" w:hAnsi="Times New Roman" w:cs="Times New Roman"/>
                <w:i/>
              </w:rPr>
              <w:t>scaH::</w:t>
            </w:r>
            <w:r w:rsidRPr="00CC515C">
              <w:rPr>
                <w:rFonts w:ascii="Times New Roman" w:hAnsi="Times New Roman" w:cs="Times New Roman"/>
                <w:i/>
              </w:rPr>
              <w:t>tetM</w:t>
            </w:r>
            <w:r w:rsidRPr="0076399D">
              <w:rPr>
                <w:rFonts w:ascii="Times New Roman" w:hAnsi="Times New Roman" w:cs="Times New Roman"/>
                <w:i/>
              </w:rPr>
              <w:t xml:space="preserve"> </w:t>
            </w:r>
            <w:r w:rsidRPr="0076399D">
              <w:rPr>
                <w:rFonts w:ascii="Times New Roman" w:hAnsi="Times New Roman" w:cs="Times New Roman"/>
              </w:rPr>
              <w:t>(Tet</w:t>
            </w:r>
            <w:r w:rsidRPr="0076399D">
              <w:rPr>
                <w:rFonts w:ascii="Times New Roman" w:hAnsi="Times New Roman" w:cs="Times New Roman"/>
                <w:vertAlign w:val="superscript"/>
              </w:rPr>
              <w:t>R</w:t>
            </w:r>
            <w:r w:rsidRPr="0076399D">
              <w:rPr>
                <w:rFonts w:ascii="Times New Roman" w:hAnsi="Times New Roman" w:cs="Times New Roman"/>
              </w:rPr>
              <w:t>, Tmn</w:t>
            </w:r>
            <w:r w:rsidRPr="0076399D">
              <w:rPr>
                <w:rFonts w:ascii="Times New Roman" w:hAnsi="Times New Roman" w:cs="Times New Roman"/>
                <w:vertAlign w:val="superscript"/>
              </w:rPr>
              <w:t>R</w:t>
            </w:r>
            <w:r w:rsidRPr="0076399D">
              <w:rPr>
                <w:rFonts w:ascii="Times New Roman" w:hAnsi="Times New Roman" w:cs="Times New Roman"/>
              </w:rPr>
              <w:t>)</w:t>
            </w:r>
          </w:p>
        </w:tc>
        <w:tc>
          <w:tcPr>
            <w:tcW w:w="1362"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{"citationID":"E7arpXbR","properties":{"formattedCitation":"(Mohamad,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4954B7">
              <w:rPr>
                <w:rFonts w:ascii="Times New Roman" w:hAnsi="Times New Roman" w:cs="Times New Roman"/>
              </w:rPr>
              <w:t>(Mohamad, 2007)</w:t>
            </w:r>
            <w:r>
              <w:rPr>
                <w:rFonts w:ascii="Times New Roman" w:hAnsi="Times New Roman" w:cs="Times New Roman"/>
              </w:rPr>
              <w:fldChar w:fldCharType="end"/>
            </w:r>
          </w:p>
        </w:tc>
      </w:tr>
      <w:tr w:rsidR="002D7C9B" w:rsidRPr="0076399D" w:rsidTr="002D7C9B">
        <w:tc>
          <w:tcPr>
            <w:tcW w:w="1056"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sidRPr="0076399D">
              <w:rPr>
                <w:rFonts w:ascii="Times New Roman" w:hAnsi="Times New Roman" w:cs="Times New Roman"/>
              </w:rPr>
              <w:t>SJF2123</w:t>
            </w:r>
          </w:p>
        </w:tc>
        <w:tc>
          <w:tcPr>
            <w:tcW w:w="2583" w:type="pct"/>
            <w:tcBorders>
              <w:top w:val="nil"/>
              <w:left w:val="nil"/>
              <w:bottom w:val="nil"/>
              <w:right w:val="nil"/>
            </w:tcBorders>
          </w:tcPr>
          <w:p w:rsidR="002D7C9B" w:rsidRPr="0076399D" w:rsidRDefault="002D7C9B" w:rsidP="002D7C9B">
            <w:pPr>
              <w:spacing w:before="60" w:after="60"/>
              <w:rPr>
                <w:rFonts w:ascii="Times New Roman" w:hAnsi="Times New Roman" w:cs="Times New Roman"/>
                <w:lang w:val="de-DE"/>
              </w:rPr>
            </w:pPr>
            <w:r w:rsidRPr="0076399D">
              <w:rPr>
                <w:rFonts w:ascii="Times New Roman" w:hAnsi="Times New Roman" w:cs="Times New Roman"/>
                <w:lang w:val="de-DE"/>
              </w:rPr>
              <w:t xml:space="preserve">SH1000 </w:t>
            </w:r>
            <w:r w:rsidRPr="0076399D">
              <w:rPr>
                <w:rFonts w:ascii="Times New Roman" w:hAnsi="Times New Roman" w:cs="Times New Roman"/>
                <w:i/>
                <w:lang w:val="de-DE"/>
              </w:rPr>
              <w:t>sagB::kan scaH::</w:t>
            </w:r>
            <w:r w:rsidRPr="00CC515C">
              <w:rPr>
                <w:rFonts w:ascii="Times New Roman" w:hAnsi="Times New Roman" w:cs="Times New Roman"/>
                <w:i/>
                <w:lang w:val="de-DE"/>
              </w:rPr>
              <w:t>tetM</w:t>
            </w:r>
            <w:r w:rsidRPr="0076399D">
              <w:rPr>
                <w:rFonts w:ascii="Times New Roman" w:hAnsi="Times New Roman" w:cs="Times New Roman"/>
                <w:i/>
                <w:lang w:val="de-DE"/>
              </w:rPr>
              <w:t xml:space="preserve"> </w:t>
            </w:r>
            <w:r w:rsidRPr="0076399D">
              <w:rPr>
                <w:rFonts w:ascii="Times New Roman" w:hAnsi="Times New Roman" w:cs="Times New Roman"/>
                <w:lang w:val="de-DE"/>
              </w:rPr>
              <w:t>(Kan</w:t>
            </w:r>
            <w:r w:rsidRPr="0076399D">
              <w:rPr>
                <w:rFonts w:ascii="Times New Roman" w:hAnsi="Times New Roman" w:cs="Times New Roman"/>
                <w:vertAlign w:val="superscript"/>
                <w:lang w:val="de-DE"/>
              </w:rPr>
              <w:t>R</w:t>
            </w:r>
            <w:r w:rsidRPr="0076399D">
              <w:rPr>
                <w:rFonts w:ascii="Times New Roman" w:hAnsi="Times New Roman" w:cs="Times New Roman"/>
                <w:lang w:val="de-DE"/>
              </w:rPr>
              <w:t>, Tet</w:t>
            </w:r>
            <w:r w:rsidRPr="0076399D">
              <w:rPr>
                <w:rFonts w:ascii="Times New Roman" w:hAnsi="Times New Roman" w:cs="Times New Roman"/>
                <w:vertAlign w:val="superscript"/>
                <w:lang w:val="de-DE"/>
              </w:rPr>
              <w:t>R</w:t>
            </w:r>
            <w:r w:rsidRPr="0076399D">
              <w:rPr>
                <w:rFonts w:ascii="Times New Roman" w:hAnsi="Times New Roman" w:cs="Times New Roman"/>
                <w:lang w:val="de-DE"/>
              </w:rPr>
              <w:t>)</w:t>
            </w:r>
          </w:p>
        </w:tc>
        <w:tc>
          <w:tcPr>
            <w:tcW w:w="1362"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{"citationID":"d8pryIwR","properties":{"formattedCitation":"(Mohamad,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4954B7">
              <w:rPr>
                <w:rFonts w:ascii="Times New Roman" w:hAnsi="Times New Roman" w:cs="Times New Roman"/>
              </w:rPr>
              <w:t>(Mohamad, 2007)</w:t>
            </w:r>
            <w:r>
              <w:rPr>
                <w:rFonts w:ascii="Times New Roman" w:hAnsi="Times New Roman" w:cs="Times New Roman"/>
              </w:rPr>
              <w:fldChar w:fldCharType="end"/>
            </w:r>
          </w:p>
        </w:tc>
      </w:tr>
      <w:tr w:rsidR="002D7C9B" w:rsidRPr="0076399D" w:rsidTr="002D7C9B">
        <w:tc>
          <w:tcPr>
            <w:tcW w:w="1056"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sidRPr="0076399D">
              <w:rPr>
                <w:rFonts w:ascii="Times New Roman" w:hAnsi="Times New Roman" w:cs="Times New Roman"/>
              </w:rPr>
              <w:t>SJF2124</w:t>
            </w:r>
          </w:p>
        </w:tc>
        <w:tc>
          <w:tcPr>
            <w:tcW w:w="2583" w:type="pct"/>
            <w:tcBorders>
              <w:top w:val="nil"/>
              <w:left w:val="nil"/>
              <w:bottom w:val="nil"/>
              <w:right w:val="nil"/>
            </w:tcBorders>
          </w:tcPr>
          <w:p w:rsidR="002D7C9B" w:rsidRPr="0076399D" w:rsidRDefault="002D7C9B" w:rsidP="002D7C9B">
            <w:pPr>
              <w:spacing w:before="60" w:after="60"/>
              <w:rPr>
                <w:rFonts w:ascii="Times New Roman" w:hAnsi="Times New Roman" w:cs="Times New Roman"/>
              </w:rPr>
            </w:pPr>
            <w:r w:rsidRPr="0076399D">
              <w:rPr>
                <w:rFonts w:ascii="Times New Roman" w:hAnsi="Times New Roman" w:cs="Times New Roman"/>
              </w:rPr>
              <w:t xml:space="preserve">SH1000 </w:t>
            </w:r>
            <w:r w:rsidRPr="0076399D">
              <w:rPr>
                <w:rFonts w:ascii="Times New Roman" w:hAnsi="Times New Roman" w:cs="Times New Roman"/>
                <w:i/>
              </w:rPr>
              <w:t>atl::</w:t>
            </w:r>
            <w:r>
              <w:rPr>
                <w:rFonts w:ascii="Times New Roman" w:hAnsi="Times New Roman" w:cs="Times New Roman"/>
                <w:i/>
              </w:rPr>
              <w:t>pAZ106</w:t>
            </w:r>
            <w:r w:rsidRPr="0076399D">
              <w:rPr>
                <w:rFonts w:ascii="Times New Roman" w:hAnsi="Times New Roman" w:cs="Times New Roman"/>
                <w:i/>
              </w:rPr>
              <w:t xml:space="preserve"> </w:t>
            </w:r>
            <w:r w:rsidRPr="003268CB">
              <w:rPr>
                <w:rFonts w:ascii="Times New Roman" w:hAnsi="Times New Roman" w:cs="Times New Roman"/>
              </w:rPr>
              <w:t>SA2297</w:t>
            </w:r>
            <w:r w:rsidRPr="0076399D">
              <w:rPr>
                <w:rFonts w:ascii="Times New Roman" w:hAnsi="Times New Roman" w:cs="Times New Roman"/>
                <w:i/>
              </w:rPr>
              <w:t>::</w:t>
            </w:r>
            <w:r w:rsidRPr="00CC515C">
              <w:rPr>
                <w:rFonts w:ascii="Times New Roman" w:hAnsi="Times New Roman" w:cs="Times New Roman"/>
                <w:i/>
              </w:rPr>
              <w:t>tetL</w:t>
            </w:r>
            <w:r w:rsidRPr="0076399D">
              <w:rPr>
                <w:rFonts w:ascii="Times New Roman" w:hAnsi="Times New Roman" w:cs="Times New Roman"/>
              </w:rPr>
              <w:t xml:space="preserve"> </w:t>
            </w:r>
            <w:r w:rsidRPr="0076399D">
              <w:rPr>
                <w:rFonts w:ascii="Times New Roman" w:hAnsi="Times New Roman" w:cs="Times New Roman"/>
                <w:i/>
              </w:rPr>
              <w:t>scaH::</w:t>
            </w:r>
            <w:r w:rsidRPr="00CC515C">
              <w:rPr>
                <w:rFonts w:ascii="Times New Roman" w:hAnsi="Times New Roman" w:cs="Times New Roman"/>
                <w:i/>
              </w:rPr>
              <w:t>tetM</w:t>
            </w:r>
            <w:r w:rsidRPr="0076399D">
              <w:rPr>
                <w:rFonts w:ascii="Times New Roman" w:hAnsi="Times New Roman" w:cs="Times New Roman"/>
                <w:i/>
              </w:rPr>
              <w:t xml:space="preserve"> </w:t>
            </w:r>
            <w:r w:rsidRPr="0076399D">
              <w:rPr>
                <w:rFonts w:ascii="Times New Roman" w:hAnsi="Times New Roman" w:cs="Times New Roman"/>
              </w:rPr>
              <w:t>(Ery</w:t>
            </w:r>
            <w:r w:rsidRPr="0076399D">
              <w:rPr>
                <w:rFonts w:ascii="Times New Roman" w:hAnsi="Times New Roman" w:cs="Times New Roman"/>
                <w:vertAlign w:val="superscript"/>
              </w:rPr>
              <w:t>R</w:t>
            </w:r>
            <w:r w:rsidRPr="0076399D">
              <w:rPr>
                <w:rFonts w:ascii="Times New Roman" w:hAnsi="Times New Roman" w:cs="Times New Roman"/>
              </w:rPr>
              <w:t>, Tet</w:t>
            </w:r>
            <w:r w:rsidRPr="0076399D">
              <w:rPr>
                <w:rFonts w:ascii="Times New Roman" w:hAnsi="Times New Roman" w:cs="Times New Roman"/>
                <w:vertAlign w:val="superscript"/>
              </w:rPr>
              <w:t>R</w:t>
            </w:r>
            <w:r w:rsidRPr="0076399D">
              <w:rPr>
                <w:rFonts w:ascii="Times New Roman" w:hAnsi="Times New Roman" w:cs="Times New Roman"/>
              </w:rPr>
              <w:t>, Tmn</w:t>
            </w:r>
            <w:r w:rsidRPr="0076399D">
              <w:rPr>
                <w:rFonts w:ascii="Times New Roman" w:hAnsi="Times New Roman" w:cs="Times New Roman"/>
                <w:vertAlign w:val="superscript"/>
              </w:rPr>
              <w:t>R</w:t>
            </w:r>
            <w:r w:rsidRPr="0076399D">
              <w:rPr>
                <w:rFonts w:ascii="Times New Roman" w:hAnsi="Times New Roman" w:cs="Times New Roman"/>
              </w:rPr>
              <w:t>)</w:t>
            </w:r>
          </w:p>
        </w:tc>
        <w:tc>
          <w:tcPr>
            <w:tcW w:w="1362"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{"citationID":"Co3aEQ8O","properties":{"formattedCitation":"(Mohamad,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4954B7">
              <w:rPr>
                <w:rFonts w:ascii="Times New Roman" w:hAnsi="Times New Roman" w:cs="Times New Roman"/>
              </w:rPr>
              <w:t>(Mohamad, 2007)</w:t>
            </w:r>
            <w:r>
              <w:rPr>
                <w:rFonts w:ascii="Times New Roman" w:hAnsi="Times New Roman" w:cs="Times New Roman"/>
              </w:rPr>
              <w:fldChar w:fldCharType="end"/>
            </w:r>
          </w:p>
        </w:tc>
      </w:tr>
      <w:tr w:rsidR="002D7C9B" w:rsidRPr="0076399D" w:rsidTr="002D7C9B">
        <w:tc>
          <w:tcPr>
            <w:tcW w:w="1056"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sidRPr="0076399D">
              <w:rPr>
                <w:rFonts w:ascii="Times New Roman" w:hAnsi="Times New Roman" w:cs="Times New Roman"/>
              </w:rPr>
              <w:t>SJF2125</w:t>
            </w:r>
          </w:p>
        </w:tc>
        <w:tc>
          <w:tcPr>
            <w:tcW w:w="2583" w:type="pct"/>
            <w:tcBorders>
              <w:top w:val="nil"/>
              <w:left w:val="nil"/>
              <w:bottom w:val="nil"/>
              <w:right w:val="nil"/>
            </w:tcBorders>
          </w:tcPr>
          <w:p w:rsidR="002D7C9B" w:rsidRPr="0076399D" w:rsidRDefault="002D7C9B" w:rsidP="002D7C9B">
            <w:pPr>
              <w:spacing w:before="60" w:after="60"/>
              <w:rPr>
                <w:rFonts w:ascii="Times New Roman" w:hAnsi="Times New Roman" w:cs="Times New Roman"/>
              </w:rPr>
            </w:pPr>
            <w:r w:rsidRPr="0076399D">
              <w:rPr>
                <w:rFonts w:ascii="Times New Roman" w:hAnsi="Times New Roman" w:cs="Times New Roman"/>
              </w:rPr>
              <w:t xml:space="preserve">SH1000 </w:t>
            </w:r>
            <w:r w:rsidRPr="0076399D">
              <w:rPr>
                <w:rFonts w:ascii="Times New Roman" w:hAnsi="Times New Roman" w:cs="Times New Roman"/>
                <w:i/>
              </w:rPr>
              <w:t>atl::</w:t>
            </w:r>
            <w:r>
              <w:rPr>
                <w:rFonts w:ascii="Times New Roman" w:hAnsi="Times New Roman" w:cs="Times New Roman"/>
                <w:i/>
              </w:rPr>
              <w:t>pAZ106</w:t>
            </w:r>
            <w:r w:rsidRPr="0076399D">
              <w:rPr>
                <w:rFonts w:ascii="Times New Roman" w:hAnsi="Times New Roman" w:cs="Times New Roman"/>
                <w:i/>
              </w:rPr>
              <w:t xml:space="preserve"> sagB::kan</w:t>
            </w:r>
            <w:r w:rsidRPr="0076399D">
              <w:rPr>
                <w:rFonts w:ascii="Times New Roman" w:hAnsi="Times New Roman" w:cs="Times New Roman"/>
              </w:rPr>
              <w:t xml:space="preserve"> </w:t>
            </w:r>
            <w:r w:rsidRPr="0076399D">
              <w:rPr>
                <w:rFonts w:ascii="Times New Roman" w:hAnsi="Times New Roman" w:cs="Times New Roman"/>
                <w:i/>
              </w:rPr>
              <w:t>scaH::</w:t>
            </w:r>
            <w:r w:rsidRPr="00CC515C">
              <w:rPr>
                <w:rFonts w:ascii="Times New Roman" w:hAnsi="Times New Roman" w:cs="Times New Roman"/>
                <w:i/>
              </w:rPr>
              <w:t>tetM</w:t>
            </w:r>
            <w:r w:rsidRPr="0076399D">
              <w:rPr>
                <w:rFonts w:ascii="Times New Roman" w:hAnsi="Times New Roman" w:cs="Times New Roman"/>
              </w:rPr>
              <w:t xml:space="preserve"> (Ery</w:t>
            </w:r>
            <w:r w:rsidRPr="0076399D">
              <w:rPr>
                <w:rFonts w:ascii="Times New Roman" w:hAnsi="Times New Roman" w:cs="Times New Roman"/>
                <w:vertAlign w:val="superscript"/>
              </w:rPr>
              <w:t>R</w:t>
            </w:r>
            <w:r w:rsidRPr="0076399D">
              <w:rPr>
                <w:rFonts w:ascii="Times New Roman" w:hAnsi="Times New Roman" w:cs="Times New Roman"/>
              </w:rPr>
              <w:t>, Kan</w:t>
            </w:r>
            <w:r w:rsidRPr="0076399D">
              <w:rPr>
                <w:rFonts w:ascii="Times New Roman" w:hAnsi="Times New Roman" w:cs="Times New Roman"/>
                <w:vertAlign w:val="superscript"/>
              </w:rPr>
              <w:t>R</w:t>
            </w:r>
            <w:r w:rsidRPr="0076399D">
              <w:rPr>
                <w:rFonts w:ascii="Times New Roman" w:hAnsi="Times New Roman" w:cs="Times New Roman"/>
              </w:rPr>
              <w:t>, Tet</w:t>
            </w:r>
            <w:r w:rsidRPr="0076399D">
              <w:rPr>
                <w:rFonts w:ascii="Times New Roman" w:hAnsi="Times New Roman" w:cs="Times New Roman"/>
                <w:vertAlign w:val="superscript"/>
              </w:rPr>
              <w:t>R</w:t>
            </w:r>
            <w:r w:rsidRPr="0076399D">
              <w:rPr>
                <w:rFonts w:ascii="Times New Roman" w:hAnsi="Times New Roman" w:cs="Times New Roman"/>
              </w:rPr>
              <w:t>)</w:t>
            </w:r>
          </w:p>
        </w:tc>
        <w:tc>
          <w:tcPr>
            <w:tcW w:w="1362"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{"citationID":"OcflmJFn","properties":{"formattedCitation":"(Mohamad,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4954B7">
              <w:rPr>
                <w:rFonts w:ascii="Times New Roman" w:hAnsi="Times New Roman" w:cs="Times New Roman"/>
              </w:rPr>
              <w:t>(Mohamad, 2007)</w:t>
            </w:r>
            <w:r>
              <w:rPr>
                <w:rFonts w:ascii="Times New Roman" w:hAnsi="Times New Roman" w:cs="Times New Roman"/>
              </w:rPr>
              <w:fldChar w:fldCharType="end"/>
            </w:r>
          </w:p>
        </w:tc>
      </w:tr>
      <w:tr w:rsidR="002D7C9B" w:rsidRPr="0076399D" w:rsidTr="002D7C9B">
        <w:tc>
          <w:tcPr>
            <w:tcW w:w="1056"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sidRPr="0076399D">
              <w:rPr>
                <w:rFonts w:ascii="Times New Roman" w:hAnsi="Times New Roman" w:cs="Times New Roman"/>
              </w:rPr>
              <w:t>SJF2126</w:t>
            </w:r>
          </w:p>
        </w:tc>
        <w:tc>
          <w:tcPr>
            <w:tcW w:w="2583" w:type="pct"/>
            <w:tcBorders>
              <w:top w:val="nil"/>
              <w:left w:val="nil"/>
              <w:bottom w:val="nil"/>
              <w:right w:val="nil"/>
            </w:tcBorders>
          </w:tcPr>
          <w:p w:rsidR="002D7C9B" w:rsidRPr="0076399D" w:rsidRDefault="002D7C9B" w:rsidP="002D7C9B">
            <w:pPr>
              <w:spacing w:before="60" w:after="60"/>
              <w:rPr>
                <w:rFonts w:ascii="Times New Roman" w:hAnsi="Times New Roman" w:cs="Times New Roman"/>
              </w:rPr>
            </w:pPr>
            <w:r w:rsidRPr="0076399D">
              <w:rPr>
                <w:rFonts w:ascii="Times New Roman" w:hAnsi="Times New Roman" w:cs="Times New Roman"/>
              </w:rPr>
              <w:t>SH1000</w:t>
            </w:r>
            <w:r w:rsidRPr="0076399D">
              <w:rPr>
                <w:rFonts w:ascii="Times New Roman" w:hAnsi="Times New Roman" w:cs="Times New Roman"/>
                <w:i/>
              </w:rPr>
              <w:t xml:space="preserve"> </w:t>
            </w:r>
            <w:r w:rsidRPr="003268CB">
              <w:rPr>
                <w:rFonts w:ascii="Times New Roman" w:hAnsi="Times New Roman" w:cs="Times New Roman"/>
              </w:rPr>
              <w:t>SA2297</w:t>
            </w:r>
            <w:r w:rsidRPr="0076399D">
              <w:rPr>
                <w:rFonts w:ascii="Times New Roman" w:hAnsi="Times New Roman" w:cs="Times New Roman"/>
                <w:i/>
              </w:rPr>
              <w:t>::</w:t>
            </w:r>
            <w:r w:rsidRPr="00CC515C">
              <w:rPr>
                <w:rFonts w:ascii="Times New Roman" w:hAnsi="Times New Roman" w:cs="Times New Roman"/>
                <w:i/>
              </w:rPr>
              <w:t>tetL</w:t>
            </w:r>
            <w:r w:rsidRPr="0076399D">
              <w:rPr>
                <w:rFonts w:ascii="Times New Roman" w:hAnsi="Times New Roman" w:cs="Times New Roman"/>
                <w:i/>
              </w:rPr>
              <w:t xml:space="preserve"> sagB::kan</w:t>
            </w:r>
            <w:r w:rsidRPr="0076399D">
              <w:rPr>
                <w:rFonts w:ascii="Times New Roman" w:hAnsi="Times New Roman" w:cs="Times New Roman"/>
              </w:rPr>
              <w:t xml:space="preserve"> </w:t>
            </w:r>
            <w:r w:rsidRPr="0076399D">
              <w:rPr>
                <w:rFonts w:ascii="Times New Roman" w:hAnsi="Times New Roman" w:cs="Times New Roman"/>
                <w:i/>
              </w:rPr>
              <w:t>scaH::</w:t>
            </w:r>
            <w:r w:rsidRPr="00CC515C">
              <w:rPr>
                <w:rFonts w:ascii="Times New Roman" w:hAnsi="Times New Roman" w:cs="Times New Roman"/>
                <w:i/>
              </w:rPr>
              <w:t>tetM</w:t>
            </w:r>
            <w:r w:rsidRPr="0076399D">
              <w:rPr>
                <w:rFonts w:ascii="Times New Roman" w:hAnsi="Times New Roman" w:cs="Times New Roman"/>
              </w:rPr>
              <w:t xml:space="preserve"> (Kan</w:t>
            </w:r>
            <w:r w:rsidRPr="0076399D">
              <w:rPr>
                <w:rFonts w:ascii="Times New Roman" w:hAnsi="Times New Roman" w:cs="Times New Roman"/>
                <w:vertAlign w:val="superscript"/>
              </w:rPr>
              <w:t>R</w:t>
            </w:r>
            <w:r w:rsidRPr="0076399D">
              <w:rPr>
                <w:rFonts w:ascii="Times New Roman" w:hAnsi="Times New Roman" w:cs="Times New Roman"/>
              </w:rPr>
              <w:t>, Tet</w:t>
            </w:r>
            <w:r w:rsidRPr="0076399D">
              <w:rPr>
                <w:rFonts w:ascii="Times New Roman" w:hAnsi="Times New Roman" w:cs="Times New Roman"/>
                <w:vertAlign w:val="superscript"/>
              </w:rPr>
              <w:t>R</w:t>
            </w:r>
            <w:r w:rsidRPr="0076399D">
              <w:rPr>
                <w:rFonts w:ascii="Times New Roman" w:hAnsi="Times New Roman" w:cs="Times New Roman"/>
              </w:rPr>
              <w:t>, Tmn</w:t>
            </w:r>
            <w:r w:rsidRPr="0076399D">
              <w:rPr>
                <w:rFonts w:ascii="Times New Roman" w:hAnsi="Times New Roman" w:cs="Times New Roman"/>
                <w:vertAlign w:val="superscript"/>
              </w:rPr>
              <w:t>R</w:t>
            </w:r>
            <w:r w:rsidRPr="0076399D">
              <w:rPr>
                <w:rFonts w:ascii="Times New Roman" w:hAnsi="Times New Roman" w:cs="Times New Roman"/>
              </w:rPr>
              <w:t>)</w:t>
            </w:r>
          </w:p>
        </w:tc>
        <w:tc>
          <w:tcPr>
            <w:tcW w:w="1362"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{"citationID":"hpNpOT2X","properties":{"formattedCitation":"(Mohamad,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4954B7">
              <w:rPr>
                <w:rFonts w:ascii="Times New Roman" w:hAnsi="Times New Roman" w:cs="Times New Roman"/>
              </w:rPr>
              <w:t>(Mohamad, 2007)</w:t>
            </w:r>
            <w:r>
              <w:rPr>
                <w:rFonts w:ascii="Times New Roman" w:hAnsi="Times New Roman" w:cs="Times New Roman"/>
              </w:rPr>
              <w:fldChar w:fldCharType="end"/>
            </w:r>
          </w:p>
        </w:tc>
      </w:tr>
      <w:tr w:rsidR="002D7C9B" w:rsidRPr="0076399D" w:rsidTr="002D7C9B">
        <w:tc>
          <w:tcPr>
            <w:tcW w:w="1056"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sidRPr="0076399D">
              <w:rPr>
                <w:rFonts w:ascii="Times New Roman" w:hAnsi="Times New Roman" w:cs="Times New Roman"/>
              </w:rPr>
              <w:t>SJF40</w:t>
            </w:r>
            <w:r>
              <w:rPr>
                <w:rFonts w:ascii="Times New Roman" w:hAnsi="Times New Roman" w:cs="Times New Roman"/>
              </w:rPr>
              <w:t>90</w:t>
            </w:r>
          </w:p>
        </w:tc>
        <w:tc>
          <w:tcPr>
            <w:tcW w:w="2583" w:type="pct"/>
            <w:tcBorders>
              <w:top w:val="nil"/>
              <w:left w:val="nil"/>
              <w:bottom w:val="nil"/>
              <w:right w:val="nil"/>
            </w:tcBorders>
          </w:tcPr>
          <w:p w:rsidR="002D7C9B" w:rsidRPr="0076399D" w:rsidRDefault="002D7C9B" w:rsidP="002D7C9B">
            <w:pPr>
              <w:spacing w:before="60" w:after="60"/>
              <w:rPr>
                <w:rFonts w:ascii="Times New Roman" w:hAnsi="Times New Roman" w:cs="Times New Roman"/>
              </w:rPr>
            </w:pPr>
            <w:r w:rsidRPr="0076399D">
              <w:rPr>
                <w:rFonts w:ascii="Times New Roman" w:hAnsi="Times New Roman" w:cs="Times New Roman"/>
              </w:rPr>
              <w:t>RN4220 P</w:t>
            </w:r>
            <w:r w:rsidRPr="0076399D">
              <w:rPr>
                <w:rFonts w:ascii="Times New Roman" w:hAnsi="Times New Roman" w:cs="Times New Roman"/>
                <w:vertAlign w:val="subscript"/>
              </w:rPr>
              <w:t>Spac</w:t>
            </w:r>
            <w:r w:rsidRPr="0076399D">
              <w:rPr>
                <w:rFonts w:ascii="Times New Roman" w:hAnsi="Times New Roman" w:cs="Times New Roman"/>
              </w:rPr>
              <w:t>-</w:t>
            </w:r>
            <w:r w:rsidRPr="0076399D">
              <w:rPr>
                <w:rFonts w:ascii="Times New Roman" w:hAnsi="Times New Roman" w:cs="Times New Roman"/>
                <w:i/>
              </w:rPr>
              <w:t>sagB</w:t>
            </w:r>
            <w:r w:rsidRPr="0076399D">
              <w:rPr>
                <w:rFonts w:ascii="Times New Roman" w:hAnsi="Times New Roman" w:cs="Times New Roman"/>
              </w:rPr>
              <w:t xml:space="preserve"> (Ery</w:t>
            </w:r>
            <w:r w:rsidRPr="0076399D">
              <w:rPr>
                <w:rFonts w:ascii="Times New Roman" w:hAnsi="Times New Roman" w:cs="Times New Roman"/>
                <w:vertAlign w:val="superscript"/>
              </w:rPr>
              <w:t>R</w:t>
            </w:r>
            <w:r w:rsidRPr="0076399D">
              <w:rPr>
                <w:rFonts w:ascii="Times New Roman" w:hAnsi="Times New Roman" w:cs="Times New Roman"/>
              </w:rPr>
              <w:t>)</w:t>
            </w:r>
          </w:p>
        </w:tc>
        <w:tc>
          <w:tcPr>
            <w:tcW w:w="1362"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sidRPr="0076399D">
              <w:rPr>
                <w:rFonts w:ascii="Times New Roman" w:hAnsi="Times New Roman" w:cs="Times New Roman"/>
              </w:rPr>
              <w:t>This study</w:t>
            </w:r>
          </w:p>
        </w:tc>
      </w:tr>
      <w:tr w:rsidR="002D7C9B" w:rsidRPr="0076399D" w:rsidTr="002D7C9B">
        <w:tc>
          <w:tcPr>
            <w:tcW w:w="1056" w:type="pct"/>
            <w:tcBorders>
              <w:top w:val="nil"/>
              <w:left w:val="nil"/>
              <w:bottom w:val="nil"/>
              <w:right w:val="nil"/>
            </w:tcBorders>
          </w:tcPr>
          <w:p w:rsidR="002D7C9B" w:rsidRPr="003A43D7" w:rsidRDefault="002D7C9B" w:rsidP="002D7C9B">
            <w:pPr>
              <w:spacing w:before="60" w:after="60"/>
              <w:jc w:val="center"/>
              <w:rPr>
                <w:rFonts w:ascii="Times New Roman" w:hAnsi="Times New Roman" w:cs="Times New Roman"/>
              </w:rPr>
            </w:pPr>
            <w:r w:rsidRPr="003A43D7">
              <w:rPr>
                <w:rFonts w:ascii="Times New Roman" w:hAnsi="Times New Roman" w:cs="Times New Roman"/>
              </w:rPr>
              <w:t>SJF4151</w:t>
            </w:r>
          </w:p>
        </w:tc>
        <w:tc>
          <w:tcPr>
            <w:tcW w:w="2583" w:type="pct"/>
            <w:tcBorders>
              <w:top w:val="nil"/>
              <w:left w:val="nil"/>
              <w:bottom w:val="nil"/>
              <w:right w:val="nil"/>
            </w:tcBorders>
          </w:tcPr>
          <w:p w:rsidR="002D7C9B" w:rsidRPr="003A43D7" w:rsidRDefault="002D7C9B" w:rsidP="002D7C9B">
            <w:pPr>
              <w:spacing w:before="60" w:after="60"/>
              <w:rPr>
                <w:rFonts w:ascii="Times New Roman" w:hAnsi="Times New Roman" w:cs="Times New Roman"/>
              </w:rPr>
            </w:pPr>
            <w:r w:rsidRPr="003A43D7">
              <w:rPr>
                <w:rFonts w:ascii="Times New Roman" w:hAnsi="Times New Roman" w:cs="Times New Roman"/>
              </w:rPr>
              <w:t>SH1000 P</w:t>
            </w:r>
            <w:r w:rsidRPr="003A43D7">
              <w:rPr>
                <w:rFonts w:ascii="Times New Roman" w:hAnsi="Times New Roman" w:cs="Times New Roman"/>
                <w:vertAlign w:val="subscript"/>
              </w:rPr>
              <w:t>Spac</w:t>
            </w:r>
            <w:r w:rsidRPr="003A43D7">
              <w:rPr>
                <w:rFonts w:ascii="Times New Roman" w:hAnsi="Times New Roman" w:cs="Times New Roman"/>
              </w:rPr>
              <w:t>-</w:t>
            </w:r>
            <w:r w:rsidRPr="003A43D7">
              <w:rPr>
                <w:rFonts w:ascii="Times New Roman" w:hAnsi="Times New Roman" w:cs="Times New Roman"/>
                <w:i/>
              </w:rPr>
              <w:t xml:space="preserve">sagB atl::spc </w:t>
            </w:r>
            <w:r w:rsidRPr="003A43D7">
              <w:rPr>
                <w:rFonts w:ascii="Times New Roman" w:hAnsi="Times New Roman" w:cs="Times New Roman"/>
              </w:rPr>
              <w:t>SA2297</w:t>
            </w:r>
            <w:r w:rsidRPr="003A43D7">
              <w:rPr>
                <w:rFonts w:ascii="Times New Roman" w:hAnsi="Times New Roman" w:cs="Times New Roman"/>
                <w:i/>
              </w:rPr>
              <w:t>::tetL scaH::tetM</w:t>
            </w:r>
            <w:r w:rsidRPr="003A43D7">
              <w:rPr>
                <w:rFonts w:ascii="Times New Roman" w:hAnsi="Times New Roman" w:cs="Times New Roman"/>
              </w:rPr>
              <w:t xml:space="preserve"> (Ery</w:t>
            </w:r>
            <w:r w:rsidRPr="003A43D7">
              <w:rPr>
                <w:rFonts w:ascii="Times New Roman" w:hAnsi="Times New Roman" w:cs="Times New Roman"/>
                <w:vertAlign w:val="superscript"/>
              </w:rPr>
              <w:t>R</w:t>
            </w:r>
            <w:r w:rsidRPr="003A43D7">
              <w:rPr>
                <w:rFonts w:ascii="Times New Roman" w:hAnsi="Times New Roman" w:cs="Times New Roman"/>
              </w:rPr>
              <w:t>, Spc</w:t>
            </w:r>
            <w:r w:rsidRPr="003A43D7">
              <w:rPr>
                <w:rFonts w:ascii="Times New Roman" w:hAnsi="Times New Roman" w:cs="Times New Roman"/>
                <w:vertAlign w:val="superscript"/>
              </w:rPr>
              <w:t>R</w:t>
            </w:r>
            <w:r w:rsidRPr="003A43D7">
              <w:rPr>
                <w:rFonts w:ascii="Times New Roman" w:hAnsi="Times New Roman" w:cs="Times New Roman"/>
              </w:rPr>
              <w:t>, Tet</w:t>
            </w:r>
            <w:r w:rsidRPr="003A43D7">
              <w:rPr>
                <w:rFonts w:ascii="Times New Roman" w:hAnsi="Times New Roman" w:cs="Times New Roman"/>
                <w:vertAlign w:val="superscript"/>
              </w:rPr>
              <w:t>R</w:t>
            </w:r>
            <w:r w:rsidRPr="003A43D7">
              <w:rPr>
                <w:rFonts w:ascii="Times New Roman" w:hAnsi="Times New Roman" w:cs="Times New Roman"/>
              </w:rPr>
              <w:t>, Tmn</w:t>
            </w:r>
            <w:r w:rsidRPr="003A43D7">
              <w:rPr>
                <w:rFonts w:ascii="Times New Roman" w:hAnsi="Times New Roman" w:cs="Times New Roman"/>
                <w:vertAlign w:val="superscript"/>
              </w:rPr>
              <w:t>R</w:t>
            </w:r>
            <w:r w:rsidRPr="003A43D7">
              <w:rPr>
                <w:rFonts w:ascii="Times New Roman" w:hAnsi="Times New Roman" w:cs="Times New Roman"/>
              </w:rPr>
              <w:t>)</w:t>
            </w:r>
          </w:p>
        </w:tc>
        <w:tc>
          <w:tcPr>
            <w:tcW w:w="1362" w:type="pct"/>
            <w:tcBorders>
              <w:top w:val="nil"/>
              <w:left w:val="nil"/>
              <w:bottom w:val="nil"/>
              <w:right w:val="nil"/>
            </w:tcBorders>
          </w:tcPr>
          <w:p w:rsidR="002D7C9B" w:rsidRPr="003A43D7" w:rsidRDefault="002D7C9B" w:rsidP="002D7C9B">
            <w:pPr>
              <w:spacing w:before="60" w:after="60"/>
              <w:jc w:val="center"/>
              <w:rPr>
                <w:rFonts w:ascii="Times New Roman" w:hAnsi="Times New Roman" w:cs="Times New Roman"/>
              </w:rPr>
            </w:pPr>
            <w:r w:rsidRPr="003A43D7">
              <w:rPr>
                <w:rFonts w:ascii="Times New Roman" w:hAnsi="Times New Roman" w:cs="Times New Roman"/>
              </w:rPr>
              <w:t>This study</w:t>
            </w:r>
          </w:p>
        </w:tc>
      </w:tr>
      <w:tr w:rsidR="002D7C9B" w:rsidRPr="0076399D" w:rsidTr="002D7C9B">
        <w:tc>
          <w:tcPr>
            <w:tcW w:w="1056"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sidRPr="0076399D">
              <w:rPr>
                <w:rFonts w:ascii="Times New Roman" w:hAnsi="Times New Roman" w:cs="Times New Roman"/>
              </w:rPr>
              <w:t>SJF40</w:t>
            </w:r>
            <w:r>
              <w:rPr>
                <w:rFonts w:ascii="Times New Roman" w:hAnsi="Times New Roman" w:cs="Times New Roman"/>
              </w:rPr>
              <w:t>9</w:t>
            </w:r>
            <w:r w:rsidRPr="0076399D">
              <w:rPr>
                <w:rFonts w:ascii="Times New Roman" w:hAnsi="Times New Roman" w:cs="Times New Roman"/>
              </w:rPr>
              <w:t>2</w:t>
            </w:r>
          </w:p>
        </w:tc>
        <w:tc>
          <w:tcPr>
            <w:tcW w:w="2583" w:type="pct"/>
            <w:tcBorders>
              <w:top w:val="nil"/>
              <w:left w:val="nil"/>
              <w:bottom w:val="nil"/>
              <w:right w:val="nil"/>
            </w:tcBorders>
          </w:tcPr>
          <w:p w:rsidR="002D7C9B" w:rsidRPr="0076399D" w:rsidRDefault="002D7C9B" w:rsidP="002D7C9B">
            <w:pPr>
              <w:spacing w:before="60" w:after="60"/>
              <w:rPr>
                <w:rFonts w:ascii="Times New Roman" w:hAnsi="Times New Roman" w:cs="Times New Roman"/>
              </w:rPr>
            </w:pPr>
            <w:r w:rsidRPr="0076399D">
              <w:rPr>
                <w:rFonts w:ascii="Times New Roman" w:hAnsi="Times New Roman" w:cs="Times New Roman"/>
              </w:rPr>
              <w:t xml:space="preserve">SH1000 </w:t>
            </w:r>
            <w:r w:rsidRPr="0076399D">
              <w:rPr>
                <w:rFonts w:ascii="Times New Roman" w:hAnsi="Times New Roman" w:cs="Times New Roman"/>
                <w:i/>
              </w:rPr>
              <w:t xml:space="preserve">atl::spc </w:t>
            </w:r>
            <w:r w:rsidRPr="003268CB">
              <w:rPr>
                <w:rFonts w:ascii="Times New Roman" w:hAnsi="Times New Roman" w:cs="Times New Roman"/>
              </w:rPr>
              <w:t>SA2297</w:t>
            </w:r>
            <w:r w:rsidRPr="0076399D">
              <w:rPr>
                <w:rFonts w:ascii="Times New Roman" w:hAnsi="Times New Roman" w:cs="Times New Roman"/>
                <w:i/>
              </w:rPr>
              <w:t>::</w:t>
            </w:r>
            <w:r w:rsidRPr="00CC515C">
              <w:rPr>
                <w:rFonts w:ascii="Times New Roman" w:hAnsi="Times New Roman" w:cs="Times New Roman"/>
                <w:i/>
              </w:rPr>
              <w:t>tetL</w:t>
            </w:r>
            <w:r w:rsidRPr="0076399D">
              <w:rPr>
                <w:rFonts w:ascii="Times New Roman" w:hAnsi="Times New Roman" w:cs="Times New Roman"/>
                <w:i/>
              </w:rPr>
              <w:t xml:space="preserve"> scaH:</w:t>
            </w:r>
            <w:r>
              <w:rPr>
                <w:rFonts w:ascii="Times New Roman" w:hAnsi="Times New Roman" w:cs="Times New Roman"/>
                <w:i/>
              </w:rPr>
              <w:t>:</w:t>
            </w:r>
            <w:r w:rsidRPr="00CC515C">
              <w:rPr>
                <w:rFonts w:ascii="Times New Roman" w:hAnsi="Times New Roman" w:cs="Times New Roman"/>
                <w:i/>
              </w:rPr>
              <w:t>tetM</w:t>
            </w:r>
            <w:r w:rsidRPr="0076399D">
              <w:rPr>
                <w:rFonts w:ascii="Times New Roman" w:hAnsi="Times New Roman" w:cs="Times New Roman"/>
              </w:rPr>
              <w:t xml:space="preserve"> pGL485 (</w:t>
            </w:r>
            <w:r>
              <w:rPr>
                <w:rFonts w:ascii="Times New Roman" w:hAnsi="Times New Roman" w:cs="Times New Roman"/>
              </w:rPr>
              <w:t>Chl</w:t>
            </w:r>
            <w:r w:rsidRPr="0076399D">
              <w:rPr>
                <w:rFonts w:ascii="Times New Roman" w:hAnsi="Times New Roman" w:cs="Times New Roman"/>
                <w:vertAlign w:val="superscript"/>
              </w:rPr>
              <w:t>R</w:t>
            </w:r>
            <w:r w:rsidRPr="0076399D">
              <w:rPr>
                <w:rFonts w:ascii="Times New Roman" w:hAnsi="Times New Roman" w:cs="Times New Roman"/>
              </w:rPr>
              <w:t>, Spc</w:t>
            </w:r>
            <w:r w:rsidRPr="0076399D">
              <w:rPr>
                <w:rFonts w:ascii="Times New Roman" w:hAnsi="Times New Roman" w:cs="Times New Roman"/>
                <w:vertAlign w:val="superscript"/>
              </w:rPr>
              <w:t>R</w:t>
            </w:r>
            <w:r w:rsidRPr="0076399D">
              <w:rPr>
                <w:rFonts w:ascii="Times New Roman" w:hAnsi="Times New Roman" w:cs="Times New Roman"/>
              </w:rPr>
              <w:t>, Tet</w:t>
            </w:r>
            <w:r w:rsidRPr="0076399D">
              <w:rPr>
                <w:rFonts w:ascii="Times New Roman" w:hAnsi="Times New Roman" w:cs="Times New Roman"/>
                <w:vertAlign w:val="superscript"/>
              </w:rPr>
              <w:t>R</w:t>
            </w:r>
            <w:r w:rsidRPr="0076399D">
              <w:rPr>
                <w:rFonts w:ascii="Times New Roman" w:hAnsi="Times New Roman" w:cs="Times New Roman"/>
              </w:rPr>
              <w:t>, Tmn</w:t>
            </w:r>
            <w:r w:rsidRPr="0076399D">
              <w:rPr>
                <w:rFonts w:ascii="Times New Roman" w:hAnsi="Times New Roman" w:cs="Times New Roman"/>
                <w:vertAlign w:val="superscript"/>
              </w:rPr>
              <w:t>R</w:t>
            </w:r>
            <w:r w:rsidRPr="0076399D">
              <w:rPr>
                <w:rFonts w:ascii="Times New Roman" w:hAnsi="Times New Roman" w:cs="Times New Roman"/>
              </w:rPr>
              <w:t>)</w:t>
            </w:r>
          </w:p>
        </w:tc>
        <w:tc>
          <w:tcPr>
            <w:tcW w:w="1362"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sidRPr="0076399D">
              <w:rPr>
                <w:rFonts w:ascii="Times New Roman" w:hAnsi="Times New Roman" w:cs="Times New Roman"/>
              </w:rPr>
              <w:t>This study</w:t>
            </w:r>
          </w:p>
        </w:tc>
      </w:tr>
      <w:tr w:rsidR="002D7C9B" w:rsidRPr="0076399D" w:rsidTr="002D7C9B">
        <w:tc>
          <w:tcPr>
            <w:tcW w:w="1056"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Pr>
                <w:rFonts w:ascii="Times New Roman" w:hAnsi="Times New Roman" w:cs="Times New Roman"/>
              </w:rPr>
              <w:t>SJF4093</w:t>
            </w:r>
          </w:p>
        </w:tc>
        <w:tc>
          <w:tcPr>
            <w:tcW w:w="2583" w:type="pct"/>
            <w:tcBorders>
              <w:top w:val="nil"/>
              <w:left w:val="nil"/>
              <w:bottom w:val="nil"/>
              <w:right w:val="nil"/>
            </w:tcBorders>
          </w:tcPr>
          <w:p w:rsidR="002D7C9B" w:rsidRPr="0076399D" w:rsidRDefault="002D7C9B" w:rsidP="002D7C9B">
            <w:pPr>
              <w:spacing w:before="60" w:after="60"/>
              <w:rPr>
                <w:rFonts w:ascii="Times New Roman" w:hAnsi="Times New Roman" w:cs="Times New Roman"/>
              </w:rPr>
            </w:pPr>
            <w:r>
              <w:rPr>
                <w:rFonts w:ascii="Times New Roman" w:hAnsi="Times New Roman" w:cs="Times New Roman"/>
              </w:rPr>
              <w:t>SH1000</w:t>
            </w:r>
            <w:r w:rsidRPr="0076399D">
              <w:rPr>
                <w:rFonts w:ascii="Times New Roman" w:hAnsi="Times New Roman" w:cs="Times New Roman"/>
              </w:rPr>
              <w:t xml:space="preserve"> P</w:t>
            </w:r>
            <w:r w:rsidRPr="0076399D">
              <w:rPr>
                <w:rFonts w:ascii="Times New Roman" w:hAnsi="Times New Roman" w:cs="Times New Roman"/>
                <w:vertAlign w:val="subscript"/>
              </w:rPr>
              <w:t>Spac</w:t>
            </w:r>
            <w:r w:rsidRPr="0076399D">
              <w:rPr>
                <w:rFonts w:ascii="Times New Roman" w:hAnsi="Times New Roman" w:cs="Times New Roman"/>
              </w:rPr>
              <w:t>-</w:t>
            </w:r>
            <w:r w:rsidRPr="0076399D">
              <w:rPr>
                <w:rFonts w:ascii="Times New Roman" w:hAnsi="Times New Roman" w:cs="Times New Roman"/>
                <w:i/>
              </w:rPr>
              <w:t>sagB</w:t>
            </w:r>
            <w:r w:rsidRPr="0076399D">
              <w:rPr>
                <w:rFonts w:ascii="Times New Roman" w:hAnsi="Times New Roman" w:cs="Times New Roman"/>
              </w:rPr>
              <w:t xml:space="preserve"> (Ery</w:t>
            </w:r>
            <w:r w:rsidRPr="0076399D">
              <w:rPr>
                <w:rFonts w:ascii="Times New Roman" w:hAnsi="Times New Roman" w:cs="Times New Roman"/>
                <w:vertAlign w:val="superscript"/>
              </w:rPr>
              <w:t>R</w:t>
            </w:r>
            <w:r w:rsidRPr="0076399D">
              <w:rPr>
                <w:rFonts w:ascii="Times New Roman" w:hAnsi="Times New Roman" w:cs="Times New Roman"/>
              </w:rPr>
              <w:t>)</w:t>
            </w:r>
            <w:r>
              <w:rPr>
                <w:rFonts w:ascii="Times New Roman" w:hAnsi="Times New Roman" w:cs="Times New Roman"/>
              </w:rPr>
              <w:t xml:space="preserve"> pGL485</w:t>
            </w:r>
          </w:p>
        </w:tc>
        <w:tc>
          <w:tcPr>
            <w:tcW w:w="1362"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Pr>
                <w:rFonts w:ascii="Times New Roman" w:hAnsi="Times New Roman" w:cs="Times New Roman"/>
              </w:rPr>
              <w:t>This study</w:t>
            </w:r>
          </w:p>
        </w:tc>
      </w:tr>
      <w:tr w:rsidR="002D7C9B" w:rsidRPr="0076399D" w:rsidTr="002D7C9B">
        <w:tc>
          <w:tcPr>
            <w:tcW w:w="1056"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sidRPr="0076399D">
              <w:rPr>
                <w:rFonts w:ascii="Times New Roman" w:hAnsi="Times New Roman" w:cs="Times New Roman"/>
              </w:rPr>
              <w:t>SJF40</w:t>
            </w:r>
            <w:r>
              <w:rPr>
                <w:rFonts w:ascii="Times New Roman" w:hAnsi="Times New Roman" w:cs="Times New Roman"/>
              </w:rPr>
              <w:t>94</w:t>
            </w:r>
          </w:p>
        </w:tc>
        <w:tc>
          <w:tcPr>
            <w:tcW w:w="2583" w:type="pct"/>
            <w:tcBorders>
              <w:top w:val="nil"/>
              <w:left w:val="nil"/>
              <w:bottom w:val="nil"/>
              <w:right w:val="nil"/>
            </w:tcBorders>
          </w:tcPr>
          <w:p w:rsidR="002D7C9B" w:rsidRPr="0076399D" w:rsidRDefault="002D7C9B" w:rsidP="002D7C9B">
            <w:pPr>
              <w:spacing w:before="60" w:after="60"/>
              <w:rPr>
                <w:rFonts w:ascii="Times New Roman" w:hAnsi="Times New Roman" w:cs="Times New Roman"/>
              </w:rPr>
            </w:pPr>
            <w:r w:rsidRPr="0076399D">
              <w:rPr>
                <w:rFonts w:ascii="Times New Roman" w:hAnsi="Times New Roman" w:cs="Times New Roman"/>
              </w:rPr>
              <w:t>SH1000 P</w:t>
            </w:r>
            <w:r w:rsidRPr="0076399D">
              <w:rPr>
                <w:rFonts w:ascii="Times New Roman" w:hAnsi="Times New Roman" w:cs="Times New Roman"/>
                <w:vertAlign w:val="subscript"/>
              </w:rPr>
              <w:t>Spac</w:t>
            </w:r>
            <w:r w:rsidRPr="0076399D">
              <w:rPr>
                <w:rFonts w:ascii="Times New Roman" w:hAnsi="Times New Roman" w:cs="Times New Roman"/>
              </w:rPr>
              <w:t>-</w:t>
            </w:r>
            <w:r w:rsidRPr="0076399D">
              <w:rPr>
                <w:rFonts w:ascii="Times New Roman" w:hAnsi="Times New Roman" w:cs="Times New Roman"/>
                <w:i/>
              </w:rPr>
              <w:t xml:space="preserve">sagB atl::spc </w:t>
            </w:r>
            <w:r w:rsidRPr="003268CB">
              <w:rPr>
                <w:rFonts w:ascii="Times New Roman" w:hAnsi="Times New Roman" w:cs="Times New Roman"/>
              </w:rPr>
              <w:t>SA2297</w:t>
            </w:r>
            <w:r w:rsidRPr="0076399D">
              <w:rPr>
                <w:rFonts w:ascii="Times New Roman" w:hAnsi="Times New Roman" w:cs="Times New Roman"/>
                <w:i/>
              </w:rPr>
              <w:t>::</w:t>
            </w:r>
            <w:r w:rsidRPr="00CC515C">
              <w:rPr>
                <w:rFonts w:ascii="Times New Roman" w:hAnsi="Times New Roman" w:cs="Times New Roman"/>
                <w:i/>
              </w:rPr>
              <w:t>tetL</w:t>
            </w:r>
            <w:r w:rsidRPr="0076399D">
              <w:rPr>
                <w:rFonts w:ascii="Times New Roman" w:hAnsi="Times New Roman" w:cs="Times New Roman"/>
                <w:i/>
              </w:rPr>
              <w:t xml:space="preserve"> scaH</w:t>
            </w:r>
            <w:r>
              <w:rPr>
                <w:rFonts w:ascii="Times New Roman" w:hAnsi="Times New Roman" w:cs="Times New Roman"/>
                <w:i/>
              </w:rPr>
              <w:t>:</w:t>
            </w:r>
            <w:r w:rsidRPr="0076399D">
              <w:rPr>
                <w:rFonts w:ascii="Times New Roman" w:hAnsi="Times New Roman" w:cs="Times New Roman"/>
                <w:i/>
              </w:rPr>
              <w:t>:</w:t>
            </w:r>
            <w:r w:rsidRPr="00CC515C">
              <w:rPr>
                <w:rFonts w:ascii="Times New Roman" w:hAnsi="Times New Roman" w:cs="Times New Roman"/>
                <w:i/>
              </w:rPr>
              <w:t>tetM</w:t>
            </w:r>
            <w:r w:rsidRPr="0076399D">
              <w:rPr>
                <w:rFonts w:ascii="Times New Roman" w:hAnsi="Times New Roman" w:cs="Times New Roman"/>
              </w:rPr>
              <w:t xml:space="preserve"> pGL485 (</w:t>
            </w:r>
            <w:r>
              <w:rPr>
                <w:rFonts w:ascii="Times New Roman" w:hAnsi="Times New Roman" w:cs="Times New Roman"/>
              </w:rPr>
              <w:t>Chl</w:t>
            </w:r>
            <w:r w:rsidRPr="0076399D">
              <w:rPr>
                <w:rFonts w:ascii="Times New Roman" w:hAnsi="Times New Roman" w:cs="Times New Roman"/>
                <w:vertAlign w:val="superscript"/>
              </w:rPr>
              <w:t>R</w:t>
            </w:r>
            <w:r w:rsidRPr="0076399D">
              <w:rPr>
                <w:rFonts w:ascii="Times New Roman" w:hAnsi="Times New Roman" w:cs="Times New Roman"/>
              </w:rPr>
              <w:t>, Ery</w:t>
            </w:r>
            <w:r w:rsidRPr="0076399D">
              <w:rPr>
                <w:rFonts w:ascii="Times New Roman" w:hAnsi="Times New Roman" w:cs="Times New Roman"/>
                <w:vertAlign w:val="superscript"/>
              </w:rPr>
              <w:t>R</w:t>
            </w:r>
            <w:r w:rsidRPr="0076399D">
              <w:rPr>
                <w:rFonts w:ascii="Times New Roman" w:hAnsi="Times New Roman" w:cs="Times New Roman"/>
              </w:rPr>
              <w:t>, Spc</w:t>
            </w:r>
            <w:r w:rsidRPr="0076399D">
              <w:rPr>
                <w:rFonts w:ascii="Times New Roman" w:hAnsi="Times New Roman" w:cs="Times New Roman"/>
                <w:vertAlign w:val="superscript"/>
              </w:rPr>
              <w:t>R</w:t>
            </w:r>
            <w:r w:rsidRPr="0076399D">
              <w:rPr>
                <w:rFonts w:ascii="Times New Roman" w:hAnsi="Times New Roman" w:cs="Times New Roman"/>
              </w:rPr>
              <w:t>, Tet</w:t>
            </w:r>
            <w:r w:rsidRPr="0076399D">
              <w:rPr>
                <w:rFonts w:ascii="Times New Roman" w:hAnsi="Times New Roman" w:cs="Times New Roman"/>
                <w:vertAlign w:val="superscript"/>
              </w:rPr>
              <w:t>R</w:t>
            </w:r>
            <w:r w:rsidRPr="0076399D">
              <w:rPr>
                <w:rFonts w:ascii="Times New Roman" w:hAnsi="Times New Roman" w:cs="Times New Roman"/>
              </w:rPr>
              <w:t>, Tmn</w:t>
            </w:r>
            <w:r w:rsidRPr="0076399D">
              <w:rPr>
                <w:rFonts w:ascii="Times New Roman" w:hAnsi="Times New Roman" w:cs="Times New Roman"/>
                <w:vertAlign w:val="superscript"/>
              </w:rPr>
              <w:t>R</w:t>
            </w:r>
            <w:r w:rsidRPr="0076399D">
              <w:rPr>
                <w:rFonts w:ascii="Times New Roman" w:hAnsi="Times New Roman" w:cs="Times New Roman"/>
              </w:rPr>
              <w:t>)</w:t>
            </w:r>
          </w:p>
        </w:tc>
        <w:tc>
          <w:tcPr>
            <w:tcW w:w="1362"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sidRPr="0076399D">
              <w:rPr>
                <w:rFonts w:ascii="Times New Roman" w:hAnsi="Times New Roman" w:cs="Times New Roman"/>
              </w:rPr>
              <w:t>This study</w:t>
            </w:r>
          </w:p>
        </w:tc>
      </w:tr>
      <w:tr w:rsidR="002D7C9B" w:rsidRPr="0076399D" w:rsidTr="002D7C9B">
        <w:tc>
          <w:tcPr>
            <w:tcW w:w="1056"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sidRPr="0076399D">
              <w:rPr>
                <w:rFonts w:ascii="Times New Roman" w:hAnsi="Times New Roman" w:cs="Times New Roman"/>
              </w:rPr>
              <w:t>SJF40</w:t>
            </w:r>
            <w:r>
              <w:rPr>
                <w:rFonts w:ascii="Times New Roman" w:hAnsi="Times New Roman" w:cs="Times New Roman"/>
              </w:rPr>
              <w:t>95</w:t>
            </w:r>
          </w:p>
        </w:tc>
        <w:tc>
          <w:tcPr>
            <w:tcW w:w="2583" w:type="pct"/>
            <w:tcBorders>
              <w:top w:val="nil"/>
              <w:left w:val="nil"/>
              <w:bottom w:val="nil"/>
              <w:right w:val="nil"/>
            </w:tcBorders>
          </w:tcPr>
          <w:p w:rsidR="002D7C9B" w:rsidRPr="0076399D" w:rsidRDefault="002D7C9B" w:rsidP="002D7C9B">
            <w:pPr>
              <w:spacing w:before="60" w:after="60"/>
              <w:rPr>
                <w:rFonts w:ascii="Times New Roman" w:hAnsi="Times New Roman" w:cs="Times New Roman"/>
              </w:rPr>
            </w:pPr>
            <w:r w:rsidRPr="0076399D">
              <w:rPr>
                <w:rFonts w:ascii="Times New Roman" w:hAnsi="Times New Roman" w:cs="Times New Roman"/>
              </w:rPr>
              <w:t xml:space="preserve">SH1000 </w:t>
            </w:r>
            <w:r w:rsidRPr="0076399D">
              <w:rPr>
                <w:rFonts w:ascii="Times New Roman" w:hAnsi="Times New Roman" w:cs="Times New Roman"/>
                <w:i/>
              </w:rPr>
              <w:t xml:space="preserve">atl::spc </w:t>
            </w:r>
            <w:r w:rsidRPr="003268CB">
              <w:rPr>
                <w:rFonts w:ascii="Times New Roman" w:hAnsi="Times New Roman" w:cs="Times New Roman"/>
              </w:rPr>
              <w:t>SA2297</w:t>
            </w:r>
            <w:r w:rsidRPr="0076399D">
              <w:rPr>
                <w:rFonts w:ascii="Times New Roman" w:hAnsi="Times New Roman" w:cs="Times New Roman"/>
                <w:i/>
              </w:rPr>
              <w:t>::</w:t>
            </w:r>
            <w:r w:rsidRPr="00CC515C">
              <w:rPr>
                <w:rFonts w:ascii="Times New Roman" w:hAnsi="Times New Roman" w:cs="Times New Roman"/>
                <w:i/>
              </w:rPr>
              <w:t>tetL</w:t>
            </w:r>
            <w:r w:rsidRPr="0076399D">
              <w:rPr>
                <w:rFonts w:ascii="Times New Roman" w:hAnsi="Times New Roman" w:cs="Times New Roman"/>
                <w:i/>
              </w:rPr>
              <w:t xml:space="preserve"> scaH:</w:t>
            </w:r>
            <w:r w:rsidRPr="00CC515C">
              <w:rPr>
                <w:rFonts w:ascii="Times New Roman" w:hAnsi="Times New Roman" w:cs="Times New Roman"/>
                <w:i/>
              </w:rPr>
              <w:t>tetM</w:t>
            </w:r>
            <w:r w:rsidRPr="0076399D">
              <w:rPr>
                <w:rFonts w:ascii="Times New Roman" w:hAnsi="Times New Roman" w:cs="Times New Roman"/>
              </w:rPr>
              <w:t xml:space="preserve"> (Spc</w:t>
            </w:r>
            <w:r w:rsidRPr="0076399D">
              <w:rPr>
                <w:rFonts w:ascii="Times New Roman" w:hAnsi="Times New Roman" w:cs="Times New Roman"/>
                <w:vertAlign w:val="superscript"/>
              </w:rPr>
              <w:t>R</w:t>
            </w:r>
            <w:r w:rsidRPr="0076399D">
              <w:rPr>
                <w:rFonts w:ascii="Times New Roman" w:hAnsi="Times New Roman" w:cs="Times New Roman"/>
              </w:rPr>
              <w:t>, Tet</w:t>
            </w:r>
            <w:r w:rsidRPr="0076399D">
              <w:rPr>
                <w:rFonts w:ascii="Times New Roman" w:hAnsi="Times New Roman" w:cs="Times New Roman"/>
                <w:vertAlign w:val="superscript"/>
              </w:rPr>
              <w:t>R</w:t>
            </w:r>
            <w:r w:rsidRPr="0076399D">
              <w:rPr>
                <w:rFonts w:ascii="Times New Roman" w:hAnsi="Times New Roman" w:cs="Times New Roman"/>
              </w:rPr>
              <w:t>, Tmn</w:t>
            </w:r>
            <w:r w:rsidRPr="0076399D">
              <w:rPr>
                <w:rFonts w:ascii="Times New Roman" w:hAnsi="Times New Roman" w:cs="Times New Roman"/>
                <w:vertAlign w:val="superscript"/>
              </w:rPr>
              <w:t>R</w:t>
            </w:r>
            <w:r w:rsidRPr="0076399D">
              <w:rPr>
                <w:rFonts w:ascii="Times New Roman" w:hAnsi="Times New Roman" w:cs="Times New Roman"/>
              </w:rPr>
              <w:t>)</w:t>
            </w:r>
          </w:p>
        </w:tc>
        <w:tc>
          <w:tcPr>
            <w:tcW w:w="1362"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sidRPr="0076399D">
              <w:rPr>
                <w:rFonts w:ascii="Times New Roman" w:hAnsi="Times New Roman" w:cs="Times New Roman"/>
              </w:rPr>
              <w:t>This study</w:t>
            </w:r>
          </w:p>
        </w:tc>
      </w:tr>
      <w:tr w:rsidR="002D7C9B" w:rsidRPr="0076399D" w:rsidTr="002D7C9B">
        <w:tc>
          <w:tcPr>
            <w:tcW w:w="1056"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Pr>
                <w:rFonts w:ascii="Times New Roman" w:hAnsi="Times New Roman" w:cs="Times New Roman"/>
              </w:rPr>
              <w:t>SJF4091</w:t>
            </w:r>
          </w:p>
        </w:tc>
        <w:tc>
          <w:tcPr>
            <w:tcW w:w="2583" w:type="pct"/>
            <w:tcBorders>
              <w:top w:val="nil"/>
              <w:left w:val="nil"/>
              <w:bottom w:val="nil"/>
              <w:right w:val="nil"/>
            </w:tcBorders>
          </w:tcPr>
          <w:p w:rsidR="002D7C9B" w:rsidRPr="0076399D" w:rsidRDefault="002D7C9B" w:rsidP="002D7C9B">
            <w:pPr>
              <w:spacing w:before="60" w:after="60"/>
              <w:rPr>
                <w:rFonts w:ascii="Times New Roman" w:hAnsi="Times New Roman" w:cs="Times New Roman"/>
              </w:rPr>
            </w:pPr>
            <w:r w:rsidRPr="0076399D">
              <w:rPr>
                <w:rFonts w:ascii="Times New Roman" w:hAnsi="Times New Roman" w:cs="Times New Roman"/>
              </w:rPr>
              <w:t xml:space="preserve">SA113 </w:t>
            </w:r>
            <w:r w:rsidRPr="0076399D">
              <w:rPr>
                <w:rFonts w:ascii="Times New Roman" w:hAnsi="Times New Roman" w:cs="Times New Roman"/>
                <w:i/>
              </w:rPr>
              <w:t xml:space="preserve">atl::spc </w:t>
            </w:r>
            <w:r w:rsidRPr="0076399D">
              <w:rPr>
                <w:rFonts w:ascii="Times New Roman" w:hAnsi="Times New Roman" w:cs="Times New Roman"/>
              </w:rPr>
              <w:t>(Spc</w:t>
            </w:r>
            <w:r w:rsidRPr="0076399D">
              <w:rPr>
                <w:rFonts w:ascii="Times New Roman" w:hAnsi="Times New Roman" w:cs="Times New Roman"/>
                <w:vertAlign w:val="superscript"/>
              </w:rPr>
              <w:t>R</w:t>
            </w:r>
            <w:r w:rsidRPr="0076399D">
              <w:rPr>
                <w:rFonts w:ascii="Times New Roman" w:hAnsi="Times New Roman" w:cs="Times New Roman"/>
              </w:rPr>
              <w:t>)</w:t>
            </w:r>
          </w:p>
        </w:tc>
        <w:tc>
          <w:tcPr>
            <w:tcW w:w="1362" w:type="pct"/>
            <w:tcBorders>
              <w:top w:val="nil"/>
              <w:left w:val="nil"/>
              <w:bottom w:val="nil"/>
              <w:right w:val="nil"/>
            </w:tcBorders>
          </w:tcPr>
          <w:p w:rsidR="002D7C9B" w:rsidRPr="0076399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{"citationID":"1dnrcgh6i0","properties":{"formattedCitation":"(Pasztor et al., 2010)","plainCitation":"(Pasztor et al., 2010)"},"citationItems":[{"id":158,"uris":["http://zotero.org/users/944474/items/3U25CE59"],"uri":["http://zotero.org/users/944474/items/3U25CE59"],"itemData":{"id":158,"type":"article-journal","title":"Staphylococcal major autolysin (Atl) is involved in excretion of cytoplasmic proteins","container-title":"The Journal of Biological Chemistry","page":"36794-36803","volume":"285","issue":"47","abstract":"Many microorganisms excrete typical cytoplasmic proteins into the culture supernatant. As none of the classical secretion systems appears to be involved, this type of secretion was referred to as \"nonclassical protein secretion.\" Here, we demonstrate that in Staphylococcus aureus the major autolysin plays a crucial role in release of cytoplasmic proteins. Comparative secretome analysis revealed that in the wild type S. aureus strain, 22 typical cytoplasmic proteins were excreted into the culture supernatant, although in the atl mutant they were significantly decreased. The presence or absence of prophages had little influence on the secretome pattern. In the atl mutant, secondary peptidoglycan hydrolases were increased in the secretome; the corresponding genes were transcriptionally up-regulated suggesting a compensatory mechanism for the atl mutation. Using glyceraldehyde-3-phosphate dehydrogenase (GAPDH) as a cytoplasmic indicator enzyme, we showed that all clinical isolates tested excreted this protein. In the wall teichoic acid-deficient tagO mutant with its increased autolysis activity, GAPDH was excreted in even higher amounts than in the WT, confirming the importance of autolysis in excretion of cytoplasmic proteins. To answer the question of how discriminatory the excretion of cytoplasmic proteins is, we performed a two-dimensional PAGE of cytoplasmic proteins isolated from WT. Surprisingly, the most abundant proteins in the cytoplasm were not found in the secretome of the WT, suggesting that there exists a selection mechanism in the excretion of cytoplasmic proteins. As the major autolysin binds at the septum site, we assume that the proteins are preferentially released at and during septum formation.","DOI":"10.1074/jbc.M110.167312","note":"PMID: 20847047","journalAbbreviation":"J. Biol. Chem.","author":[{"family":"Pasztor","given":"Linda"},{"family":"Ziebandt","given":"Anne-Kathrin"},{"family":"Nega","given":"Mulugeta"},{"family":"Schlag","given":"Martin"},{"family":"Haase","given":"Sabine"},{"family":"Franz-Wachtel","given":"Mirita"},{"family":"Madlung","given":"Johannes"},{"family":"Nordheim","given":"Alfred"},{"family":"Heinrichs","given":"David E"},{"family":"Götz","given":"Friedrich"}],"issued":{"year":2010,"month":11,"day":19},"accessed":{"year":2012,"month":4,"day":25},"page-first":"36794"}}],"schema":"https://github.com/citation-style-language/schema/raw/master/csl-citation.json"} </w:instrText>
            </w:r>
            <w:r>
              <w:rPr>
                <w:rFonts w:ascii="Times New Roman" w:hAnsi="Times New Roman" w:cs="Times New Roman"/>
              </w:rPr>
              <w:fldChar w:fldCharType="separate"/>
            </w:r>
            <w:r w:rsidRPr="00C62CD3">
              <w:rPr>
                <w:rFonts w:ascii="Times New Roman" w:hAnsi="Times New Roman" w:cs="Times New Roman"/>
              </w:rPr>
              <w:t xml:space="preserve">(Pasztor </w:t>
            </w:r>
            <w:r w:rsidRPr="009C5F2F">
              <w:rPr>
                <w:rFonts w:ascii="Times New Roman" w:hAnsi="Times New Roman" w:cs="Times New Roman"/>
                <w:i/>
              </w:rPr>
              <w:t>et al</w:t>
            </w:r>
            <w:r w:rsidRPr="00C62CD3">
              <w:rPr>
                <w:rFonts w:ascii="Times New Roman" w:hAnsi="Times New Roman" w:cs="Times New Roman"/>
              </w:rPr>
              <w:t>., 2010)</w:t>
            </w:r>
            <w:r>
              <w:rPr>
                <w:rFonts w:ascii="Times New Roman" w:hAnsi="Times New Roman" w:cs="Times New Roman"/>
              </w:rPr>
              <w:fldChar w:fldCharType="end"/>
            </w:r>
          </w:p>
        </w:tc>
      </w:tr>
      <w:tr w:rsidR="002D7C9B" w:rsidRPr="0076399D" w:rsidTr="002D7C9B">
        <w:tc>
          <w:tcPr>
            <w:tcW w:w="1056" w:type="pct"/>
            <w:tcBorders>
              <w:top w:val="nil"/>
              <w:left w:val="nil"/>
              <w:right w:val="nil"/>
            </w:tcBorders>
          </w:tcPr>
          <w:p w:rsidR="002D7C9B" w:rsidRPr="0076399D" w:rsidRDefault="002D7C9B" w:rsidP="002D7C9B">
            <w:pPr>
              <w:spacing w:before="60" w:after="60"/>
              <w:jc w:val="center"/>
              <w:rPr>
                <w:rFonts w:ascii="Times New Roman" w:hAnsi="Times New Roman" w:cs="Times New Roman"/>
              </w:rPr>
            </w:pPr>
            <w:r w:rsidRPr="0076399D">
              <w:rPr>
                <w:rFonts w:ascii="Times New Roman" w:hAnsi="Times New Roman" w:cs="Times New Roman"/>
              </w:rPr>
              <w:t>VF17</w:t>
            </w:r>
          </w:p>
        </w:tc>
        <w:tc>
          <w:tcPr>
            <w:tcW w:w="2583" w:type="pct"/>
            <w:tcBorders>
              <w:top w:val="nil"/>
              <w:left w:val="nil"/>
              <w:right w:val="nil"/>
            </w:tcBorders>
          </w:tcPr>
          <w:p w:rsidR="002D7C9B" w:rsidRPr="0076399D" w:rsidRDefault="002D7C9B" w:rsidP="002D7C9B">
            <w:pPr>
              <w:spacing w:before="60" w:after="60"/>
              <w:rPr>
                <w:rFonts w:ascii="Times New Roman" w:hAnsi="Times New Roman" w:cs="Times New Roman"/>
              </w:rPr>
            </w:pPr>
            <w:r w:rsidRPr="0076399D">
              <w:rPr>
                <w:rFonts w:ascii="Times New Roman" w:hAnsi="Times New Roman" w:cs="Times New Roman"/>
              </w:rPr>
              <w:t>SH1000 pGL485 (</w:t>
            </w:r>
            <w:r>
              <w:rPr>
                <w:rFonts w:ascii="Times New Roman" w:hAnsi="Times New Roman" w:cs="Times New Roman"/>
              </w:rPr>
              <w:t>Chl</w:t>
            </w:r>
            <w:r w:rsidRPr="0076399D">
              <w:rPr>
                <w:rFonts w:ascii="Times New Roman" w:hAnsi="Times New Roman" w:cs="Times New Roman"/>
                <w:vertAlign w:val="superscript"/>
              </w:rPr>
              <w:t>R</w:t>
            </w:r>
            <w:r w:rsidRPr="0076399D">
              <w:rPr>
                <w:rFonts w:ascii="Times New Roman" w:hAnsi="Times New Roman" w:cs="Times New Roman"/>
              </w:rPr>
              <w:t>)</w:t>
            </w:r>
          </w:p>
        </w:tc>
        <w:tc>
          <w:tcPr>
            <w:tcW w:w="1362" w:type="pct"/>
            <w:tcBorders>
              <w:top w:val="nil"/>
              <w:left w:val="nil"/>
              <w:right w:val="nil"/>
            </w:tcBorders>
          </w:tcPr>
          <w:p w:rsidR="002D7C9B" w:rsidRPr="0076399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{"citationID":"1l7oqtttkt","properties":{"formattedCitation":"(Steele et al., 2011)","plainCitation":"(Steele et al., 2011)"},"citationItems":[{"id":438,"uris":["http://zotero.org/users/944474/items/C8PZETJC"],"uri":["http://zotero.org/users/944474/items/C8PZETJC"],"itemData":{"id":438,"type":"article-journal","title":"Multiple essential roles for EzrA in cell division of Staphylococcus aureus","container-title":"Molecular microbiology","page":"542-555","volume":"80","issue":"2","abstract":"In Bacillus subtilis, EzrA is involved in preventing aberrant formation of FtsZ rings and has also been implicated in the localization cycle of Pbp1. We have identified the orthologue of EzrA in Staphylococcus aureus to be essential for growth and cell division in this organism. Phenotypic analyses following titration of EzrA levels in S. aureus have shown that the protein is required for peptidoglycan synthesis as well as for assembly of the divisome at the midcell and cytokinesis. Protein interaction studies revealed that EzrA forms a complex with both the cytoplasmic components of the division machinery and those with periplasmic domains, suggesting that EzrA may be a scaffold molecule permitting the assembly of the division complex and forming an interface between the cytoplasmic cytoskeletal element FtsZ and the peptidoglycan biosynthetic apparatus active in the periplasm.","DOI":"10.1111/j.1365-2958.2011.07591.x","note":"PMID: 21401734","journalAbbreviation":"Mol. Microbiol.","author":[{"family":"Steele","given":"Victoria R"},{"family":"Bottomley","given":"Amy L"},{"family":"Garcia-Lara","given":"Jorge"},{"family":"Kasturiarachchi","given":"Jagath"},{"family":"Foster","given":"Simon J"}],"issued":{"year":2011,"month":4},"accessed":{"year":2012,"month":6,"day":13},"page-first":"542"}}],"schema":"https://github.com/citation-style-language/schema/raw/master/csl-citation.json"} </w:instrText>
            </w:r>
            <w:r>
              <w:rPr>
                <w:rFonts w:ascii="Times New Roman" w:hAnsi="Times New Roman" w:cs="Times New Roman"/>
              </w:rPr>
              <w:fldChar w:fldCharType="separate"/>
            </w:r>
            <w:r w:rsidRPr="0082306F">
              <w:rPr>
                <w:rFonts w:ascii="Times New Roman" w:hAnsi="Times New Roman" w:cs="Times New Roman"/>
              </w:rPr>
              <w:t xml:space="preserve">(Steele </w:t>
            </w:r>
            <w:r w:rsidRPr="009C5F2F">
              <w:rPr>
                <w:rFonts w:ascii="Times New Roman" w:hAnsi="Times New Roman" w:cs="Times New Roman"/>
                <w:i/>
              </w:rPr>
              <w:t>et al</w:t>
            </w:r>
            <w:r w:rsidRPr="0082306F">
              <w:rPr>
                <w:rFonts w:ascii="Times New Roman" w:hAnsi="Times New Roman" w:cs="Times New Roman"/>
              </w:rPr>
              <w:t>., 2011)</w:t>
            </w:r>
            <w:r>
              <w:rPr>
                <w:rFonts w:ascii="Times New Roman" w:hAnsi="Times New Roman" w:cs="Times New Roman"/>
              </w:rPr>
              <w:fldChar w:fldCharType="end"/>
            </w:r>
          </w:p>
        </w:tc>
      </w:tr>
    </w:tbl>
    <w:p w:rsidR="002D7C9B" w:rsidRPr="0082306F" w:rsidRDefault="002D7C9B" w:rsidP="002D7C9B">
      <w:pPr>
        <w:spacing w:line="360" w:lineRule="auto"/>
        <w:jc w:val="both"/>
        <w:rPr>
          <w:rFonts w:ascii="Times New Roman" w:hAnsi="Times New Roman" w:cs="Times New Roman"/>
          <w:sz w:val="24"/>
          <w:szCs w:val="24"/>
        </w:rPr>
      </w:pPr>
      <w:r w:rsidRPr="0082306F">
        <w:rPr>
          <w:rFonts w:ascii="Times New Roman" w:hAnsi="Times New Roman" w:cs="Times New Roman"/>
          <w:sz w:val="24"/>
          <w:szCs w:val="24"/>
        </w:rPr>
        <w:t xml:space="preserve">Abbreviations: </w:t>
      </w:r>
      <w:r>
        <w:rPr>
          <w:rFonts w:ascii="Times New Roman" w:hAnsi="Times New Roman" w:cs="Times New Roman"/>
          <w:sz w:val="24"/>
          <w:szCs w:val="24"/>
        </w:rPr>
        <w:t>Chl</w:t>
      </w:r>
      <w:r w:rsidRPr="0082306F">
        <w:rPr>
          <w:rFonts w:ascii="Times New Roman" w:hAnsi="Times New Roman" w:cs="Times New Roman"/>
          <w:sz w:val="24"/>
          <w:szCs w:val="24"/>
          <w:vertAlign w:val="superscript"/>
        </w:rPr>
        <w:t>R</w:t>
      </w:r>
      <w:r w:rsidRPr="0082306F">
        <w:rPr>
          <w:rFonts w:ascii="Times New Roman" w:hAnsi="Times New Roman" w:cs="Times New Roman"/>
          <w:sz w:val="24"/>
          <w:szCs w:val="24"/>
        </w:rPr>
        <w:t>, chloramphenicol resistan</w:t>
      </w:r>
      <w:r>
        <w:rPr>
          <w:rFonts w:ascii="Times New Roman" w:hAnsi="Times New Roman" w:cs="Times New Roman"/>
          <w:sz w:val="24"/>
          <w:szCs w:val="24"/>
        </w:rPr>
        <w:t>ce</w:t>
      </w:r>
      <w:r w:rsidRPr="0082306F">
        <w:rPr>
          <w:rFonts w:ascii="Times New Roman" w:hAnsi="Times New Roman" w:cs="Times New Roman"/>
          <w:sz w:val="24"/>
          <w:szCs w:val="24"/>
        </w:rPr>
        <w:t>; Ery</w:t>
      </w:r>
      <w:r w:rsidRPr="0082306F">
        <w:rPr>
          <w:rFonts w:ascii="Times New Roman" w:hAnsi="Times New Roman" w:cs="Times New Roman"/>
          <w:sz w:val="24"/>
          <w:szCs w:val="24"/>
          <w:vertAlign w:val="superscript"/>
        </w:rPr>
        <w:t>R</w:t>
      </w:r>
      <w:r w:rsidRPr="0082306F">
        <w:rPr>
          <w:rFonts w:ascii="Times New Roman" w:hAnsi="Times New Roman" w:cs="Times New Roman"/>
          <w:sz w:val="24"/>
          <w:szCs w:val="24"/>
        </w:rPr>
        <w:t>, eryt</w:t>
      </w:r>
      <w:r>
        <w:rPr>
          <w:rFonts w:ascii="Times New Roman" w:hAnsi="Times New Roman" w:cs="Times New Roman"/>
          <w:sz w:val="24"/>
          <w:szCs w:val="24"/>
        </w:rPr>
        <w:t>hr</w:t>
      </w:r>
      <w:r w:rsidRPr="0082306F">
        <w:rPr>
          <w:rFonts w:ascii="Times New Roman" w:hAnsi="Times New Roman" w:cs="Times New Roman"/>
          <w:sz w:val="24"/>
          <w:szCs w:val="24"/>
        </w:rPr>
        <w:t>omycin resistan</w:t>
      </w:r>
      <w:r>
        <w:rPr>
          <w:rFonts w:ascii="Times New Roman" w:hAnsi="Times New Roman" w:cs="Times New Roman"/>
          <w:sz w:val="24"/>
          <w:szCs w:val="24"/>
        </w:rPr>
        <w:t>ce</w:t>
      </w:r>
      <w:r w:rsidRPr="0082306F">
        <w:rPr>
          <w:rFonts w:ascii="Times New Roman" w:hAnsi="Times New Roman" w:cs="Times New Roman"/>
          <w:sz w:val="24"/>
          <w:szCs w:val="24"/>
        </w:rPr>
        <w:t>; Kan</w:t>
      </w:r>
      <w:r w:rsidRPr="0082306F">
        <w:rPr>
          <w:rFonts w:ascii="Times New Roman" w:hAnsi="Times New Roman" w:cs="Times New Roman"/>
          <w:sz w:val="24"/>
          <w:szCs w:val="24"/>
          <w:vertAlign w:val="superscript"/>
        </w:rPr>
        <w:t>R</w:t>
      </w:r>
      <w:r w:rsidRPr="0082306F">
        <w:rPr>
          <w:rFonts w:ascii="Times New Roman" w:hAnsi="Times New Roman" w:cs="Times New Roman"/>
          <w:sz w:val="24"/>
          <w:szCs w:val="24"/>
        </w:rPr>
        <w:t>, kanamycin resistan</w:t>
      </w:r>
      <w:r>
        <w:rPr>
          <w:rFonts w:ascii="Times New Roman" w:hAnsi="Times New Roman" w:cs="Times New Roman"/>
          <w:sz w:val="24"/>
          <w:szCs w:val="24"/>
        </w:rPr>
        <w:t>ce</w:t>
      </w:r>
      <w:r w:rsidRPr="0082306F">
        <w:rPr>
          <w:rFonts w:ascii="Times New Roman" w:hAnsi="Times New Roman" w:cs="Times New Roman"/>
          <w:sz w:val="24"/>
          <w:szCs w:val="24"/>
        </w:rPr>
        <w:t>; Spc</w:t>
      </w:r>
      <w:r w:rsidRPr="0082306F">
        <w:rPr>
          <w:rFonts w:ascii="Times New Roman" w:hAnsi="Times New Roman" w:cs="Times New Roman"/>
          <w:sz w:val="24"/>
          <w:szCs w:val="24"/>
          <w:vertAlign w:val="superscript"/>
        </w:rPr>
        <w:t>R</w:t>
      </w:r>
      <w:r w:rsidRPr="0082306F">
        <w:rPr>
          <w:rFonts w:ascii="Times New Roman" w:hAnsi="Times New Roman" w:cs="Times New Roman"/>
          <w:sz w:val="24"/>
          <w:szCs w:val="24"/>
        </w:rPr>
        <w:t>, spectinomycin resistan</w:t>
      </w:r>
      <w:r>
        <w:rPr>
          <w:rFonts w:ascii="Times New Roman" w:hAnsi="Times New Roman" w:cs="Times New Roman"/>
          <w:sz w:val="24"/>
          <w:szCs w:val="24"/>
        </w:rPr>
        <w:t>ce</w:t>
      </w:r>
      <w:r w:rsidRPr="0082306F">
        <w:rPr>
          <w:rFonts w:ascii="Times New Roman" w:hAnsi="Times New Roman" w:cs="Times New Roman"/>
          <w:sz w:val="24"/>
          <w:szCs w:val="24"/>
        </w:rPr>
        <w:t>; Tet</w:t>
      </w:r>
      <w:r w:rsidRPr="0082306F">
        <w:rPr>
          <w:rFonts w:ascii="Times New Roman" w:hAnsi="Times New Roman" w:cs="Times New Roman"/>
          <w:sz w:val="24"/>
          <w:szCs w:val="24"/>
          <w:vertAlign w:val="superscript"/>
        </w:rPr>
        <w:t>R</w:t>
      </w:r>
      <w:r w:rsidRPr="0082306F">
        <w:rPr>
          <w:rFonts w:ascii="Times New Roman" w:hAnsi="Times New Roman" w:cs="Times New Roman"/>
          <w:sz w:val="24"/>
          <w:szCs w:val="24"/>
        </w:rPr>
        <w:t>, tetracycline resistan</w:t>
      </w:r>
      <w:r>
        <w:rPr>
          <w:rFonts w:ascii="Times New Roman" w:hAnsi="Times New Roman" w:cs="Times New Roman"/>
          <w:sz w:val="24"/>
          <w:szCs w:val="24"/>
        </w:rPr>
        <w:t>ce</w:t>
      </w:r>
      <w:r w:rsidRPr="0082306F">
        <w:rPr>
          <w:rFonts w:ascii="Times New Roman" w:hAnsi="Times New Roman" w:cs="Times New Roman"/>
          <w:sz w:val="24"/>
          <w:szCs w:val="24"/>
        </w:rPr>
        <w:t>; Tmn</w:t>
      </w:r>
      <w:r w:rsidRPr="0082306F">
        <w:rPr>
          <w:rFonts w:ascii="Times New Roman" w:hAnsi="Times New Roman" w:cs="Times New Roman"/>
          <w:sz w:val="24"/>
          <w:szCs w:val="24"/>
          <w:vertAlign w:val="superscript"/>
        </w:rPr>
        <w:t>R</w:t>
      </w:r>
      <w:r>
        <w:rPr>
          <w:rFonts w:ascii="Times New Roman" w:hAnsi="Times New Roman" w:cs="Times New Roman"/>
          <w:sz w:val="24"/>
          <w:szCs w:val="24"/>
        </w:rPr>
        <w:t>, minocycline resistance</w:t>
      </w:r>
      <w:r w:rsidRPr="0082306F">
        <w:rPr>
          <w:rFonts w:ascii="Times New Roman" w:hAnsi="Times New Roman" w:cs="Times New Roman"/>
          <w:sz w:val="24"/>
          <w:szCs w:val="24"/>
        </w:rPr>
        <w:t>.</w:t>
      </w:r>
      <w:r w:rsidRPr="0082306F">
        <w:rPr>
          <w:rFonts w:ascii="Times New Roman" w:hAnsi="Times New Roman" w:cs="Times New Roman"/>
          <w:sz w:val="24"/>
          <w:szCs w:val="24"/>
        </w:rPr>
        <w:br w:type="page"/>
      </w:r>
    </w:p>
    <w:p w:rsidR="002D7C9B" w:rsidRPr="0076399D" w:rsidRDefault="002D7C9B" w:rsidP="002D7C9B">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lastRenderedPageBreak/>
        <w:t>2.4.</w:t>
      </w:r>
      <w:r>
        <w:rPr>
          <w:rFonts w:ascii="Times New Roman" w:hAnsi="Times New Roman" w:cs="Times New Roman"/>
          <w:sz w:val="28"/>
          <w:szCs w:val="28"/>
        </w:rPr>
        <w:t>7</w:t>
      </w:r>
      <w:r w:rsidRPr="0076399D">
        <w:rPr>
          <w:rFonts w:ascii="Times New Roman" w:hAnsi="Times New Roman" w:cs="Times New Roman"/>
          <w:sz w:val="28"/>
          <w:szCs w:val="28"/>
        </w:rPr>
        <w:t xml:space="preserve"> Plasmids</w:t>
      </w:r>
    </w:p>
    <w:p w:rsidR="002D7C9B" w:rsidRDefault="002D7C9B" w:rsidP="002D7C9B">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 xml:space="preserve">The plasmids used in this study are listed in </w:t>
      </w:r>
      <w:r>
        <w:rPr>
          <w:rFonts w:ascii="Times New Roman" w:hAnsi="Times New Roman" w:cs="Times New Roman"/>
          <w:sz w:val="24"/>
          <w:szCs w:val="24"/>
        </w:rPr>
        <w:t>Table</w:t>
      </w:r>
      <w:r w:rsidRPr="0076399D">
        <w:rPr>
          <w:rFonts w:ascii="Times New Roman" w:hAnsi="Times New Roman" w:cs="Times New Roman"/>
          <w:sz w:val="24"/>
          <w:szCs w:val="24"/>
        </w:rPr>
        <w:t xml:space="preserve"> 2.</w:t>
      </w:r>
      <w:r>
        <w:rPr>
          <w:rFonts w:ascii="Times New Roman" w:hAnsi="Times New Roman" w:cs="Times New Roman"/>
          <w:sz w:val="24"/>
          <w:szCs w:val="24"/>
        </w:rPr>
        <w:t>5</w:t>
      </w:r>
      <w:r w:rsidRPr="0076399D">
        <w:rPr>
          <w:rFonts w:ascii="Times New Roman" w:hAnsi="Times New Roman" w:cs="Times New Roman"/>
          <w:sz w:val="24"/>
          <w:szCs w:val="24"/>
        </w:rPr>
        <w:t>. All plasmid DNA was purified using QIAGEN kits according to the manufacturer’s instructions (</w:t>
      </w:r>
      <w:r>
        <w:rPr>
          <w:rFonts w:ascii="Times New Roman" w:hAnsi="Times New Roman" w:cs="Times New Roman"/>
          <w:sz w:val="24"/>
          <w:szCs w:val="24"/>
        </w:rPr>
        <w:t>Chapter</w:t>
      </w:r>
      <w:r w:rsidRPr="0076399D">
        <w:rPr>
          <w:rFonts w:ascii="Times New Roman" w:hAnsi="Times New Roman" w:cs="Times New Roman"/>
          <w:sz w:val="24"/>
          <w:szCs w:val="24"/>
        </w:rPr>
        <w:t xml:space="preserve"> </w:t>
      </w:r>
      <w:r>
        <w:rPr>
          <w:rFonts w:ascii="Times New Roman" w:hAnsi="Times New Roman" w:cs="Times New Roman"/>
          <w:sz w:val="24"/>
          <w:szCs w:val="24"/>
        </w:rPr>
        <w:t>2.8.2</w:t>
      </w:r>
      <w:r w:rsidRPr="0076399D">
        <w:rPr>
          <w:rFonts w:ascii="Times New Roman" w:hAnsi="Times New Roman" w:cs="Times New Roman"/>
          <w:sz w:val="24"/>
          <w:szCs w:val="24"/>
        </w:rPr>
        <w:t>). Purified plasmids were stored in dH</w:t>
      </w:r>
      <w:r w:rsidRPr="0076399D">
        <w:rPr>
          <w:rFonts w:ascii="Times New Roman" w:hAnsi="Times New Roman" w:cs="Times New Roman"/>
          <w:sz w:val="24"/>
          <w:szCs w:val="24"/>
          <w:vertAlign w:val="subscript"/>
        </w:rPr>
        <w:t>2</w:t>
      </w:r>
      <w:r w:rsidRPr="0076399D">
        <w:rPr>
          <w:rFonts w:ascii="Times New Roman" w:hAnsi="Times New Roman" w:cs="Times New Roman"/>
          <w:sz w:val="24"/>
          <w:szCs w:val="24"/>
        </w:rPr>
        <w:t>0 at -20 °C.</w:t>
      </w:r>
    </w:p>
    <w:p w:rsidR="002D7C9B" w:rsidRPr="00C17FBC" w:rsidRDefault="002D7C9B" w:rsidP="002D7C9B">
      <w:pPr>
        <w:spacing w:after="120" w:line="480" w:lineRule="auto"/>
        <w:jc w:val="both"/>
        <w:rPr>
          <w:rFonts w:ascii="Times New Roman" w:hAnsi="Times New Roman" w:cs="Times New Roman"/>
          <w:sz w:val="24"/>
          <w:szCs w:val="24"/>
        </w:rPr>
      </w:pPr>
    </w:p>
    <w:p w:rsidR="002D7C9B" w:rsidRPr="0076399D" w:rsidRDefault="002D7C9B" w:rsidP="002D7C9B">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t>2.5</w:t>
      </w:r>
      <w:r w:rsidRPr="0076399D">
        <w:rPr>
          <w:rFonts w:ascii="Times New Roman" w:hAnsi="Times New Roman" w:cs="Times New Roman"/>
          <w:sz w:val="28"/>
          <w:szCs w:val="28"/>
        </w:rPr>
        <w:tab/>
      </w:r>
      <w:r w:rsidRPr="0076399D">
        <w:rPr>
          <w:rFonts w:ascii="Times New Roman" w:hAnsi="Times New Roman" w:cs="Times New Roman"/>
          <w:sz w:val="28"/>
          <w:szCs w:val="28"/>
        </w:rPr>
        <w:tab/>
        <w:t>Chemicals and enzymes</w:t>
      </w:r>
    </w:p>
    <w:p w:rsidR="002D7C9B" w:rsidRPr="0076399D" w:rsidRDefault="002D7C9B" w:rsidP="002D7C9B">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 xml:space="preserve">All chemicals used in this study were purchased from Fisher Scientific or Sigma-Aldrich unless otherwise stated. Concentrations and storage of stock solutions are shown in </w:t>
      </w:r>
      <w:r>
        <w:rPr>
          <w:rFonts w:ascii="Times New Roman" w:hAnsi="Times New Roman" w:cs="Times New Roman"/>
          <w:sz w:val="24"/>
          <w:szCs w:val="24"/>
        </w:rPr>
        <w:t>Table</w:t>
      </w:r>
      <w:r w:rsidRPr="0076399D">
        <w:rPr>
          <w:rFonts w:ascii="Times New Roman" w:hAnsi="Times New Roman" w:cs="Times New Roman"/>
          <w:sz w:val="24"/>
          <w:szCs w:val="24"/>
        </w:rPr>
        <w:t xml:space="preserve"> 2.</w:t>
      </w:r>
      <w:r>
        <w:rPr>
          <w:rFonts w:ascii="Times New Roman" w:hAnsi="Times New Roman" w:cs="Times New Roman"/>
          <w:sz w:val="24"/>
          <w:szCs w:val="24"/>
        </w:rPr>
        <w:t>6</w:t>
      </w:r>
      <w:r w:rsidRPr="0076399D">
        <w:rPr>
          <w:rFonts w:ascii="Times New Roman" w:hAnsi="Times New Roman" w:cs="Times New Roman"/>
          <w:sz w:val="24"/>
          <w:szCs w:val="24"/>
        </w:rPr>
        <w:t>.</w:t>
      </w:r>
      <w:r>
        <w:rPr>
          <w:rFonts w:ascii="Times New Roman" w:hAnsi="Times New Roman" w:cs="Times New Roman"/>
          <w:sz w:val="24"/>
          <w:szCs w:val="24"/>
        </w:rPr>
        <w:t xml:space="preserve"> Several peptidoglycan hydrolases were used throughout this study. A list of enzymes and reaction conditions is provided in Table 2.7.</w:t>
      </w:r>
    </w:p>
    <w:p w:rsidR="002D7C9B" w:rsidRDefault="002D7C9B" w:rsidP="002D7C9B">
      <w:pPr>
        <w:spacing w:after="120" w:line="480" w:lineRule="auto"/>
        <w:jc w:val="both"/>
        <w:rPr>
          <w:rFonts w:ascii="Times New Roman" w:hAnsi="Times New Roman" w:cs="Times New Roman"/>
          <w:sz w:val="24"/>
          <w:szCs w:val="24"/>
        </w:rPr>
      </w:pPr>
    </w:p>
    <w:p w:rsidR="002D7C9B" w:rsidRDefault="002D7C9B" w:rsidP="002D7C9B">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t>2.6</w:t>
      </w:r>
      <w:r w:rsidRPr="0076399D">
        <w:rPr>
          <w:rFonts w:ascii="Times New Roman" w:hAnsi="Times New Roman" w:cs="Times New Roman"/>
          <w:sz w:val="28"/>
          <w:szCs w:val="28"/>
        </w:rPr>
        <w:tab/>
      </w:r>
      <w:r w:rsidRPr="0076399D">
        <w:rPr>
          <w:rFonts w:ascii="Times New Roman" w:hAnsi="Times New Roman" w:cs="Times New Roman"/>
          <w:sz w:val="28"/>
          <w:szCs w:val="28"/>
        </w:rPr>
        <w:tab/>
        <w:t>Centrifugation</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Details of centrifuges used to harvest samples throughout this study are given below. Centrifugation was carried out at room temperature unless otherwise stated:</w:t>
      </w:r>
    </w:p>
    <w:p w:rsidR="002D7C9B" w:rsidRDefault="002D7C9B" w:rsidP="002D7C9B">
      <w:pPr>
        <w:pStyle w:val="ListParagraph"/>
        <w:numPr>
          <w:ilvl w:val="0"/>
          <w:numId w:val="9"/>
        </w:numPr>
        <w:spacing w:after="0" w:line="480" w:lineRule="auto"/>
        <w:ind w:left="851" w:hanging="491"/>
        <w:jc w:val="both"/>
        <w:rPr>
          <w:rFonts w:ascii="Times New Roman" w:hAnsi="Times New Roman" w:cs="Times New Roman"/>
          <w:sz w:val="24"/>
          <w:szCs w:val="24"/>
        </w:rPr>
      </w:pPr>
      <w:r>
        <w:rPr>
          <w:rFonts w:ascii="Times New Roman" w:hAnsi="Times New Roman" w:cs="Times New Roman"/>
          <w:sz w:val="24"/>
          <w:szCs w:val="24"/>
        </w:rPr>
        <w:t>Eppendorf microfuge 5415D.</w:t>
      </w:r>
    </w:p>
    <w:p w:rsidR="002D7C9B" w:rsidRPr="00D968E0" w:rsidRDefault="002D7C9B" w:rsidP="002D7C9B">
      <w:pPr>
        <w:pStyle w:val="ListParagraph"/>
        <w:spacing w:after="0" w:line="480" w:lineRule="auto"/>
        <w:ind w:left="851"/>
        <w:jc w:val="both"/>
        <w:rPr>
          <w:rFonts w:ascii="Times New Roman" w:hAnsi="Times New Roman" w:cs="Times New Roman"/>
          <w:sz w:val="24"/>
          <w:szCs w:val="24"/>
        </w:rPr>
      </w:pPr>
      <w:r w:rsidRPr="00861AEA">
        <w:rPr>
          <w:rFonts w:ascii="Times New Roman" w:hAnsi="Times New Roman" w:cs="Times New Roman"/>
          <w:sz w:val="24"/>
          <w:szCs w:val="24"/>
        </w:rPr>
        <w:t xml:space="preserve">Max. </w:t>
      </w:r>
      <w:proofErr w:type="gramStart"/>
      <w:r w:rsidRPr="00861AEA">
        <w:rPr>
          <w:rFonts w:ascii="Times New Roman" w:hAnsi="Times New Roman" w:cs="Times New Roman"/>
          <w:sz w:val="24"/>
          <w:szCs w:val="24"/>
        </w:rPr>
        <w:t>load</w:t>
      </w:r>
      <w:proofErr w:type="gramEnd"/>
      <w:r>
        <w:rPr>
          <w:rFonts w:ascii="Times New Roman" w:hAnsi="Times New Roman" w:cs="Times New Roman"/>
          <w:sz w:val="24"/>
          <w:szCs w:val="24"/>
        </w:rPr>
        <w:t>,</w:t>
      </w:r>
      <w:r w:rsidRPr="00861AEA">
        <w:rPr>
          <w:rFonts w:ascii="Times New Roman" w:hAnsi="Times New Roman" w:cs="Times New Roman"/>
          <w:sz w:val="24"/>
          <w:szCs w:val="24"/>
        </w:rPr>
        <w:t xml:space="preserve"> 24 × 2.0 ml;</w:t>
      </w:r>
      <w:r w:rsidRPr="00861AEA">
        <w:rPr>
          <w:rFonts w:ascii="Times New Roman" w:hAnsi="Times New Roman" w:cs="Times New Roman"/>
          <w:sz w:val="24"/>
          <w:szCs w:val="24"/>
        </w:rPr>
        <w:tab/>
        <w:t xml:space="preserve">Max. </w:t>
      </w:r>
      <w:proofErr w:type="gramStart"/>
      <w:r w:rsidRPr="00861AEA">
        <w:rPr>
          <w:rFonts w:ascii="Times New Roman" w:hAnsi="Times New Roman" w:cs="Times New Roman"/>
          <w:sz w:val="24"/>
          <w:szCs w:val="24"/>
        </w:rPr>
        <w:t>speed</w:t>
      </w:r>
      <w:proofErr w:type="gramEnd"/>
      <w:r w:rsidRPr="00861AEA">
        <w:rPr>
          <w:rFonts w:ascii="Times New Roman" w:hAnsi="Times New Roman" w:cs="Times New Roman"/>
          <w:sz w:val="24"/>
          <w:szCs w:val="24"/>
        </w:rPr>
        <w:t>, 13,200rpm (16,110 ×g)</w:t>
      </w:r>
    </w:p>
    <w:p w:rsidR="002D7C9B" w:rsidRDefault="002D7C9B" w:rsidP="002D7C9B">
      <w:pPr>
        <w:pStyle w:val="ListParagraph"/>
        <w:numPr>
          <w:ilvl w:val="0"/>
          <w:numId w:val="9"/>
        </w:numPr>
        <w:spacing w:after="120" w:line="480" w:lineRule="auto"/>
        <w:ind w:left="851" w:hanging="491"/>
        <w:jc w:val="both"/>
        <w:rPr>
          <w:rFonts w:ascii="Times New Roman" w:hAnsi="Times New Roman" w:cs="Times New Roman"/>
          <w:sz w:val="24"/>
          <w:szCs w:val="24"/>
        </w:rPr>
      </w:pPr>
      <w:r>
        <w:rPr>
          <w:rFonts w:ascii="Times New Roman" w:hAnsi="Times New Roman" w:cs="Times New Roman"/>
          <w:sz w:val="24"/>
          <w:szCs w:val="24"/>
        </w:rPr>
        <w:t>Sigma centrifuge 4K15C</w:t>
      </w:r>
    </w:p>
    <w:p w:rsidR="002D7C9B" w:rsidRPr="00D968E0" w:rsidRDefault="002D7C9B" w:rsidP="002D7C9B">
      <w:pPr>
        <w:pStyle w:val="ListParagraph"/>
        <w:spacing w:after="120" w:line="480" w:lineRule="auto"/>
        <w:ind w:left="1080" w:hanging="229"/>
        <w:jc w:val="both"/>
        <w:rPr>
          <w:rFonts w:ascii="Times New Roman" w:hAnsi="Times New Roman" w:cs="Times New Roman"/>
          <w:sz w:val="24"/>
          <w:szCs w:val="24"/>
        </w:rPr>
      </w:pPr>
      <w:r>
        <w:rPr>
          <w:rFonts w:ascii="Times New Roman" w:hAnsi="Times New Roman" w:cs="Times New Roman"/>
          <w:sz w:val="24"/>
          <w:szCs w:val="24"/>
        </w:rPr>
        <w:t xml:space="preserve">Max. </w:t>
      </w:r>
      <w:proofErr w:type="gramStart"/>
      <w:r>
        <w:rPr>
          <w:rFonts w:ascii="Times New Roman" w:hAnsi="Times New Roman" w:cs="Times New Roman"/>
          <w:sz w:val="24"/>
          <w:szCs w:val="24"/>
        </w:rPr>
        <w:t>load</w:t>
      </w:r>
      <w:proofErr w:type="gramEnd"/>
      <w:r>
        <w:rPr>
          <w:rFonts w:ascii="Times New Roman" w:hAnsi="Times New Roman" w:cs="Times New Roman"/>
          <w:sz w:val="24"/>
          <w:szCs w:val="24"/>
        </w:rPr>
        <w:t xml:space="preserve">, </w:t>
      </w:r>
      <w:r w:rsidRPr="00861AEA">
        <w:rPr>
          <w:rFonts w:ascii="Times New Roman" w:hAnsi="Times New Roman" w:cs="Times New Roman"/>
          <w:sz w:val="24"/>
          <w:szCs w:val="24"/>
        </w:rPr>
        <w:t xml:space="preserve">16 × 50 ml; </w:t>
      </w:r>
      <w:r w:rsidRPr="00861AEA">
        <w:rPr>
          <w:rFonts w:ascii="Times New Roman" w:hAnsi="Times New Roman" w:cs="Times New Roman"/>
          <w:sz w:val="24"/>
          <w:szCs w:val="24"/>
        </w:rPr>
        <w:tab/>
        <w:t>Max speed, 5,100 rpm (5525 ×g</w:t>
      </w:r>
      <w:r>
        <w:rPr>
          <w:rFonts w:ascii="Times New Roman" w:hAnsi="Times New Roman" w:cs="Times New Roman"/>
          <w:sz w:val="24"/>
          <w:szCs w:val="24"/>
        </w:rPr>
        <w:t>)</w:t>
      </w:r>
    </w:p>
    <w:p w:rsidR="002D7C9B" w:rsidRDefault="002D7C9B" w:rsidP="002D7C9B">
      <w:pPr>
        <w:pStyle w:val="ListParagraph"/>
        <w:numPr>
          <w:ilvl w:val="0"/>
          <w:numId w:val="9"/>
        </w:numPr>
        <w:spacing w:after="120" w:line="480" w:lineRule="auto"/>
        <w:ind w:left="851" w:hanging="491"/>
        <w:jc w:val="both"/>
        <w:rPr>
          <w:rFonts w:ascii="Times New Roman" w:hAnsi="Times New Roman" w:cs="Times New Roman"/>
          <w:sz w:val="24"/>
          <w:szCs w:val="24"/>
        </w:rPr>
      </w:pPr>
      <w:r>
        <w:rPr>
          <w:rFonts w:ascii="Times New Roman" w:hAnsi="Times New Roman" w:cs="Times New Roman"/>
          <w:sz w:val="24"/>
          <w:szCs w:val="24"/>
        </w:rPr>
        <w:t>Jouan centrifuge JAC50.10</w:t>
      </w:r>
    </w:p>
    <w:p w:rsidR="002D7C9B" w:rsidRPr="00D968E0" w:rsidRDefault="002D7C9B" w:rsidP="002D7C9B">
      <w:pPr>
        <w:pStyle w:val="ListParagraph"/>
        <w:spacing w:after="120" w:line="480" w:lineRule="auto"/>
        <w:ind w:left="1080" w:hanging="229"/>
        <w:jc w:val="both"/>
        <w:rPr>
          <w:rFonts w:ascii="Times New Roman" w:hAnsi="Times New Roman" w:cs="Times New Roman"/>
          <w:sz w:val="24"/>
          <w:szCs w:val="24"/>
        </w:rPr>
      </w:pPr>
      <w:r w:rsidRPr="00861AEA">
        <w:rPr>
          <w:rFonts w:ascii="Times New Roman" w:hAnsi="Times New Roman" w:cs="Times New Roman"/>
          <w:sz w:val="24"/>
          <w:szCs w:val="24"/>
        </w:rPr>
        <w:t xml:space="preserve">Max. </w:t>
      </w:r>
      <w:proofErr w:type="gramStart"/>
      <w:r w:rsidRPr="00861AEA">
        <w:rPr>
          <w:rFonts w:ascii="Times New Roman" w:hAnsi="Times New Roman" w:cs="Times New Roman"/>
          <w:sz w:val="24"/>
          <w:szCs w:val="24"/>
        </w:rPr>
        <w:t>load</w:t>
      </w:r>
      <w:proofErr w:type="gramEnd"/>
      <w:r>
        <w:rPr>
          <w:rFonts w:ascii="Times New Roman" w:hAnsi="Times New Roman" w:cs="Times New Roman"/>
          <w:sz w:val="24"/>
          <w:szCs w:val="24"/>
        </w:rPr>
        <w:t>,</w:t>
      </w:r>
      <w:r w:rsidRPr="00861AEA">
        <w:rPr>
          <w:rFonts w:ascii="Times New Roman" w:hAnsi="Times New Roman" w:cs="Times New Roman"/>
          <w:sz w:val="24"/>
          <w:szCs w:val="24"/>
        </w:rPr>
        <w:t xml:space="preserve"> 6 × 50 ml</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t xml:space="preserve">Max. </w:t>
      </w:r>
      <w:proofErr w:type="gramStart"/>
      <w:r>
        <w:rPr>
          <w:rFonts w:ascii="Times New Roman" w:hAnsi="Times New Roman" w:cs="Times New Roman"/>
          <w:sz w:val="24"/>
          <w:szCs w:val="24"/>
        </w:rPr>
        <w:t>speed</w:t>
      </w:r>
      <w:proofErr w:type="gramEnd"/>
      <w:r>
        <w:rPr>
          <w:rFonts w:ascii="Times New Roman" w:hAnsi="Times New Roman" w:cs="Times New Roman"/>
          <w:sz w:val="24"/>
          <w:szCs w:val="24"/>
        </w:rPr>
        <w:t>,</w:t>
      </w:r>
      <w:r w:rsidRPr="00861AEA">
        <w:rPr>
          <w:rFonts w:ascii="Times New Roman" w:hAnsi="Times New Roman" w:cs="Times New Roman"/>
          <w:sz w:val="24"/>
          <w:szCs w:val="24"/>
        </w:rPr>
        <w:t xml:space="preserve"> 13,000 rpm (10,000 ×g</w:t>
      </w:r>
      <w:r>
        <w:rPr>
          <w:rFonts w:ascii="Times New Roman" w:hAnsi="Times New Roman" w:cs="Times New Roman"/>
          <w:sz w:val="24"/>
          <w:szCs w:val="24"/>
        </w:rPr>
        <w:t>)</w:t>
      </w:r>
    </w:p>
    <w:p w:rsidR="002D7C9B" w:rsidRDefault="002D7C9B" w:rsidP="002D7C9B">
      <w:pPr>
        <w:pStyle w:val="ListParagraph"/>
        <w:numPr>
          <w:ilvl w:val="0"/>
          <w:numId w:val="9"/>
        </w:numPr>
        <w:spacing w:after="120" w:line="480" w:lineRule="auto"/>
        <w:ind w:left="851" w:hanging="491"/>
        <w:jc w:val="both"/>
        <w:rPr>
          <w:rFonts w:ascii="Times New Roman" w:hAnsi="Times New Roman" w:cs="Times New Roman"/>
          <w:sz w:val="24"/>
          <w:szCs w:val="24"/>
        </w:rPr>
      </w:pPr>
      <w:r w:rsidRPr="00861AEA">
        <w:rPr>
          <w:rFonts w:ascii="Times New Roman" w:hAnsi="Times New Roman" w:cs="Times New Roman"/>
          <w:sz w:val="24"/>
          <w:szCs w:val="24"/>
        </w:rPr>
        <w:t>Avanti</w:t>
      </w:r>
      <w:r w:rsidRPr="00861AEA">
        <w:rPr>
          <w:rFonts w:ascii="Times New Roman" w:hAnsi="Times New Roman" w:cs="Times New Roman"/>
          <w:sz w:val="24"/>
          <w:szCs w:val="24"/>
        </w:rPr>
        <w:sym w:font="Symbol" w:char="F0D4"/>
      </w:r>
      <w:r w:rsidRPr="00861AEA">
        <w:rPr>
          <w:rFonts w:ascii="Times New Roman" w:hAnsi="Times New Roman" w:cs="Times New Roman"/>
          <w:sz w:val="24"/>
          <w:szCs w:val="24"/>
        </w:rPr>
        <w:t xml:space="preserve"> J25I (Beckman)</w:t>
      </w:r>
    </w:p>
    <w:p w:rsidR="002D7C9B" w:rsidRDefault="002D7C9B" w:rsidP="002D7C9B">
      <w:pPr>
        <w:pStyle w:val="ListParagraph"/>
        <w:spacing w:after="120" w:line="480" w:lineRule="auto"/>
        <w:ind w:left="851"/>
        <w:jc w:val="both"/>
        <w:rPr>
          <w:rFonts w:ascii="Times New Roman" w:hAnsi="Times New Roman" w:cs="Times New Roman"/>
          <w:sz w:val="24"/>
          <w:szCs w:val="24"/>
        </w:rPr>
      </w:pPr>
      <w:r w:rsidRPr="00861AEA">
        <w:rPr>
          <w:rFonts w:ascii="Times New Roman" w:hAnsi="Times New Roman" w:cs="Times New Roman"/>
          <w:sz w:val="24"/>
          <w:szCs w:val="24"/>
        </w:rPr>
        <w:t xml:space="preserve">JA-20: Max. </w:t>
      </w:r>
      <w:proofErr w:type="gramStart"/>
      <w:r w:rsidRPr="00861AEA">
        <w:rPr>
          <w:rFonts w:ascii="Times New Roman" w:hAnsi="Times New Roman" w:cs="Times New Roman"/>
          <w:sz w:val="24"/>
          <w:szCs w:val="24"/>
        </w:rPr>
        <w:t>load</w:t>
      </w:r>
      <w:proofErr w:type="gramEnd"/>
      <w:r>
        <w:rPr>
          <w:rFonts w:ascii="Times New Roman" w:hAnsi="Times New Roman" w:cs="Times New Roman"/>
          <w:sz w:val="24"/>
          <w:szCs w:val="24"/>
        </w:rPr>
        <w:t>,</w:t>
      </w:r>
      <w:r w:rsidRPr="00861AEA">
        <w:rPr>
          <w:rFonts w:ascii="Times New Roman" w:hAnsi="Times New Roman" w:cs="Times New Roman"/>
          <w:sz w:val="24"/>
          <w:szCs w:val="24"/>
        </w:rPr>
        <w:t xml:space="preserve"> 6 × 50 ml;</w:t>
      </w:r>
      <w:r w:rsidRPr="00861AEA">
        <w:rPr>
          <w:rFonts w:ascii="Times New Roman" w:hAnsi="Times New Roman" w:cs="Times New Roman"/>
          <w:sz w:val="24"/>
          <w:szCs w:val="24"/>
        </w:rPr>
        <w:tab/>
        <w:t>Max</w:t>
      </w:r>
      <w:r>
        <w:rPr>
          <w:rFonts w:ascii="Times New Roman" w:hAnsi="Times New Roman" w:cs="Times New Roman"/>
          <w:sz w:val="24"/>
          <w:szCs w:val="24"/>
        </w:rPr>
        <w:t xml:space="preserve">. </w:t>
      </w:r>
      <w:proofErr w:type="gramStart"/>
      <w:r>
        <w:rPr>
          <w:rFonts w:ascii="Times New Roman" w:hAnsi="Times New Roman" w:cs="Times New Roman"/>
          <w:sz w:val="24"/>
          <w:szCs w:val="24"/>
        </w:rPr>
        <w:t>speed</w:t>
      </w:r>
      <w:proofErr w:type="gramEnd"/>
      <w:r>
        <w:rPr>
          <w:rFonts w:ascii="Times New Roman" w:hAnsi="Times New Roman" w:cs="Times New Roman"/>
          <w:sz w:val="24"/>
          <w:szCs w:val="24"/>
        </w:rPr>
        <w:t xml:space="preserve">, 20,000 rpm (48,384 </w:t>
      </w:r>
      <w:r w:rsidRPr="00861AEA">
        <w:rPr>
          <w:rFonts w:ascii="Times New Roman" w:hAnsi="Times New Roman" w:cs="Times New Roman"/>
          <w:sz w:val="24"/>
          <w:szCs w:val="24"/>
        </w:rPr>
        <w:t>×g</w:t>
      </w:r>
      <w:r>
        <w:rPr>
          <w:rFonts w:ascii="Times New Roman" w:hAnsi="Times New Roman" w:cs="Times New Roman"/>
          <w:sz w:val="24"/>
          <w:szCs w:val="24"/>
        </w:rPr>
        <w:t>)</w:t>
      </w:r>
    </w:p>
    <w:p w:rsidR="002D7C9B" w:rsidRPr="00861AEA" w:rsidRDefault="002D7C9B" w:rsidP="002D7C9B">
      <w:pPr>
        <w:pStyle w:val="ListParagraph"/>
        <w:spacing w:after="12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JA-10.5: Max. </w:t>
      </w:r>
      <w:proofErr w:type="gramStart"/>
      <w:r>
        <w:rPr>
          <w:rFonts w:ascii="Times New Roman" w:hAnsi="Times New Roman" w:cs="Times New Roman"/>
          <w:sz w:val="24"/>
          <w:szCs w:val="24"/>
        </w:rPr>
        <w:t>load</w:t>
      </w:r>
      <w:proofErr w:type="gramEnd"/>
      <w:r>
        <w:rPr>
          <w:rFonts w:ascii="Times New Roman" w:hAnsi="Times New Roman" w:cs="Times New Roman"/>
          <w:sz w:val="24"/>
          <w:szCs w:val="24"/>
        </w:rPr>
        <w:t xml:space="preserve">, </w:t>
      </w:r>
      <w:r w:rsidRPr="00861AEA">
        <w:rPr>
          <w:rFonts w:ascii="Times New Roman" w:hAnsi="Times New Roman" w:cs="Times New Roman"/>
          <w:sz w:val="24"/>
          <w:szCs w:val="24"/>
        </w:rPr>
        <w:t xml:space="preserve">6 × </w:t>
      </w:r>
      <w:r>
        <w:rPr>
          <w:rFonts w:ascii="Times New Roman" w:hAnsi="Times New Roman" w:cs="Times New Roman"/>
          <w:sz w:val="24"/>
          <w:szCs w:val="24"/>
        </w:rPr>
        <w:t>40</w:t>
      </w:r>
      <w:r w:rsidRPr="00861AEA">
        <w:rPr>
          <w:rFonts w:ascii="Times New Roman" w:hAnsi="Times New Roman" w:cs="Times New Roman"/>
          <w:sz w:val="24"/>
          <w:szCs w:val="24"/>
        </w:rPr>
        <w:t>0 ml</w:t>
      </w:r>
      <w:r>
        <w:rPr>
          <w:rFonts w:ascii="Times New Roman" w:hAnsi="Times New Roman" w:cs="Times New Roman"/>
          <w:sz w:val="24"/>
          <w:szCs w:val="24"/>
        </w:rPr>
        <w:t>;</w:t>
      </w:r>
      <w:r>
        <w:rPr>
          <w:rFonts w:ascii="Times New Roman" w:hAnsi="Times New Roman" w:cs="Times New Roman"/>
          <w:sz w:val="24"/>
          <w:szCs w:val="24"/>
        </w:rPr>
        <w:tab/>
        <w:t xml:space="preserve">Max. </w:t>
      </w:r>
      <w:proofErr w:type="gramStart"/>
      <w:r>
        <w:rPr>
          <w:rFonts w:ascii="Times New Roman" w:hAnsi="Times New Roman" w:cs="Times New Roman"/>
          <w:sz w:val="24"/>
          <w:szCs w:val="24"/>
        </w:rPr>
        <w:t>speed</w:t>
      </w:r>
      <w:proofErr w:type="gramEnd"/>
      <w:r>
        <w:rPr>
          <w:rFonts w:ascii="Times New Roman" w:hAnsi="Times New Roman" w:cs="Times New Roman"/>
          <w:sz w:val="24"/>
          <w:szCs w:val="24"/>
        </w:rPr>
        <w:t xml:space="preserve">, 10,000 rpm (18,480 </w:t>
      </w:r>
      <w:r w:rsidRPr="00861AEA">
        <w:rPr>
          <w:rFonts w:ascii="Times New Roman" w:hAnsi="Times New Roman" w:cs="Times New Roman"/>
          <w:sz w:val="24"/>
          <w:szCs w:val="24"/>
        </w:rPr>
        <w:t>×g</w:t>
      </w:r>
      <w:r>
        <w:rPr>
          <w:rFonts w:ascii="Times New Roman" w:hAnsi="Times New Roman" w:cs="Times New Roman"/>
          <w:sz w:val="24"/>
          <w:szCs w:val="24"/>
        </w:rPr>
        <w:t>)</w:t>
      </w:r>
    </w:p>
    <w:p w:rsidR="002D7C9B" w:rsidRPr="0076399D" w:rsidRDefault="002D7C9B" w:rsidP="002D7C9B">
      <w:pPr>
        <w:jc w:val="both"/>
        <w:rPr>
          <w:rFonts w:ascii="Times New Roman" w:hAnsi="Times New Roman" w:cs="Times New Roman"/>
          <w:b/>
          <w:sz w:val="24"/>
          <w:szCs w:val="24"/>
        </w:rPr>
      </w:pPr>
      <w:r w:rsidRPr="0076399D">
        <w:rPr>
          <w:rFonts w:ascii="Times New Roman" w:hAnsi="Times New Roman" w:cs="Times New Roman"/>
          <w:b/>
          <w:sz w:val="24"/>
          <w:szCs w:val="24"/>
        </w:rPr>
        <w:lastRenderedPageBreak/>
        <w:t>Table 2.</w:t>
      </w:r>
      <w:r>
        <w:rPr>
          <w:rFonts w:ascii="Times New Roman" w:hAnsi="Times New Roman" w:cs="Times New Roman"/>
          <w:b/>
          <w:sz w:val="24"/>
          <w:szCs w:val="24"/>
        </w:rPr>
        <w:t>5</w:t>
      </w:r>
      <w:r w:rsidRPr="0076399D">
        <w:rPr>
          <w:rFonts w:ascii="Times New Roman" w:hAnsi="Times New Roman" w:cs="Times New Roman"/>
          <w:b/>
          <w:sz w:val="24"/>
          <w:szCs w:val="24"/>
        </w:rPr>
        <w:t xml:space="preserve"> Plasmids used in this study</w:t>
      </w:r>
    </w:p>
    <w:tbl>
      <w:tblPr>
        <w:tblStyle w:val="TableGrid"/>
        <w:tblW w:w="0" w:type="auto"/>
        <w:tblLook w:val="04A0"/>
      </w:tblPr>
      <w:tblGrid>
        <w:gridCol w:w="1797"/>
        <w:gridCol w:w="4003"/>
        <w:gridCol w:w="2728"/>
      </w:tblGrid>
      <w:tr w:rsidR="002D7C9B" w:rsidRPr="0076399D" w:rsidTr="002D7C9B">
        <w:tc>
          <w:tcPr>
            <w:tcW w:w="1797" w:type="dxa"/>
            <w:tcBorders>
              <w:left w:val="nil"/>
              <w:bottom w:val="single" w:sz="4" w:space="0" w:color="auto"/>
              <w:right w:val="nil"/>
            </w:tcBorders>
            <w:tcMar>
              <w:top w:w="57" w:type="dxa"/>
              <w:bottom w:w="85" w:type="dxa"/>
            </w:tcMar>
          </w:tcPr>
          <w:p w:rsidR="002D7C9B" w:rsidRPr="0076399D" w:rsidRDefault="002D7C9B" w:rsidP="002D7C9B">
            <w:pPr>
              <w:jc w:val="center"/>
              <w:rPr>
                <w:rFonts w:ascii="Times New Roman" w:hAnsi="Times New Roman" w:cs="Times New Roman"/>
                <w:b/>
              </w:rPr>
            </w:pPr>
            <w:r w:rsidRPr="0076399D">
              <w:rPr>
                <w:rFonts w:ascii="Times New Roman" w:hAnsi="Times New Roman" w:cs="Times New Roman"/>
                <w:b/>
              </w:rPr>
              <w:t>Plasmid</w:t>
            </w:r>
          </w:p>
        </w:tc>
        <w:tc>
          <w:tcPr>
            <w:tcW w:w="4003" w:type="dxa"/>
            <w:tcBorders>
              <w:left w:val="nil"/>
              <w:bottom w:val="single" w:sz="4" w:space="0" w:color="auto"/>
              <w:right w:val="nil"/>
            </w:tcBorders>
            <w:tcMar>
              <w:top w:w="57" w:type="dxa"/>
              <w:bottom w:w="85" w:type="dxa"/>
            </w:tcMar>
          </w:tcPr>
          <w:p w:rsidR="002D7C9B" w:rsidRPr="0076399D" w:rsidRDefault="002D7C9B" w:rsidP="002D7C9B">
            <w:pPr>
              <w:jc w:val="center"/>
              <w:rPr>
                <w:rFonts w:ascii="Times New Roman" w:hAnsi="Times New Roman" w:cs="Times New Roman"/>
                <w:b/>
              </w:rPr>
            </w:pPr>
            <w:r w:rsidRPr="0076399D">
              <w:rPr>
                <w:rFonts w:ascii="Times New Roman" w:hAnsi="Times New Roman" w:cs="Times New Roman"/>
                <w:b/>
              </w:rPr>
              <w:t>Relevant background/genotype/markers</w:t>
            </w:r>
          </w:p>
        </w:tc>
        <w:tc>
          <w:tcPr>
            <w:tcW w:w="2728" w:type="dxa"/>
            <w:tcBorders>
              <w:left w:val="nil"/>
              <w:bottom w:val="single" w:sz="4" w:space="0" w:color="auto"/>
              <w:right w:val="nil"/>
            </w:tcBorders>
            <w:tcMar>
              <w:top w:w="57" w:type="dxa"/>
              <w:bottom w:w="85" w:type="dxa"/>
            </w:tcMar>
          </w:tcPr>
          <w:p w:rsidR="002D7C9B" w:rsidRPr="0076399D" w:rsidRDefault="002D7C9B" w:rsidP="002D7C9B">
            <w:pPr>
              <w:jc w:val="center"/>
              <w:rPr>
                <w:rFonts w:ascii="Times New Roman" w:hAnsi="Times New Roman" w:cs="Times New Roman"/>
                <w:b/>
              </w:rPr>
            </w:pPr>
            <w:r w:rsidRPr="0076399D">
              <w:rPr>
                <w:rFonts w:ascii="Times New Roman" w:hAnsi="Times New Roman" w:cs="Times New Roman"/>
                <w:b/>
              </w:rPr>
              <w:t>Source</w:t>
            </w:r>
          </w:p>
        </w:tc>
      </w:tr>
      <w:tr w:rsidR="002D7C9B" w:rsidRPr="0076399D" w:rsidTr="002D7C9B">
        <w:tc>
          <w:tcPr>
            <w:tcW w:w="1797" w:type="dxa"/>
            <w:tcBorders>
              <w:left w:val="nil"/>
              <w:bottom w:val="nil"/>
              <w:right w:val="nil"/>
            </w:tcBorders>
            <w:tcMar>
              <w:top w:w="57" w:type="dxa"/>
              <w:bottom w:w="85" w:type="dxa"/>
            </w:tcMar>
          </w:tcPr>
          <w:p w:rsidR="002D7C9B" w:rsidRPr="00BF1E88" w:rsidRDefault="002D7C9B" w:rsidP="002D7C9B">
            <w:pPr>
              <w:spacing w:before="60" w:after="60"/>
              <w:rPr>
                <w:rFonts w:ascii="Times New Roman" w:hAnsi="Times New Roman" w:cs="Times New Roman"/>
              </w:rPr>
            </w:pPr>
            <w:r w:rsidRPr="00BF1E88">
              <w:rPr>
                <w:rFonts w:ascii="Times New Roman" w:hAnsi="Times New Roman" w:cs="Times New Roman"/>
              </w:rPr>
              <w:t>pAZ106</w:t>
            </w:r>
          </w:p>
        </w:tc>
        <w:tc>
          <w:tcPr>
            <w:tcW w:w="4003" w:type="dxa"/>
            <w:tcBorders>
              <w:left w:val="nil"/>
              <w:bottom w:val="nil"/>
              <w:right w:val="nil"/>
            </w:tcBorders>
            <w:tcMar>
              <w:top w:w="57" w:type="dxa"/>
              <w:bottom w:w="85" w:type="dxa"/>
            </w:tcMar>
          </w:tcPr>
          <w:p w:rsidR="002D7C9B" w:rsidRPr="003A43D7" w:rsidRDefault="002D7C9B" w:rsidP="002D7C9B">
            <w:pPr>
              <w:spacing w:before="60" w:after="60"/>
              <w:rPr>
                <w:rFonts w:ascii="Times New Roman" w:hAnsi="Times New Roman" w:cs="Times New Roman"/>
              </w:rPr>
            </w:pPr>
            <w:r>
              <w:rPr>
                <w:rFonts w:ascii="Times New Roman" w:hAnsi="Times New Roman" w:cs="Times New Roman"/>
              </w:rPr>
              <w:t xml:space="preserve">Promoterless transcriptional </w:t>
            </w:r>
            <w:r>
              <w:rPr>
                <w:rFonts w:ascii="Times New Roman" w:hAnsi="Times New Roman" w:cs="Times New Roman"/>
                <w:i/>
              </w:rPr>
              <w:t>lacZ</w:t>
            </w:r>
            <w:r>
              <w:rPr>
                <w:rFonts w:ascii="Times New Roman" w:hAnsi="Times New Roman" w:cs="Times New Roman"/>
              </w:rPr>
              <w:t xml:space="preserve"> fusion vector. Used as a </w:t>
            </w:r>
            <w:r>
              <w:rPr>
                <w:rFonts w:ascii="Times New Roman" w:hAnsi="Times New Roman" w:cs="Times New Roman"/>
                <w:i/>
              </w:rPr>
              <w:t>lacZ</w:t>
            </w:r>
            <w:r>
              <w:rPr>
                <w:rFonts w:ascii="Times New Roman" w:hAnsi="Times New Roman" w:cs="Times New Roman"/>
              </w:rPr>
              <w:t xml:space="preserve"> expression reporter plasmid; </w:t>
            </w:r>
            <w:r w:rsidRPr="00BF1E88">
              <w:rPr>
                <w:rFonts w:ascii="Times New Roman" w:hAnsi="Times New Roman" w:cs="Times New Roman"/>
              </w:rPr>
              <w:t>Amp</w:t>
            </w:r>
            <w:r w:rsidRPr="00BF1E88">
              <w:rPr>
                <w:rFonts w:ascii="Times New Roman" w:hAnsi="Times New Roman" w:cs="Times New Roman"/>
                <w:vertAlign w:val="superscript"/>
              </w:rPr>
              <w:t>R</w:t>
            </w:r>
            <w:r>
              <w:rPr>
                <w:rFonts w:ascii="Times New Roman" w:hAnsi="Times New Roman" w:cs="Times New Roman"/>
              </w:rPr>
              <w:t>(</w:t>
            </w:r>
            <w:r>
              <w:rPr>
                <w:rFonts w:ascii="Times New Roman" w:hAnsi="Times New Roman" w:cs="Times New Roman"/>
                <w:i/>
              </w:rPr>
              <w:t>E. coli</w:t>
            </w:r>
            <w:r>
              <w:rPr>
                <w:rFonts w:ascii="Times New Roman" w:hAnsi="Times New Roman" w:cs="Times New Roman"/>
              </w:rPr>
              <w:t>)</w:t>
            </w:r>
            <w:r w:rsidRPr="00EC643B">
              <w:rPr>
                <w:rFonts w:ascii="Times New Roman" w:hAnsi="Times New Roman" w:cs="Times New Roman"/>
                <w:vertAlign w:val="subscript"/>
              </w:rPr>
              <w:t xml:space="preserve">, </w:t>
            </w:r>
            <w:r w:rsidRPr="00BF1E88">
              <w:rPr>
                <w:rFonts w:ascii="Times New Roman" w:hAnsi="Times New Roman" w:cs="Times New Roman"/>
              </w:rPr>
              <w:t>Ery</w:t>
            </w:r>
            <w:r w:rsidRPr="00BF1E88">
              <w:rPr>
                <w:rFonts w:ascii="Times New Roman" w:hAnsi="Times New Roman" w:cs="Times New Roman"/>
                <w:vertAlign w:val="superscript"/>
              </w:rPr>
              <w:t>R</w:t>
            </w:r>
            <w:r>
              <w:rPr>
                <w:rFonts w:ascii="Times New Roman" w:hAnsi="Times New Roman" w:cs="Times New Roman"/>
              </w:rPr>
              <w:t>(</w:t>
            </w:r>
            <w:r>
              <w:rPr>
                <w:rFonts w:ascii="Times New Roman" w:hAnsi="Times New Roman" w:cs="Times New Roman"/>
                <w:i/>
              </w:rPr>
              <w:t>S. aureus</w:t>
            </w:r>
            <w:r>
              <w:rPr>
                <w:rFonts w:ascii="Times New Roman" w:hAnsi="Times New Roman" w:cs="Times New Roman"/>
              </w:rPr>
              <w:t>)</w:t>
            </w:r>
          </w:p>
        </w:tc>
        <w:tc>
          <w:tcPr>
            <w:tcW w:w="2728" w:type="dxa"/>
            <w:tcBorders>
              <w:left w:val="nil"/>
              <w:bottom w:val="nil"/>
              <w:right w:val="nil"/>
            </w:tcBorders>
            <w:tcMar>
              <w:top w:w="57" w:type="dxa"/>
              <w:bottom w:w="85" w:type="dxa"/>
            </w:tcMar>
          </w:tcPr>
          <w:p w:rsidR="002D7C9B" w:rsidRPr="00BF1E88"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{"citationID":"2oe20jfa1a","properties":{"formattedCitation":"(Kemp et al., 1991)","plainCitation":"(Kemp et al., 1991)"},"citationItems":[{"id":700,"uris":["http://zotero.org/users/944474/items/PF8FKXNW"],"uri":["http://zotero.org/users/944474/items/PF8FKXNW"],"itemData":{"id":700,"type":"article-journal","title":"Analysis of transcriptional control of the gerD spore germination gene of Bacillus subtilis 168","container-title":"Journal of bacteriology","page":"4646-4652","volume":"173","issue":"15","abstract":"The gerD locus of Bacillus subtilis comprises a single gene whose function is essential for the germination of B. subtilis spores in media containing asparagine, glucose, and fructose. The expression of gerD has been characterized by using a chromosomal lacZ fusion to the gerD promoter. The promoter is switched on at the same time as the synthesis of glucose dehydrogenase, 2.5 h after sporulation has been initiated in the developing forespore. The gerD gene is not expressed in spoIIB or spoIIIA, -IIIB, -EIII, -FIII, or -IIIG mutants, but it is expressed in spoIIIC and -IIID and spoIVA mutant backgrounds. The in vivo transcriptional start point of the gene has been mapped by primer extension analysis, and sequences upstream from the start point show considerable homology with the promoter consensus sequences recognized by RNA polymerase containing the forespore-specific sigma factor sigma G (E sigma G). gerD is transcribed in vitro by E sigma G with a similar if not identical start point to that found in vivo, and expression of the gene can be rapidly induced in vegetative cells following the induction of sigma G synthesis. These results indicate that gerD is another member of the sigma G regulon, which includes a number of genes expressed only in the forespore compartment of sporulating cells of B. subtilis.","note":"PMID: 1906867","journalAbbreviation":"J. Bacteriol.","author":[{"family":"Kemp","given":"E H"},{"family":"Sammons","given":"R L"},{"family":"Moir","given":"A"},{"family":"Sun","given":"D"},{"family":"Setlow","given":"P"}],"issued":{"year":1991,"month":8},"accessed":{"year":2012,"month":7,"day":11},"page-first":"4646"}}],"schema":"https://github.com/citation-style-language/schema/raw/master/csl-citation.json"} </w:instrText>
            </w:r>
            <w:r>
              <w:rPr>
                <w:rFonts w:ascii="Times New Roman" w:hAnsi="Times New Roman" w:cs="Times New Roman"/>
              </w:rPr>
              <w:fldChar w:fldCharType="separate"/>
            </w:r>
            <w:r w:rsidRPr="00EC643B">
              <w:rPr>
                <w:rFonts w:ascii="Times New Roman" w:hAnsi="Times New Roman" w:cs="Times New Roman"/>
              </w:rPr>
              <w:t xml:space="preserve">(Kemp </w:t>
            </w:r>
            <w:r w:rsidRPr="009C5F2F">
              <w:rPr>
                <w:rFonts w:ascii="Times New Roman" w:hAnsi="Times New Roman" w:cs="Times New Roman"/>
                <w:i/>
              </w:rPr>
              <w:t>et al</w:t>
            </w:r>
            <w:r w:rsidRPr="00EC643B">
              <w:rPr>
                <w:rFonts w:ascii="Times New Roman" w:hAnsi="Times New Roman" w:cs="Times New Roman"/>
              </w:rPr>
              <w:t>., 1991)</w:t>
            </w:r>
            <w:r>
              <w:rPr>
                <w:rFonts w:ascii="Times New Roman" w:hAnsi="Times New Roman" w:cs="Times New Roman"/>
              </w:rPr>
              <w:fldChar w:fldCharType="end"/>
            </w:r>
          </w:p>
        </w:tc>
      </w:tr>
      <w:tr w:rsidR="002D7C9B" w:rsidRPr="0076399D" w:rsidTr="002D7C9B">
        <w:tc>
          <w:tcPr>
            <w:tcW w:w="1797" w:type="dxa"/>
            <w:tcBorders>
              <w:top w:val="nil"/>
              <w:left w:val="nil"/>
              <w:bottom w:val="nil"/>
              <w:right w:val="nil"/>
            </w:tcBorders>
            <w:tcMar>
              <w:top w:w="57" w:type="dxa"/>
              <w:bottom w:w="85" w:type="dxa"/>
            </w:tcMar>
          </w:tcPr>
          <w:p w:rsidR="002D7C9B" w:rsidRPr="00BF1E88" w:rsidRDefault="002D7C9B" w:rsidP="002D7C9B">
            <w:pPr>
              <w:spacing w:before="60" w:after="60"/>
              <w:rPr>
                <w:rFonts w:ascii="Times New Roman" w:hAnsi="Times New Roman" w:cs="Times New Roman"/>
              </w:rPr>
            </w:pPr>
            <w:r>
              <w:rPr>
                <w:rFonts w:ascii="Times New Roman" w:hAnsi="Times New Roman" w:cs="Times New Roman"/>
              </w:rPr>
              <w:t>pCN36</w:t>
            </w:r>
          </w:p>
        </w:tc>
        <w:tc>
          <w:tcPr>
            <w:tcW w:w="4003" w:type="dxa"/>
            <w:tcBorders>
              <w:top w:val="nil"/>
              <w:left w:val="nil"/>
              <w:bottom w:val="nil"/>
              <w:right w:val="nil"/>
            </w:tcBorders>
            <w:tcMar>
              <w:top w:w="57" w:type="dxa"/>
              <w:bottom w:w="85" w:type="dxa"/>
            </w:tcMar>
          </w:tcPr>
          <w:p w:rsidR="002D7C9B" w:rsidRPr="007A048A" w:rsidRDefault="002D7C9B" w:rsidP="002D7C9B">
            <w:pPr>
              <w:spacing w:before="60" w:after="60"/>
              <w:rPr>
                <w:rFonts w:ascii="Times New Roman" w:hAnsi="Times New Roman" w:cs="Times New Roman"/>
              </w:rPr>
            </w:pPr>
            <w:r>
              <w:rPr>
                <w:rFonts w:ascii="Times New Roman" w:hAnsi="Times New Roman" w:cs="Times New Roman"/>
              </w:rPr>
              <w:t xml:space="preserve">Vector carrying </w:t>
            </w:r>
            <w:r>
              <w:rPr>
                <w:rFonts w:ascii="Times New Roman" w:hAnsi="Times New Roman" w:cs="Times New Roman"/>
                <w:i/>
              </w:rPr>
              <w:t>tet</w:t>
            </w:r>
            <w:r w:rsidRPr="0022588C">
              <w:rPr>
                <w:rFonts w:ascii="Times New Roman" w:hAnsi="Times New Roman" w:cs="Times New Roman"/>
                <w:i/>
              </w:rPr>
              <w:t>M</w:t>
            </w:r>
            <w:r>
              <w:rPr>
                <w:rFonts w:ascii="Times New Roman" w:hAnsi="Times New Roman" w:cs="Times New Roman"/>
              </w:rPr>
              <w:t xml:space="preserve"> cassette suitable for selection in Gram-positive bacteria; </w:t>
            </w:r>
            <w:r w:rsidRPr="00BF1E88">
              <w:rPr>
                <w:rFonts w:ascii="Times New Roman" w:hAnsi="Times New Roman" w:cs="Times New Roman"/>
              </w:rPr>
              <w:t>Amp</w:t>
            </w:r>
            <w:r w:rsidRPr="00BF1E88">
              <w:rPr>
                <w:rFonts w:ascii="Times New Roman" w:hAnsi="Times New Roman" w:cs="Times New Roman"/>
                <w:vertAlign w:val="superscript"/>
              </w:rPr>
              <w:t>R</w:t>
            </w:r>
            <w:r w:rsidRPr="007A048A">
              <w:rPr>
                <w:rFonts w:ascii="Times New Roman" w:hAnsi="Times New Roman" w:cs="Times New Roman"/>
              </w:rPr>
              <w:t xml:space="preserve"> (</w:t>
            </w:r>
            <w:r w:rsidRPr="007A048A">
              <w:rPr>
                <w:rFonts w:ascii="Times New Roman" w:hAnsi="Times New Roman" w:cs="Times New Roman"/>
                <w:i/>
              </w:rPr>
              <w:t>E.coli</w:t>
            </w:r>
            <w:r w:rsidRPr="007A048A">
              <w:rPr>
                <w:rFonts w:ascii="Times New Roman" w:hAnsi="Times New Roman" w:cs="Times New Roman"/>
              </w:rPr>
              <w:t>), Tet</w:t>
            </w:r>
            <w:r>
              <w:rPr>
                <w:rFonts w:ascii="Times New Roman" w:hAnsi="Times New Roman" w:cs="Times New Roman"/>
                <w:vertAlign w:val="superscript"/>
              </w:rPr>
              <w:t>R</w:t>
            </w:r>
            <w:r>
              <w:rPr>
                <w:rFonts w:ascii="Times New Roman" w:hAnsi="Times New Roman" w:cs="Times New Roman"/>
              </w:rPr>
              <w:t xml:space="preserve"> (</w:t>
            </w:r>
            <w:r w:rsidRPr="007A048A">
              <w:rPr>
                <w:rFonts w:ascii="Times New Roman" w:hAnsi="Times New Roman" w:cs="Times New Roman"/>
                <w:i/>
              </w:rPr>
              <w:t>S. aureus</w:t>
            </w:r>
            <w:r>
              <w:rPr>
                <w:rFonts w:ascii="Times New Roman" w:hAnsi="Times New Roman" w:cs="Times New Roman"/>
              </w:rPr>
              <w:t>)</w:t>
            </w:r>
          </w:p>
        </w:tc>
        <w:tc>
          <w:tcPr>
            <w:tcW w:w="2728" w:type="dxa"/>
            <w:tcBorders>
              <w:top w:val="nil"/>
              <w:left w:val="nil"/>
              <w:bottom w:val="nil"/>
              <w:right w:val="nil"/>
            </w:tcBorders>
            <w:tcMar>
              <w:top w:w="57" w:type="dxa"/>
              <w:bottom w:w="85" w:type="dxa"/>
            </w:tcMar>
          </w:tcPr>
          <w:p w:rsidR="002D7C9B" w:rsidRPr="00BF1E88" w:rsidRDefault="002D7C9B" w:rsidP="002D7C9B">
            <w:pPr>
              <w:spacing w:before="60" w:after="60"/>
              <w:jc w:val="center"/>
              <w:rPr>
                <w:rFonts w:ascii="Times New Roman" w:hAnsi="Times New Roman" w:cs="Times New Roman"/>
              </w:rPr>
            </w:pPr>
            <w:r w:rsidRPr="00BF1E88">
              <w:rPr>
                <w:rFonts w:ascii="Times New Roman" w:hAnsi="Times New Roman" w:cs="Times New Roman"/>
              </w:rPr>
              <w:t xml:space="preserve">(Charpentier </w:t>
            </w:r>
            <w:r w:rsidRPr="009C5F2F">
              <w:rPr>
                <w:rFonts w:ascii="Times New Roman" w:hAnsi="Times New Roman" w:cs="Times New Roman"/>
                <w:i/>
              </w:rPr>
              <w:t>et al</w:t>
            </w:r>
            <w:r w:rsidRPr="00BF1E88">
              <w:rPr>
                <w:rFonts w:ascii="Times New Roman" w:hAnsi="Times New Roman" w:cs="Times New Roman"/>
              </w:rPr>
              <w:t>., 2004)</w:t>
            </w:r>
          </w:p>
        </w:tc>
      </w:tr>
      <w:tr w:rsidR="002D7C9B" w:rsidRPr="0076399D" w:rsidTr="002D7C9B">
        <w:tc>
          <w:tcPr>
            <w:tcW w:w="1797" w:type="dxa"/>
            <w:tcBorders>
              <w:top w:val="nil"/>
              <w:left w:val="nil"/>
              <w:bottom w:val="nil"/>
              <w:right w:val="nil"/>
            </w:tcBorders>
            <w:tcMar>
              <w:top w:w="57" w:type="dxa"/>
              <w:bottom w:w="85" w:type="dxa"/>
            </w:tcMar>
          </w:tcPr>
          <w:p w:rsidR="002D7C9B" w:rsidRPr="00BF1E88" w:rsidRDefault="002D7C9B" w:rsidP="002D7C9B">
            <w:pPr>
              <w:spacing w:before="60" w:after="60"/>
              <w:rPr>
                <w:rFonts w:ascii="Times New Roman" w:hAnsi="Times New Roman" w:cs="Times New Roman"/>
              </w:rPr>
            </w:pPr>
            <w:r w:rsidRPr="00BF1E88">
              <w:rPr>
                <w:rFonts w:ascii="Times New Roman" w:hAnsi="Times New Roman" w:cs="Times New Roman"/>
              </w:rPr>
              <w:t>pDG1513</w:t>
            </w:r>
          </w:p>
        </w:tc>
        <w:tc>
          <w:tcPr>
            <w:tcW w:w="4003" w:type="dxa"/>
            <w:tcBorders>
              <w:top w:val="nil"/>
              <w:left w:val="nil"/>
              <w:bottom w:val="nil"/>
              <w:right w:val="nil"/>
            </w:tcBorders>
            <w:tcMar>
              <w:top w:w="57" w:type="dxa"/>
              <w:bottom w:w="85" w:type="dxa"/>
            </w:tcMar>
          </w:tcPr>
          <w:p w:rsidR="002D7C9B" w:rsidRPr="00BF1E88" w:rsidRDefault="002D7C9B" w:rsidP="002D7C9B">
            <w:pPr>
              <w:spacing w:before="60" w:after="60"/>
              <w:rPr>
                <w:rFonts w:ascii="Times New Roman" w:hAnsi="Times New Roman" w:cs="Times New Roman"/>
              </w:rPr>
            </w:pPr>
            <w:r>
              <w:rPr>
                <w:rFonts w:ascii="Times New Roman" w:hAnsi="Times New Roman" w:cs="Times New Roman"/>
              </w:rPr>
              <w:t xml:space="preserve">Vector carrying </w:t>
            </w:r>
            <w:r>
              <w:rPr>
                <w:rFonts w:ascii="Times New Roman" w:hAnsi="Times New Roman" w:cs="Times New Roman"/>
                <w:i/>
              </w:rPr>
              <w:t>tetL</w:t>
            </w:r>
            <w:r>
              <w:rPr>
                <w:rFonts w:ascii="Times New Roman" w:hAnsi="Times New Roman" w:cs="Times New Roman"/>
              </w:rPr>
              <w:t xml:space="preserve"> cassette suitable for selection in Gram-positive bacteria; Tmn</w:t>
            </w:r>
            <w:r w:rsidRPr="0022588C">
              <w:rPr>
                <w:rFonts w:ascii="Times New Roman" w:hAnsi="Times New Roman" w:cs="Times New Roman"/>
                <w:vertAlign w:val="superscript"/>
              </w:rPr>
              <w:t>R</w:t>
            </w:r>
          </w:p>
        </w:tc>
        <w:tc>
          <w:tcPr>
            <w:tcW w:w="2728" w:type="dxa"/>
            <w:tcBorders>
              <w:top w:val="nil"/>
              <w:left w:val="nil"/>
              <w:bottom w:val="nil"/>
              <w:right w:val="nil"/>
            </w:tcBorders>
            <w:tcMar>
              <w:top w:w="57" w:type="dxa"/>
              <w:bottom w:w="85" w:type="dxa"/>
            </w:tcMar>
          </w:tcPr>
          <w:p w:rsidR="002D7C9B" w:rsidRPr="00BF1E88" w:rsidRDefault="002D7C9B" w:rsidP="002D7C9B">
            <w:pPr>
              <w:spacing w:before="60" w:after="60"/>
              <w:jc w:val="center"/>
              <w:rPr>
                <w:rFonts w:ascii="Times New Roman" w:hAnsi="Times New Roman" w:cs="Times New Roman"/>
              </w:rPr>
            </w:pPr>
            <w:r w:rsidRPr="00BF1E88">
              <w:rPr>
                <w:rFonts w:ascii="Times New Roman" w:hAnsi="Times New Roman" w:cs="Times New Roman"/>
              </w:rPr>
              <w:fldChar w:fldCharType="begin"/>
            </w:r>
            <w:r>
              <w:rPr>
                <w:rFonts w:ascii="Times New Roman" w:hAnsi="Times New Roman" w:cs="Times New Roman"/>
              </w:rPr>
              <w:instrText xml:space="preserve"> ADDIN ZOTERO_ITEM CSL_CITATION {"citationID":"37pkpghgv","properties":{"formattedCitation":"{\\rtf (Gu\\uc0\\u233{}rout-Fleury et al., 1995)}","plainCitation":"(Guérout-Fleury et al., 1995)"},"citationItems":[{"id":157,"uris":["http://zotero.org/users/944474/items/KSJU26SZ"],"uri":["http://zotero.org/users/944474/items/KSJU26SZ"],"itemData":{"id":157,"type":"article-journal","title":"Antibiotic-resistance cassettes for Bacillus subtilis","container-title":"Gene","page":"335-336","volume":"167","issue":"1-2","abstract":"The genes encoding resistance to four different antibiotics (erythromycin, kanamycin, tetracycline and spectinomycin) were cloned in the polylinker of various Escherichia coli plasmid vectors. These cassettes can be inserted into cloned Bacillus subtilis (Bs) genes and used to create tagged chromosomal disruptions after recombination into Bs and selection in the presence of the appropriate antibiotic.","note":"PMID: 8566804","journalAbbreviation":"Gene","author":[{"family":"Guérout-Fleury","given":"A M"},{"family":"Shazand","given":"K"},{"family":"Frandsen","given":"N"},{"family":"Stragier","given":"P"}],"issued":{"year":1995,"month":12,"day":29},"accessed":{"year":2012,"month":4,"day":25},"page-first":"335"}}],"schema":"https://github.com/citation-style-language/schema/raw/master/csl-citation.json"} </w:instrText>
            </w:r>
            <w:r w:rsidRPr="00BF1E88">
              <w:rPr>
                <w:rFonts w:ascii="Times New Roman" w:hAnsi="Times New Roman" w:cs="Times New Roman"/>
              </w:rPr>
              <w:fldChar w:fldCharType="separate"/>
            </w:r>
            <w:r w:rsidRPr="00BF1E88">
              <w:rPr>
                <w:rFonts w:ascii="Times New Roman" w:hAnsi="Times New Roman" w:cs="Times New Roman"/>
              </w:rPr>
              <w:t xml:space="preserve">(Guérout-Fleury </w:t>
            </w:r>
            <w:r w:rsidRPr="009C5F2F">
              <w:rPr>
                <w:rFonts w:ascii="Times New Roman" w:hAnsi="Times New Roman" w:cs="Times New Roman"/>
                <w:i/>
              </w:rPr>
              <w:t>et al</w:t>
            </w:r>
            <w:r w:rsidRPr="00BF1E88">
              <w:rPr>
                <w:rFonts w:ascii="Times New Roman" w:hAnsi="Times New Roman" w:cs="Times New Roman"/>
              </w:rPr>
              <w:t>., 1995)</w:t>
            </w:r>
            <w:r w:rsidRPr="00BF1E88">
              <w:rPr>
                <w:rFonts w:ascii="Times New Roman" w:hAnsi="Times New Roman" w:cs="Times New Roman"/>
              </w:rPr>
              <w:fldChar w:fldCharType="end"/>
            </w:r>
          </w:p>
        </w:tc>
      </w:tr>
      <w:tr w:rsidR="002D7C9B" w:rsidRPr="0076399D" w:rsidTr="002D7C9B">
        <w:tc>
          <w:tcPr>
            <w:tcW w:w="1797" w:type="dxa"/>
            <w:tcBorders>
              <w:top w:val="nil"/>
              <w:left w:val="nil"/>
              <w:bottom w:val="nil"/>
              <w:right w:val="nil"/>
            </w:tcBorders>
            <w:tcMar>
              <w:top w:w="57" w:type="dxa"/>
              <w:bottom w:w="85" w:type="dxa"/>
            </w:tcMar>
          </w:tcPr>
          <w:p w:rsidR="002D7C9B" w:rsidRPr="00BF1E88" w:rsidRDefault="002D7C9B" w:rsidP="002D7C9B">
            <w:pPr>
              <w:jc w:val="both"/>
              <w:rPr>
                <w:rFonts w:ascii="Times New Roman" w:hAnsi="Times New Roman" w:cs="Times New Roman"/>
                <w:highlight w:val="yellow"/>
              </w:rPr>
            </w:pPr>
            <w:r w:rsidRPr="00BF1E88">
              <w:rPr>
                <w:rFonts w:ascii="Times New Roman" w:hAnsi="Times New Roman" w:cs="Times New Roman"/>
              </w:rPr>
              <w:t>pET21a</w:t>
            </w:r>
          </w:p>
        </w:tc>
        <w:tc>
          <w:tcPr>
            <w:tcW w:w="4003" w:type="dxa"/>
            <w:tcBorders>
              <w:top w:val="nil"/>
              <w:left w:val="nil"/>
              <w:bottom w:val="nil"/>
              <w:right w:val="nil"/>
            </w:tcBorders>
            <w:tcMar>
              <w:top w:w="57" w:type="dxa"/>
              <w:bottom w:w="85" w:type="dxa"/>
            </w:tcMar>
          </w:tcPr>
          <w:p w:rsidR="002D7C9B" w:rsidRPr="00BF1E88" w:rsidRDefault="002D7C9B" w:rsidP="002D7C9B">
            <w:pPr>
              <w:jc w:val="both"/>
              <w:rPr>
                <w:rFonts w:ascii="Times New Roman" w:hAnsi="Times New Roman" w:cs="Times New Roman"/>
              </w:rPr>
            </w:pPr>
            <w:r w:rsidRPr="00BF1E88">
              <w:rPr>
                <w:rFonts w:ascii="Times New Roman" w:hAnsi="Times New Roman" w:cs="Times New Roman"/>
              </w:rPr>
              <w:t>His</w:t>
            </w:r>
            <w:r w:rsidRPr="00BF1E88">
              <w:rPr>
                <w:rFonts w:ascii="Times New Roman" w:hAnsi="Times New Roman" w:cs="Times New Roman"/>
                <w:vertAlign w:val="subscript"/>
              </w:rPr>
              <w:t>6</w:t>
            </w:r>
            <w:r w:rsidRPr="00BF1E88">
              <w:rPr>
                <w:rFonts w:ascii="Times New Roman" w:hAnsi="Times New Roman" w:cs="Times New Roman"/>
              </w:rPr>
              <w:t>-tag overexpression vector; Amp</w:t>
            </w:r>
            <w:r w:rsidRPr="00BF1E88">
              <w:rPr>
                <w:rFonts w:ascii="Times New Roman" w:hAnsi="Times New Roman" w:cs="Times New Roman"/>
                <w:vertAlign w:val="superscript"/>
              </w:rPr>
              <w:t>R</w:t>
            </w:r>
          </w:p>
        </w:tc>
        <w:tc>
          <w:tcPr>
            <w:tcW w:w="2728" w:type="dxa"/>
            <w:tcBorders>
              <w:top w:val="nil"/>
              <w:left w:val="nil"/>
              <w:bottom w:val="nil"/>
              <w:right w:val="nil"/>
            </w:tcBorders>
            <w:tcMar>
              <w:top w:w="57" w:type="dxa"/>
              <w:bottom w:w="85" w:type="dxa"/>
            </w:tcMar>
          </w:tcPr>
          <w:p w:rsidR="002D7C9B" w:rsidRPr="00BF1E88" w:rsidRDefault="002D7C9B" w:rsidP="002D7C9B">
            <w:pPr>
              <w:jc w:val="center"/>
              <w:rPr>
                <w:rFonts w:ascii="Times New Roman" w:hAnsi="Times New Roman" w:cs="Times New Roman"/>
              </w:rPr>
            </w:pPr>
            <w:r w:rsidRPr="00BF1E88">
              <w:rPr>
                <w:rFonts w:ascii="Times New Roman" w:hAnsi="Times New Roman" w:cs="Times New Roman"/>
              </w:rPr>
              <w:t>Novagen</w:t>
            </w:r>
          </w:p>
        </w:tc>
      </w:tr>
      <w:tr w:rsidR="002D7C9B" w:rsidRPr="0076399D" w:rsidTr="002D7C9B">
        <w:tc>
          <w:tcPr>
            <w:tcW w:w="1797" w:type="dxa"/>
            <w:tcBorders>
              <w:top w:val="nil"/>
              <w:left w:val="nil"/>
              <w:bottom w:val="nil"/>
              <w:right w:val="nil"/>
            </w:tcBorders>
            <w:tcMar>
              <w:top w:w="57" w:type="dxa"/>
              <w:bottom w:w="85" w:type="dxa"/>
            </w:tcMar>
          </w:tcPr>
          <w:p w:rsidR="002D7C9B" w:rsidRPr="00C878B9" w:rsidRDefault="002D7C9B" w:rsidP="002D7C9B">
            <w:pPr>
              <w:jc w:val="both"/>
              <w:rPr>
                <w:rFonts w:ascii="Times New Roman" w:hAnsi="Times New Roman" w:cs="Times New Roman"/>
              </w:rPr>
            </w:pPr>
            <w:r w:rsidRPr="00C878B9">
              <w:rPr>
                <w:rFonts w:ascii="Times New Roman" w:hAnsi="Times New Roman" w:cs="Times New Roman"/>
              </w:rPr>
              <w:t>pET24d</w:t>
            </w:r>
          </w:p>
        </w:tc>
        <w:tc>
          <w:tcPr>
            <w:tcW w:w="4003" w:type="dxa"/>
            <w:tcBorders>
              <w:top w:val="nil"/>
              <w:left w:val="nil"/>
              <w:bottom w:val="nil"/>
              <w:right w:val="nil"/>
            </w:tcBorders>
            <w:tcMar>
              <w:top w:w="57" w:type="dxa"/>
              <w:bottom w:w="85" w:type="dxa"/>
            </w:tcMar>
          </w:tcPr>
          <w:p w:rsidR="002D7C9B" w:rsidRPr="00C878B9" w:rsidRDefault="002D7C9B" w:rsidP="002D7C9B">
            <w:pPr>
              <w:jc w:val="both"/>
              <w:rPr>
                <w:rFonts w:ascii="Times New Roman" w:hAnsi="Times New Roman" w:cs="Times New Roman"/>
              </w:rPr>
            </w:pPr>
            <w:r w:rsidRPr="00C878B9">
              <w:rPr>
                <w:rFonts w:ascii="Times New Roman" w:hAnsi="Times New Roman" w:cs="Times New Roman"/>
              </w:rPr>
              <w:t>His</w:t>
            </w:r>
            <w:r w:rsidRPr="00C878B9">
              <w:rPr>
                <w:rFonts w:ascii="Times New Roman" w:hAnsi="Times New Roman" w:cs="Times New Roman"/>
                <w:vertAlign w:val="subscript"/>
              </w:rPr>
              <w:t>6</w:t>
            </w:r>
            <w:r w:rsidRPr="00C878B9">
              <w:rPr>
                <w:rFonts w:ascii="Times New Roman" w:hAnsi="Times New Roman" w:cs="Times New Roman"/>
              </w:rPr>
              <w:t>-tag overexpression vector; Kan</w:t>
            </w:r>
            <w:r w:rsidRPr="00C878B9">
              <w:rPr>
                <w:rFonts w:ascii="Times New Roman" w:hAnsi="Times New Roman" w:cs="Times New Roman"/>
                <w:vertAlign w:val="superscript"/>
              </w:rPr>
              <w:t>R</w:t>
            </w:r>
          </w:p>
        </w:tc>
        <w:tc>
          <w:tcPr>
            <w:tcW w:w="2728" w:type="dxa"/>
            <w:tcBorders>
              <w:top w:val="nil"/>
              <w:left w:val="nil"/>
              <w:bottom w:val="nil"/>
              <w:right w:val="nil"/>
            </w:tcBorders>
            <w:tcMar>
              <w:top w:w="57" w:type="dxa"/>
              <w:bottom w:w="85" w:type="dxa"/>
            </w:tcMar>
          </w:tcPr>
          <w:p w:rsidR="002D7C9B" w:rsidRPr="00C878B9" w:rsidRDefault="002D7C9B" w:rsidP="002D7C9B">
            <w:pPr>
              <w:jc w:val="center"/>
              <w:rPr>
                <w:rFonts w:ascii="Times New Roman" w:hAnsi="Times New Roman" w:cs="Times New Roman"/>
              </w:rPr>
            </w:pPr>
            <w:r w:rsidRPr="00C878B9">
              <w:rPr>
                <w:rFonts w:ascii="Times New Roman" w:hAnsi="Times New Roman" w:cs="Times New Roman"/>
              </w:rPr>
              <w:t>Novagen</w:t>
            </w:r>
          </w:p>
        </w:tc>
      </w:tr>
      <w:tr w:rsidR="002D7C9B" w:rsidRPr="0076399D" w:rsidTr="002D7C9B">
        <w:tc>
          <w:tcPr>
            <w:tcW w:w="1797" w:type="dxa"/>
            <w:tcBorders>
              <w:top w:val="nil"/>
              <w:left w:val="nil"/>
              <w:bottom w:val="nil"/>
              <w:right w:val="nil"/>
            </w:tcBorders>
            <w:tcMar>
              <w:top w:w="57" w:type="dxa"/>
              <w:bottom w:w="85" w:type="dxa"/>
            </w:tcMar>
          </w:tcPr>
          <w:p w:rsidR="002D7C9B" w:rsidRPr="00BF1E88" w:rsidRDefault="002D7C9B" w:rsidP="002D7C9B">
            <w:pPr>
              <w:jc w:val="both"/>
              <w:rPr>
                <w:rFonts w:ascii="Times New Roman" w:hAnsi="Times New Roman" w:cs="Times New Roman"/>
              </w:rPr>
            </w:pPr>
            <w:r w:rsidRPr="00BF1E88">
              <w:rPr>
                <w:rFonts w:ascii="Times New Roman" w:hAnsi="Times New Roman" w:cs="Times New Roman"/>
              </w:rPr>
              <w:t>pGL433b</w:t>
            </w:r>
          </w:p>
        </w:tc>
        <w:tc>
          <w:tcPr>
            <w:tcW w:w="4003" w:type="dxa"/>
            <w:tcBorders>
              <w:top w:val="nil"/>
              <w:left w:val="nil"/>
              <w:bottom w:val="nil"/>
              <w:right w:val="nil"/>
            </w:tcBorders>
            <w:tcMar>
              <w:top w:w="57" w:type="dxa"/>
              <w:bottom w:w="85" w:type="dxa"/>
            </w:tcMar>
          </w:tcPr>
          <w:p w:rsidR="002D7C9B" w:rsidRPr="00BF1E88" w:rsidRDefault="002D7C9B" w:rsidP="002D7C9B">
            <w:pPr>
              <w:jc w:val="both"/>
              <w:rPr>
                <w:rFonts w:ascii="Times New Roman" w:hAnsi="Times New Roman" w:cs="Times New Roman"/>
              </w:rPr>
            </w:pPr>
            <w:r>
              <w:rPr>
                <w:rFonts w:ascii="Times New Roman" w:hAnsi="Times New Roman" w:cs="Times New Roman"/>
              </w:rPr>
              <w:t xml:space="preserve">Vector carrying </w:t>
            </w:r>
            <w:r w:rsidRPr="0022588C">
              <w:rPr>
                <w:rFonts w:ascii="Times New Roman" w:hAnsi="Times New Roman" w:cs="Times New Roman"/>
                <w:i/>
              </w:rPr>
              <w:t>kan</w:t>
            </w:r>
            <w:r>
              <w:rPr>
                <w:rFonts w:ascii="Times New Roman" w:hAnsi="Times New Roman" w:cs="Times New Roman"/>
              </w:rPr>
              <w:t xml:space="preserve"> cassette suitable for selection in Gram-positive bacteria; </w:t>
            </w:r>
            <w:r w:rsidRPr="0022588C">
              <w:rPr>
                <w:rFonts w:ascii="Times New Roman" w:hAnsi="Times New Roman" w:cs="Times New Roman"/>
              </w:rPr>
              <w:t>Kan</w:t>
            </w:r>
            <w:r w:rsidRPr="0022588C">
              <w:rPr>
                <w:rFonts w:ascii="Times New Roman" w:hAnsi="Times New Roman" w:cs="Times New Roman"/>
                <w:vertAlign w:val="superscript"/>
              </w:rPr>
              <w:t>R</w:t>
            </w:r>
          </w:p>
        </w:tc>
        <w:tc>
          <w:tcPr>
            <w:tcW w:w="2728" w:type="dxa"/>
            <w:tcBorders>
              <w:top w:val="nil"/>
              <w:left w:val="nil"/>
              <w:bottom w:val="nil"/>
              <w:right w:val="nil"/>
            </w:tcBorders>
            <w:tcMar>
              <w:top w:w="57" w:type="dxa"/>
              <w:bottom w:w="85" w:type="dxa"/>
            </w:tcMar>
          </w:tcPr>
          <w:p w:rsidR="002D7C9B" w:rsidRPr="00BF1E88" w:rsidRDefault="002D7C9B" w:rsidP="002D7C9B">
            <w:pPr>
              <w:jc w:val="center"/>
              <w:rPr>
                <w:rFonts w:ascii="Times New Roman" w:hAnsi="Times New Roman" w:cs="Times New Roman"/>
              </w:rPr>
            </w:pPr>
            <w:r w:rsidRPr="00112C2F">
              <w:rPr>
                <w:rFonts w:ascii="Times New Roman" w:hAnsi="Times New Roman" w:cs="Times New Roman"/>
              </w:rPr>
              <w:t>Garcia-Lara</w:t>
            </w:r>
            <w:r>
              <w:rPr>
                <w:rFonts w:ascii="Times New Roman" w:hAnsi="Times New Roman" w:cs="Times New Roman"/>
              </w:rPr>
              <w:t xml:space="preserve"> and Foster</w:t>
            </w:r>
            <w:r w:rsidRPr="00112C2F">
              <w:rPr>
                <w:rFonts w:ascii="Times New Roman" w:hAnsi="Times New Roman" w:cs="Times New Roman"/>
              </w:rPr>
              <w:t>, unpublished</w:t>
            </w:r>
          </w:p>
        </w:tc>
      </w:tr>
      <w:tr w:rsidR="002D7C9B" w:rsidRPr="0076399D" w:rsidTr="002D7C9B">
        <w:tc>
          <w:tcPr>
            <w:tcW w:w="1797" w:type="dxa"/>
            <w:tcBorders>
              <w:top w:val="nil"/>
              <w:left w:val="nil"/>
              <w:bottom w:val="nil"/>
              <w:right w:val="nil"/>
            </w:tcBorders>
            <w:tcMar>
              <w:top w:w="57" w:type="dxa"/>
              <w:bottom w:w="85" w:type="dxa"/>
            </w:tcMar>
          </w:tcPr>
          <w:p w:rsidR="002D7C9B" w:rsidRPr="00112C2F" w:rsidRDefault="002D7C9B" w:rsidP="002D7C9B">
            <w:pPr>
              <w:jc w:val="both"/>
              <w:rPr>
                <w:rFonts w:ascii="Times New Roman" w:hAnsi="Times New Roman" w:cs="Times New Roman"/>
              </w:rPr>
            </w:pPr>
            <w:r w:rsidRPr="00112C2F">
              <w:rPr>
                <w:rFonts w:ascii="Times New Roman" w:hAnsi="Times New Roman" w:cs="Times New Roman"/>
              </w:rPr>
              <w:t>pGL485</w:t>
            </w:r>
          </w:p>
        </w:tc>
        <w:tc>
          <w:tcPr>
            <w:tcW w:w="4003" w:type="dxa"/>
            <w:tcBorders>
              <w:top w:val="nil"/>
              <w:left w:val="nil"/>
              <w:bottom w:val="nil"/>
              <w:right w:val="nil"/>
            </w:tcBorders>
            <w:tcMar>
              <w:top w:w="57" w:type="dxa"/>
              <w:bottom w:w="85" w:type="dxa"/>
            </w:tcMar>
          </w:tcPr>
          <w:p w:rsidR="002D7C9B" w:rsidRPr="00112C2F" w:rsidRDefault="002D7C9B" w:rsidP="002D7C9B">
            <w:pPr>
              <w:jc w:val="both"/>
              <w:rPr>
                <w:rFonts w:ascii="Times New Roman" w:hAnsi="Times New Roman" w:cs="Times New Roman"/>
              </w:rPr>
            </w:pPr>
            <w:r w:rsidRPr="00112C2F">
              <w:rPr>
                <w:rFonts w:ascii="Times New Roman" w:hAnsi="Times New Roman" w:cs="Times New Roman"/>
              </w:rPr>
              <w:t xml:space="preserve">Derivative of the </w:t>
            </w:r>
            <w:r w:rsidRPr="00112C2F">
              <w:rPr>
                <w:rFonts w:ascii="Times New Roman" w:hAnsi="Times New Roman" w:cs="Times New Roman"/>
                <w:i/>
              </w:rPr>
              <w:t>E. coli-S. aureus</w:t>
            </w:r>
            <w:r w:rsidRPr="00112C2F">
              <w:rPr>
                <w:rFonts w:ascii="Times New Roman" w:hAnsi="Times New Roman" w:cs="Times New Roman"/>
              </w:rPr>
              <w:t xml:space="preserve"> shuttle vector pMJ8426, carrying the </w:t>
            </w:r>
            <w:r w:rsidRPr="00112C2F">
              <w:rPr>
                <w:rFonts w:ascii="Times New Roman" w:hAnsi="Times New Roman" w:cs="Times New Roman"/>
                <w:i/>
              </w:rPr>
              <w:t>E. coli lacI</w:t>
            </w:r>
            <w:r w:rsidRPr="00112C2F">
              <w:rPr>
                <w:rFonts w:ascii="Times New Roman" w:hAnsi="Times New Roman" w:cs="Times New Roman"/>
              </w:rPr>
              <w:t xml:space="preserve"> gene under the control of a constitutive promoter; Spc</w:t>
            </w:r>
            <w:r w:rsidRPr="00112C2F">
              <w:rPr>
                <w:rFonts w:ascii="Times New Roman" w:hAnsi="Times New Roman" w:cs="Times New Roman"/>
                <w:vertAlign w:val="superscript"/>
              </w:rPr>
              <w:t>R</w:t>
            </w:r>
            <w:r w:rsidRPr="00112C2F">
              <w:rPr>
                <w:rFonts w:ascii="Times New Roman" w:hAnsi="Times New Roman" w:cs="Times New Roman"/>
              </w:rPr>
              <w:t xml:space="preserve"> (</w:t>
            </w:r>
            <w:r w:rsidRPr="00112C2F">
              <w:rPr>
                <w:rFonts w:ascii="Times New Roman" w:hAnsi="Times New Roman" w:cs="Times New Roman"/>
                <w:i/>
              </w:rPr>
              <w:t>E.coli</w:t>
            </w:r>
            <w:r w:rsidRPr="00112C2F">
              <w:rPr>
                <w:rFonts w:ascii="Times New Roman" w:hAnsi="Times New Roman" w:cs="Times New Roman"/>
              </w:rPr>
              <w:t xml:space="preserve">), </w:t>
            </w:r>
            <w:r>
              <w:rPr>
                <w:rFonts w:ascii="Times New Roman" w:hAnsi="Times New Roman" w:cs="Times New Roman"/>
              </w:rPr>
              <w:t>Chl</w:t>
            </w:r>
            <w:r w:rsidRPr="00112C2F">
              <w:rPr>
                <w:rFonts w:ascii="Times New Roman" w:hAnsi="Times New Roman" w:cs="Times New Roman"/>
                <w:vertAlign w:val="superscript"/>
              </w:rPr>
              <w:t>R</w:t>
            </w:r>
            <w:r w:rsidRPr="00112C2F">
              <w:rPr>
                <w:rFonts w:ascii="Times New Roman" w:hAnsi="Times New Roman" w:cs="Times New Roman"/>
              </w:rPr>
              <w:t xml:space="preserve"> (</w:t>
            </w:r>
            <w:r w:rsidRPr="00112C2F">
              <w:rPr>
                <w:rFonts w:ascii="Times New Roman" w:hAnsi="Times New Roman" w:cs="Times New Roman"/>
                <w:i/>
              </w:rPr>
              <w:t>S. aureus</w:t>
            </w:r>
            <w:r w:rsidRPr="00112C2F">
              <w:rPr>
                <w:rFonts w:ascii="Times New Roman" w:hAnsi="Times New Roman" w:cs="Times New Roman"/>
              </w:rPr>
              <w:t>)</w:t>
            </w:r>
          </w:p>
        </w:tc>
        <w:tc>
          <w:tcPr>
            <w:tcW w:w="2728" w:type="dxa"/>
            <w:tcBorders>
              <w:top w:val="nil"/>
              <w:left w:val="nil"/>
              <w:bottom w:val="nil"/>
              <w:right w:val="nil"/>
            </w:tcBorders>
            <w:tcMar>
              <w:top w:w="57" w:type="dxa"/>
              <w:bottom w:w="85" w:type="dxa"/>
            </w:tcMar>
          </w:tcPr>
          <w:p w:rsidR="002D7C9B" w:rsidRPr="00112C2F" w:rsidRDefault="002D7C9B" w:rsidP="002D7C9B">
            <w:pPr>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{"citationID":"2cljgr121q","properties":{"formattedCitation":"(Cooper et al., 2009)","plainCitation":"(Cooper et al., 2009)"},"citationItems":[{"id":55,"uris":["http://zotero.org/users/944474/items/THNFR9XD"],"uri":["http://zotero.org/users/944474/items/THNFR9XD"],"itemData":{"id":55,"type":"article-journal","title":"YsxC, an essential protein in Staphylococcus aureus crucial for ribosome assembly/stability","container-title":"BMC Microbiology","page":"266","volume":"9","abstract":"Background\nBacterial growth and division requires a core set of essential proteins, several of which are still of unknown function. They are also attractive targets for the development of new antibiotics. YsxC is a member of a family of GTPases highly conserved across eubacteria with a possible ribosome associated function.\n\nResults\nHere, we demonstrate by the creation of a conditional lethal mutant that ysxC is apparently essential for growth in S. aureus. To begin to elucidate YsxC function, a translational fusion of YsxC to the CBP-ProteinA tag in the staphylococcal chromosome was made, enabling Tandem Affinity Purification (TAP) of YsxC-interacting partners. These included the ribosomal proteins S2, S10 and L17, as well as the β' subunit of the RNA polymerase. YsxC was then shown to copurify with ribosomes as an accessory protein specifically localizing to the 50 S subunit. YsxC depletion led to a decrease in the presence of mature ribosomes, indicating a role in ribosome assembly and/or stability in S. aureus.\n\nConclusions\nIn this study we demonstrate that YsxC of S. aureus localizes to the ribosomes, is crucial for ribosomal stability and is apparently essential for the life of S. aureus.","DOI":"10.1186/1471-2180-9-266","note":"PMID: 20021644\nPMCID: 2811118","journalAbbreviation":"BMC Microbiol","author":[{"family":"Cooper","given":"Elizabeth L"},{"family":"García-Lara","given":"Jorge"},{"family":"Foster","given":"Simon J"}],"issued":{"year":2009,"month":12,"day":18},"page-first":"266"}}],"schema":"https://github.com/citation-style-language/schema/raw/master/csl-citation.json"} </w:instrText>
            </w:r>
            <w:r>
              <w:rPr>
                <w:rFonts w:ascii="Times New Roman" w:hAnsi="Times New Roman" w:cs="Times New Roman"/>
              </w:rPr>
              <w:fldChar w:fldCharType="separate"/>
            </w:r>
            <w:r w:rsidRPr="005F72D4">
              <w:rPr>
                <w:rFonts w:ascii="Times New Roman" w:hAnsi="Times New Roman" w:cs="Times New Roman"/>
              </w:rPr>
              <w:t xml:space="preserve">(Cooper </w:t>
            </w:r>
            <w:r w:rsidRPr="009C5F2F">
              <w:rPr>
                <w:rFonts w:ascii="Times New Roman" w:hAnsi="Times New Roman" w:cs="Times New Roman"/>
                <w:i/>
              </w:rPr>
              <w:t>et al</w:t>
            </w:r>
            <w:r w:rsidRPr="005F72D4">
              <w:rPr>
                <w:rFonts w:ascii="Times New Roman" w:hAnsi="Times New Roman" w:cs="Times New Roman"/>
              </w:rPr>
              <w:t>., 2009)</w:t>
            </w:r>
            <w:r>
              <w:rPr>
                <w:rFonts w:ascii="Times New Roman" w:hAnsi="Times New Roman" w:cs="Times New Roman"/>
              </w:rPr>
              <w:fldChar w:fldCharType="end"/>
            </w:r>
          </w:p>
        </w:tc>
      </w:tr>
      <w:tr w:rsidR="002D7C9B" w:rsidRPr="0076399D" w:rsidTr="002D7C9B">
        <w:tc>
          <w:tcPr>
            <w:tcW w:w="1797" w:type="dxa"/>
            <w:tcBorders>
              <w:top w:val="nil"/>
              <w:left w:val="nil"/>
              <w:bottom w:val="nil"/>
              <w:right w:val="nil"/>
            </w:tcBorders>
            <w:tcMar>
              <w:top w:w="57" w:type="dxa"/>
              <w:bottom w:w="85" w:type="dxa"/>
            </w:tcMar>
          </w:tcPr>
          <w:p w:rsidR="002D7C9B" w:rsidRPr="0022588C" w:rsidRDefault="002D7C9B" w:rsidP="002D7C9B">
            <w:pPr>
              <w:jc w:val="both"/>
              <w:rPr>
                <w:rFonts w:ascii="Times New Roman" w:hAnsi="Times New Roman" w:cs="Times New Roman"/>
              </w:rPr>
            </w:pPr>
            <w:r w:rsidRPr="0022588C">
              <w:rPr>
                <w:rFonts w:ascii="Times New Roman" w:hAnsi="Times New Roman" w:cs="Times New Roman"/>
              </w:rPr>
              <w:t>pInvSA</w:t>
            </w:r>
          </w:p>
        </w:tc>
        <w:tc>
          <w:tcPr>
            <w:tcW w:w="4003" w:type="dxa"/>
            <w:tcBorders>
              <w:top w:val="nil"/>
              <w:left w:val="nil"/>
              <w:bottom w:val="nil"/>
              <w:right w:val="nil"/>
            </w:tcBorders>
            <w:tcMar>
              <w:top w:w="57" w:type="dxa"/>
              <w:bottom w:w="85" w:type="dxa"/>
            </w:tcMar>
          </w:tcPr>
          <w:p w:rsidR="002D7C9B" w:rsidRPr="0022588C" w:rsidRDefault="002D7C9B" w:rsidP="002D7C9B">
            <w:pPr>
              <w:jc w:val="both"/>
              <w:rPr>
                <w:rFonts w:ascii="Times New Roman" w:hAnsi="Times New Roman" w:cs="Times New Roman"/>
              </w:rPr>
            </w:pPr>
            <w:proofErr w:type="gramStart"/>
            <w:r>
              <w:rPr>
                <w:rFonts w:ascii="Times New Roman" w:hAnsi="Times New Roman" w:cs="Times New Roman"/>
              </w:rPr>
              <w:t>pUC19</w:t>
            </w:r>
            <w:proofErr w:type="gramEnd"/>
            <w:r>
              <w:rPr>
                <w:rFonts w:ascii="Times New Roman" w:hAnsi="Times New Roman" w:cs="Times New Roman"/>
              </w:rPr>
              <w:t xml:space="preserve"> containing a 2.4 kb fragment of the region spanning the </w:t>
            </w:r>
            <w:r w:rsidRPr="0022588C">
              <w:rPr>
                <w:rFonts w:ascii="Times New Roman" w:hAnsi="Times New Roman" w:cs="Times New Roman"/>
                <w:i/>
              </w:rPr>
              <w:t>sagB</w:t>
            </w:r>
            <w:r>
              <w:rPr>
                <w:rFonts w:ascii="Times New Roman" w:hAnsi="Times New Roman" w:cs="Times New Roman"/>
              </w:rPr>
              <w:t xml:space="preserve"> gene.</w:t>
            </w:r>
            <w:r w:rsidRPr="0022588C">
              <w:rPr>
                <w:rFonts w:ascii="Times New Roman" w:hAnsi="Times New Roman" w:cs="Times New Roman"/>
              </w:rPr>
              <w:t xml:space="preserve"> </w:t>
            </w:r>
            <w:r>
              <w:rPr>
                <w:rFonts w:ascii="Times New Roman" w:hAnsi="Times New Roman" w:cs="Times New Roman"/>
              </w:rPr>
              <w:t xml:space="preserve">The </w:t>
            </w:r>
            <w:r w:rsidRPr="0022588C">
              <w:rPr>
                <w:rFonts w:ascii="Times New Roman" w:hAnsi="Times New Roman" w:cs="Times New Roman"/>
                <w:i/>
              </w:rPr>
              <w:t>sagB</w:t>
            </w:r>
            <w:r>
              <w:rPr>
                <w:rFonts w:ascii="Times New Roman" w:hAnsi="Times New Roman" w:cs="Times New Roman"/>
              </w:rPr>
              <w:t xml:space="preserve"> gene has been inactivated by a </w:t>
            </w:r>
            <w:r w:rsidRPr="0022588C">
              <w:rPr>
                <w:rFonts w:ascii="Times New Roman" w:hAnsi="Times New Roman" w:cs="Times New Roman"/>
              </w:rPr>
              <w:t>600 bp deletion</w:t>
            </w:r>
            <w:r>
              <w:rPr>
                <w:rFonts w:ascii="Times New Roman" w:hAnsi="Times New Roman" w:cs="Times New Roman"/>
              </w:rPr>
              <w:t xml:space="preserve">; </w:t>
            </w:r>
            <w:r w:rsidRPr="0022588C">
              <w:rPr>
                <w:rFonts w:ascii="Times New Roman" w:hAnsi="Times New Roman" w:cs="Times New Roman"/>
              </w:rPr>
              <w:t>Amp</w:t>
            </w:r>
            <w:r w:rsidRPr="0022588C">
              <w:rPr>
                <w:rFonts w:ascii="Times New Roman" w:hAnsi="Times New Roman" w:cs="Times New Roman"/>
                <w:vertAlign w:val="superscript"/>
              </w:rPr>
              <w:t>R</w:t>
            </w:r>
          </w:p>
        </w:tc>
        <w:tc>
          <w:tcPr>
            <w:tcW w:w="2728" w:type="dxa"/>
            <w:tcBorders>
              <w:top w:val="nil"/>
              <w:left w:val="nil"/>
              <w:bottom w:val="nil"/>
              <w:right w:val="nil"/>
            </w:tcBorders>
            <w:tcMar>
              <w:top w:w="57" w:type="dxa"/>
              <w:bottom w:w="85" w:type="dxa"/>
            </w:tcMar>
          </w:tcPr>
          <w:p w:rsidR="002D7C9B" w:rsidRPr="00112C2F" w:rsidRDefault="002D7C9B" w:rsidP="002D7C9B">
            <w:pPr>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{"citationID":"fijasidkn","properties":{"formattedCitation":"(Mohamad,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6D1A6D">
              <w:rPr>
                <w:rFonts w:ascii="Times New Roman" w:hAnsi="Times New Roman" w:cs="Times New Roman"/>
              </w:rPr>
              <w:t>(Mohamad, 2007)</w:t>
            </w:r>
            <w:r>
              <w:rPr>
                <w:rFonts w:ascii="Times New Roman" w:hAnsi="Times New Roman" w:cs="Times New Roman"/>
              </w:rPr>
              <w:fldChar w:fldCharType="end"/>
            </w:r>
          </w:p>
        </w:tc>
      </w:tr>
      <w:tr w:rsidR="002D7C9B" w:rsidRPr="0076399D" w:rsidTr="002D7C9B">
        <w:tc>
          <w:tcPr>
            <w:tcW w:w="1797" w:type="dxa"/>
            <w:tcBorders>
              <w:top w:val="nil"/>
              <w:left w:val="nil"/>
              <w:bottom w:val="nil"/>
              <w:right w:val="nil"/>
            </w:tcBorders>
            <w:tcMar>
              <w:top w:w="57" w:type="dxa"/>
              <w:bottom w:w="85" w:type="dxa"/>
            </w:tcMar>
          </w:tcPr>
          <w:p w:rsidR="002D7C9B" w:rsidRPr="00BF1E88" w:rsidRDefault="002D7C9B" w:rsidP="002D7C9B">
            <w:pPr>
              <w:jc w:val="both"/>
              <w:rPr>
                <w:rFonts w:ascii="Times New Roman" w:hAnsi="Times New Roman" w:cs="Times New Roman"/>
                <w:highlight w:val="yellow"/>
              </w:rPr>
            </w:pPr>
            <w:r w:rsidRPr="00BF1E88">
              <w:rPr>
                <w:rFonts w:ascii="Times New Roman" w:hAnsi="Times New Roman" w:cs="Times New Roman"/>
              </w:rPr>
              <w:t>pInvSAT</w:t>
            </w:r>
          </w:p>
        </w:tc>
        <w:tc>
          <w:tcPr>
            <w:tcW w:w="4003" w:type="dxa"/>
            <w:tcBorders>
              <w:top w:val="nil"/>
              <w:left w:val="nil"/>
              <w:bottom w:val="nil"/>
              <w:right w:val="nil"/>
            </w:tcBorders>
            <w:tcMar>
              <w:top w:w="57" w:type="dxa"/>
              <w:bottom w:w="85" w:type="dxa"/>
            </w:tcMar>
          </w:tcPr>
          <w:p w:rsidR="002D7C9B" w:rsidRPr="00BF1E88" w:rsidRDefault="002D7C9B" w:rsidP="002D7C9B">
            <w:pPr>
              <w:jc w:val="both"/>
              <w:rPr>
                <w:rFonts w:ascii="Times New Roman" w:hAnsi="Times New Roman" w:cs="Times New Roman"/>
                <w:highlight w:val="yellow"/>
              </w:rPr>
            </w:pPr>
            <w:r w:rsidRPr="0022588C">
              <w:rPr>
                <w:rFonts w:ascii="Times New Roman" w:hAnsi="Times New Roman" w:cs="Times New Roman"/>
              </w:rPr>
              <w:t>pInvSA</w:t>
            </w:r>
            <w:r>
              <w:rPr>
                <w:rFonts w:ascii="Times New Roman" w:hAnsi="Times New Roman" w:cs="Times New Roman"/>
              </w:rPr>
              <w:t xml:space="preserve"> with insertion of </w:t>
            </w:r>
            <w:r>
              <w:rPr>
                <w:rFonts w:ascii="Times New Roman" w:hAnsi="Times New Roman" w:cs="Times New Roman"/>
                <w:i/>
              </w:rPr>
              <w:t>tet</w:t>
            </w:r>
            <w:r w:rsidRPr="0022588C">
              <w:rPr>
                <w:rFonts w:ascii="Times New Roman" w:hAnsi="Times New Roman" w:cs="Times New Roman"/>
                <w:i/>
              </w:rPr>
              <w:t>M</w:t>
            </w:r>
            <w:r>
              <w:rPr>
                <w:rFonts w:ascii="Times New Roman" w:hAnsi="Times New Roman" w:cs="Times New Roman"/>
              </w:rPr>
              <w:t xml:space="preserve"> resistance cassette amplified from pCN36; </w:t>
            </w:r>
            <w:r w:rsidRPr="0022588C">
              <w:rPr>
                <w:rFonts w:ascii="Times New Roman" w:hAnsi="Times New Roman" w:cs="Times New Roman"/>
              </w:rPr>
              <w:t>Amp</w:t>
            </w:r>
            <w:r w:rsidRPr="0022588C">
              <w:rPr>
                <w:rFonts w:ascii="Times New Roman" w:hAnsi="Times New Roman" w:cs="Times New Roman"/>
                <w:vertAlign w:val="superscript"/>
              </w:rPr>
              <w:t>R</w:t>
            </w:r>
          </w:p>
        </w:tc>
        <w:tc>
          <w:tcPr>
            <w:tcW w:w="2728" w:type="dxa"/>
            <w:tcBorders>
              <w:top w:val="nil"/>
              <w:left w:val="nil"/>
              <w:bottom w:val="nil"/>
              <w:right w:val="nil"/>
            </w:tcBorders>
            <w:tcMar>
              <w:top w:w="57" w:type="dxa"/>
              <w:bottom w:w="85" w:type="dxa"/>
            </w:tcMar>
          </w:tcPr>
          <w:p w:rsidR="002D7C9B" w:rsidRPr="00BF1E88" w:rsidRDefault="002D7C9B" w:rsidP="002D7C9B">
            <w:pPr>
              <w:jc w:val="center"/>
              <w:rPr>
                <w:rFonts w:ascii="Times New Roman" w:hAnsi="Times New Roman" w:cs="Times New Roman"/>
                <w:highlight w:val="yellow"/>
              </w:rPr>
            </w:pPr>
            <w:r>
              <w:rPr>
                <w:rFonts w:ascii="Times New Roman" w:hAnsi="Times New Roman" w:cs="Times New Roman"/>
              </w:rPr>
              <w:fldChar w:fldCharType="begin"/>
            </w:r>
            <w:r>
              <w:rPr>
                <w:rFonts w:ascii="Times New Roman" w:hAnsi="Times New Roman" w:cs="Times New Roman"/>
              </w:rPr>
              <w:instrText xml:space="preserve"> ADDIN ZOTERO_ITEM CSL_CITATION {"citationID":"ECHgzyen","properties":{"formattedCitation":"(Mohamad,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6D1A6D">
              <w:rPr>
                <w:rFonts w:ascii="Times New Roman" w:hAnsi="Times New Roman" w:cs="Times New Roman"/>
              </w:rPr>
              <w:t>(Mohamad, 2007)</w:t>
            </w:r>
            <w:r>
              <w:rPr>
                <w:rFonts w:ascii="Times New Roman" w:hAnsi="Times New Roman" w:cs="Times New Roman"/>
              </w:rPr>
              <w:fldChar w:fldCharType="end"/>
            </w:r>
          </w:p>
        </w:tc>
      </w:tr>
      <w:tr w:rsidR="002D7C9B" w:rsidRPr="0076399D" w:rsidTr="002D7C9B">
        <w:tc>
          <w:tcPr>
            <w:tcW w:w="1797" w:type="dxa"/>
            <w:tcBorders>
              <w:top w:val="nil"/>
              <w:left w:val="nil"/>
              <w:bottom w:val="nil"/>
              <w:right w:val="nil"/>
            </w:tcBorders>
            <w:tcMar>
              <w:top w:w="57" w:type="dxa"/>
              <w:bottom w:w="85" w:type="dxa"/>
            </w:tcMar>
          </w:tcPr>
          <w:p w:rsidR="002D7C9B" w:rsidRPr="00BF1E88" w:rsidRDefault="002D7C9B" w:rsidP="002D7C9B">
            <w:pPr>
              <w:spacing w:before="60" w:after="60"/>
              <w:rPr>
                <w:rFonts w:ascii="Times New Roman" w:hAnsi="Times New Roman" w:cs="Times New Roman"/>
              </w:rPr>
            </w:pPr>
            <w:r w:rsidRPr="00BF1E88">
              <w:rPr>
                <w:rFonts w:ascii="Times New Roman" w:hAnsi="Times New Roman" w:cs="Times New Roman"/>
              </w:rPr>
              <w:t>pMAL64</w:t>
            </w:r>
          </w:p>
        </w:tc>
        <w:tc>
          <w:tcPr>
            <w:tcW w:w="4003" w:type="dxa"/>
            <w:tcBorders>
              <w:top w:val="nil"/>
              <w:left w:val="nil"/>
              <w:bottom w:val="nil"/>
              <w:right w:val="nil"/>
            </w:tcBorders>
            <w:tcMar>
              <w:top w:w="57" w:type="dxa"/>
              <w:bottom w:w="85" w:type="dxa"/>
            </w:tcMar>
          </w:tcPr>
          <w:p w:rsidR="002D7C9B" w:rsidRPr="007A048A" w:rsidRDefault="002D7C9B" w:rsidP="002D7C9B">
            <w:pPr>
              <w:spacing w:before="60" w:after="60"/>
              <w:rPr>
                <w:rFonts w:ascii="Times New Roman" w:hAnsi="Times New Roman" w:cs="Times New Roman"/>
                <w:i/>
              </w:rPr>
            </w:pPr>
            <w:r>
              <w:rPr>
                <w:rFonts w:ascii="Times New Roman" w:hAnsi="Times New Roman" w:cs="Times New Roman"/>
              </w:rPr>
              <w:t xml:space="preserve">Suicide vector comprising </w:t>
            </w:r>
            <w:r w:rsidRPr="00BF1E88">
              <w:rPr>
                <w:rFonts w:ascii="Times New Roman" w:hAnsi="Times New Roman" w:cs="Times New Roman"/>
                <w:i/>
              </w:rPr>
              <w:t>sagA::tet</w:t>
            </w:r>
            <w:r>
              <w:rPr>
                <w:rFonts w:ascii="Times New Roman" w:hAnsi="Times New Roman" w:cs="Times New Roman"/>
                <w:i/>
              </w:rPr>
              <w:t>L</w:t>
            </w:r>
            <w:r w:rsidRPr="00BF1E88">
              <w:rPr>
                <w:rFonts w:ascii="Times New Roman" w:hAnsi="Times New Roman" w:cs="Times New Roman"/>
              </w:rPr>
              <w:t xml:space="preserve"> 4 way clone (BamHI-EcoRI with KpnI tet cassette) in pAZ106</w:t>
            </w:r>
            <w:r>
              <w:rPr>
                <w:rFonts w:ascii="Times New Roman" w:hAnsi="Times New Roman" w:cs="Times New Roman"/>
              </w:rPr>
              <w:t xml:space="preserve">; </w:t>
            </w:r>
            <w:r w:rsidRPr="00BF1E88">
              <w:rPr>
                <w:rFonts w:ascii="Times New Roman" w:hAnsi="Times New Roman" w:cs="Times New Roman"/>
              </w:rPr>
              <w:t>Amp</w:t>
            </w:r>
            <w:r w:rsidRPr="00BF1E88">
              <w:rPr>
                <w:rFonts w:ascii="Times New Roman" w:hAnsi="Times New Roman" w:cs="Times New Roman"/>
                <w:vertAlign w:val="superscript"/>
              </w:rPr>
              <w:t>R</w:t>
            </w:r>
            <w:r>
              <w:rPr>
                <w:rFonts w:ascii="Times New Roman" w:hAnsi="Times New Roman" w:cs="Times New Roman"/>
              </w:rPr>
              <w:t xml:space="preserve"> (</w:t>
            </w:r>
            <w:r>
              <w:rPr>
                <w:rFonts w:ascii="Times New Roman" w:hAnsi="Times New Roman" w:cs="Times New Roman"/>
                <w:i/>
              </w:rPr>
              <w:t>E. coli</w:t>
            </w:r>
            <w:r>
              <w:rPr>
                <w:rFonts w:ascii="Times New Roman" w:hAnsi="Times New Roman" w:cs="Times New Roman"/>
              </w:rPr>
              <w:t>)</w:t>
            </w:r>
            <w:r w:rsidRPr="00EC643B">
              <w:rPr>
                <w:rFonts w:ascii="Times New Roman" w:hAnsi="Times New Roman" w:cs="Times New Roman"/>
                <w:vertAlign w:val="subscript"/>
              </w:rPr>
              <w:t xml:space="preserve">, </w:t>
            </w:r>
            <w:r w:rsidRPr="00BF1E88">
              <w:rPr>
                <w:rFonts w:ascii="Times New Roman" w:hAnsi="Times New Roman" w:cs="Times New Roman"/>
              </w:rPr>
              <w:t>Ery</w:t>
            </w:r>
            <w:r w:rsidRPr="00BF1E88">
              <w:rPr>
                <w:rFonts w:ascii="Times New Roman" w:hAnsi="Times New Roman" w:cs="Times New Roman"/>
                <w:vertAlign w:val="superscript"/>
              </w:rPr>
              <w:t>R</w:t>
            </w:r>
            <w:r>
              <w:rPr>
                <w:rFonts w:ascii="Times New Roman" w:hAnsi="Times New Roman" w:cs="Times New Roman"/>
              </w:rPr>
              <w:t>, Tmn</w:t>
            </w:r>
            <w:r w:rsidRPr="007A048A">
              <w:rPr>
                <w:rFonts w:ascii="Times New Roman" w:hAnsi="Times New Roman" w:cs="Times New Roman"/>
                <w:vertAlign w:val="superscript"/>
              </w:rPr>
              <w:t>R</w:t>
            </w:r>
            <w:r>
              <w:rPr>
                <w:rFonts w:ascii="Times New Roman" w:hAnsi="Times New Roman" w:cs="Times New Roman"/>
              </w:rPr>
              <w:t xml:space="preserve"> (</w:t>
            </w:r>
            <w:r>
              <w:rPr>
                <w:rFonts w:ascii="Times New Roman" w:hAnsi="Times New Roman" w:cs="Times New Roman"/>
                <w:i/>
              </w:rPr>
              <w:t>S. aureus</w:t>
            </w:r>
            <w:r w:rsidRPr="007A048A">
              <w:rPr>
                <w:rFonts w:ascii="Times New Roman" w:hAnsi="Times New Roman" w:cs="Times New Roman"/>
              </w:rPr>
              <w:t>)</w:t>
            </w:r>
          </w:p>
        </w:tc>
        <w:tc>
          <w:tcPr>
            <w:tcW w:w="2728" w:type="dxa"/>
            <w:tcBorders>
              <w:top w:val="nil"/>
              <w:left w:val="nil"/>
              <w:bottom w:val="nil"/>
              <w:right w:val="nil"/>
            </w:tcBorders>
            <w:tcMar>
              <w:top w:w="57" w:type="dxa"/>
              <w:bottom w:w="85" w:type="dxa"/>
            </w:tcMar>
          </w:tcPr>
          <w:p w:rsidR="002D7C9B" w:rsidRPr="00BF1E88" w:rsidRDefault="002D7C9B" w:rsidP="002D7C9B">
            <w:pPr>
              <w:spacing w:before="60" w:after="60"/>
              <w:jc w:val="center"/>
              <w:rPr>
                <w:rFonts w:ascii="Times New Roman" w:hAnsi="Times New Roman" w:cs="Times New Roman"/>
              </w:rPr>
            </w:pPr>
            <w:r w:rsidRPr="00BF1E88">
              <w:rPr>
                <w:rFonts w:ascii="Times New Roman" w:hAnsi="Times New Roman" w:cs="Times New Roman"/>
              </w:rPr>
              <w:t>Horsburgh and Foster, unpublished</w:t>
            </w:r>
          </w:p>
        </w:tc>
      </w:tr>
      <w:tr w:rsidR="002D7C9B" w:rsidRPr="00C62CD3" w:rsidTr="002D7C9B">
        <w:tc>
          <w:tcPr>
            <w:tcW w:w="1797" w:type="dxa"/>
            <w:tcBorders>
              <w:top w:val="nil"/>
              <w:left w:val="nil"/>
              <w:bottom w:val="nil"/>
              <w:right w:val="nil"/>
            </w:tcBorders>
            <w:tcMar>
              <w:top w:w="57" w:type="dxa"/>
              <w:bottom w:w="85" w:type="dxa"/>
            </w:tcMar>
          </w:tcPr>
          <w:p w:rsidR="002D7C9B" w:rsidRPr="00BF1E88" w:rsidRDefault="002D7C9B" w:rsidP="002D7C9B">
            <w:pPr>
              <w:spacing w:before="60" w:after="60"/>
              <w:rPr>
                <w:rFonts w:ascii="Times New Roman" w:hAnsi="Times New Roman" w:cs="Times New Roman"/>
              </w:rPr>
            </w:pPr>
            <w:r w:rsidRPr="00BF1E88">
              <w:rPr>
                <w:rFonts w:ascii="Times New Roman" w:hAnsi="Times New Roman" w:cs="Times New Roman"/>
              </w:rPr>
              <w:t>pMUTIN4</w:t>
            </w:r>
          </w:p>
        </w:tc>
        <w:tc>
          <w:tcPr>
            <w:tcW w:w="4003" w:type="dxa"/>
            <w:tcBorders>
              <w:top w:val="nil"/>
              <w:left w:val="nil"/>
              <w:bottom w:val="nil"/>
              <w:right w:val="nil"/>
            </w:tcBorders>
            <w:tcMar>
              <w:top w:w="57" w:type="dxa"/>
              <w:bottom w:w="85" w:type="dxa"/>
            </w:tcMar>
          </w:tcPr>
          <w:p w:rsidR="002D7C9B" w:rsidRPr="00BF1E88" w:rsidRDefault="002D7C9B" w:rsidP="002D7C9B">
            <w:pPr>
              <w:spacing w:before="60" w:after="60"/>
              <w:rPr>
                <w:rFonts w:ascii="Times New Roman" w:hAnsi="Times New Roman" w:cs="Times New Roman"/>
              </w:rPr>
            </w:pPr>
            <w:r w:rsidRPr="00BF1E88">
              <w:rPr>
                <w:rFonts w:ascii="Times New Roman" w:hAnsi="Times New Roman" w:cs="Times New Roman"/>
              </w:rPr>
              <w:t>Insertion vector carrying IPTG-inducible Spac promoter; Amp</w:t>
            </w:r>
            <w:r w:rsidRPr="00BF1E88">
              <w:rPr>
                <w:rFonts w:ascii="Times New Roman" w:hAnsi="Times New Roman" w:cs="Times New Roman"/>
                <w:vertAlign w:val="superscript"/>
              </w:rPr>
              <w:t>R</w:t>
            </w:r>
            <w:r w:rsidRPr="00BF1E88">
              <w:rPr>
                <w:rFonts w:ascii="Times New Roman" w:hAnsi="Times New Roman" w:cs="Times New Roman"/>
              </w:rPr>
              <w:t xml:space="preserve"> (</w:t>
            </w:r>
            <w:r w:rsidRPr="00BF1E88">
              <w:rPr>
                <w:rFonts w:ascii="Times New Roman" w:hAnsi="Times New Roman" w:cs="Times New Roman"/>
                <w:i/>
              </w:rPr>
              <w:t>E. coli</w:t>
            </w:r>
            <w:r w:rsidRPr="00BF1E88">
              <w:rPr>
                <w:rFonts w:ascii="Times New Roman" w:hAnsi="Times New Roman" w:cs="Times New Roman"/>
              </w:rPr>
              <w:t>), Ery</w:t>
            </w:r>
            <w:r w:rsidRPr="00BF1E88">
              <w:rPr>
                <w:rFonts w:ascii="Times New Roman" w:hAnsi="Times New Roman" w:cs="Times New Roman"/>
                <w:vertAlign w:val="superscript"/>
              </w:rPr>
              <w:t xml:space="preserve">R </w:t>
            </w:r>
            <w:r w:rsidRPr="00BF1E88">
              <w:rPr>
                <w:rFonts w:ascii="Times New Roman" w:hAnsi="Times New Roman" w:cs="Times New Roman"/>
              </w:rPr>
              <w:t>(</w:t>
            </w:r>
            <w:r w:rsidRPr="00BF1E88">
              <w:rPr>
                <w:rFonts w:ascii="Times New Roman" w:hAnsi="Times New Roman" w:cs="Times New Roman"/>
                <w:i/>
              </w:rPr>
              <w:t>S. aureus</w:t>
            </w:r>
            <w:r w:rsidRPr="00BF1E88">
              <w:rPr>
                <w:rFonts w:ascii="Times New Roman" w:hAnsi="Times New Roman" w:cs="Times New Roman"/>
              </w:rPr>
              <w:t>)</w:t>
            </w:r>
          </w:p>
        </w:tc>
        <w:tc>
          <w:tcPr>
            <w:tcW w:w="2728" w:type="dxa"/>
            <w:tcBorders>
              <w:top w:val="nil"/>
              <w:left w:val="nil"/>
              <w:bottom w:val="nil"/>
              <w:right w:val="nil"/>
            </w:tcBorders>
            <w:tcMar>
              <w:top w:w="57" w:type="dxa"/>
              <w:bottom w:w="85" w:type="dxa"/>
            </w:tcMar>
          </w:tcPr>
          <w:p w:rsidR="002D7C9B" w:rsidRPr="00BF1E88" w:rsidRDefault="002D7C9B" w:rsidP="002D7C9B">
            <w:pPr>
              <w:spacing w:before="60" w:after="60"/>
              <w:jc w:val="center"/>
              <w:rPr>
                <w:rFonts w:ascii="Times New Roman" w:hAnsi="Times New Roman" w:cs="Times New Roman"/>
                <w:highlight w:val="yellow"/>
              </w:rPr>
            </w:pPr>
            <w:r w:rsidRPr="00C878B9">
              <w:rPr>
                <w:rFonts w:ascii="Times New Roman" w:hAnsi="Times New Roman" w:cs="Times New Roman"/>
              </w:rPr>
              <w:fldChar w:fldCharType="begin"/>
            </w:r>
            <w:r>
              <w:rPr>
                <w:rFonts w:ascii="Times New Roman" w:hAnsi="Times New Roman" w:cs="Times New Roman"/>
              </w:rPr>
              <w:instrText xml:space="preserve"> ADDIN ZOTERO_ITEM CSL_CITATION {"citationID":"2um4jkak4","properties":{"formattedCitation":"(Vagner et al., 1998)","plainCitation":"(Vagner et al., 1998)"},"citationItems":[{"id":159,"uris":["http://zotero.org/users/944474/items/EI7CDF32"],"uri":["http://zotero.org/users/944474/items/EI7CDF32"],"itemData":{"id":159,"type":"article-journal","title":"A vector for systematic gene inactivation in Bacillus subtilis","container-title":"Microbiology (Reading, England)","page":"3097-3104","volume":"144 ( Pt 11)","abstract":"To study the functions of the uncharacterized open reading frames identified in the Bacillus subtilis genome, several vectors were constructed to perform insertional mutagenesis in the chromosome. All the pMUTIN plasmids carry a lacZ reporter gene and an inducible Pspac promoter, which is tightly regulated and can be induced about 1000-fold. The integration of a pMUTIN vector into the target gene has three consequences: (1) the target gene is inactivated; (2) lacZ becomes transcriptionally fused to the gene, allowing its expression pattern to be monitored; (3) the Pspac promoter controls the transcription of downstream genes in an IPTG-dependent fashion. This last feature is important because B. subtilis genes are often organized in operons. The potential polar effects generated by the integration of the vectors can be alleviated by addition of IPTG. Also, conditional mutants of essential genes can be obtained by integrating pMUTIN vectors upstream of the target gene. The vectors are currently being used for systematic inactivation of genes without known function within the B. subtilis European consortium. pMUTIN characteristics and the inactivation of eight genes in the resA-serA region of the chromosome are presented.","note":"PMID: 9846745","journalAbbreviation":"Microbiology (Reading, Engl.)","author":[{"family":"Vagner","given":"V"},{"family":"Dervyn","given":"E"},{"family":"Ehrlich","given":"S D"}],"issued":{"year":1998,"month":11},"accessed":{"year":2012,"month":4,"day":26},"page-first":"3097"}}],"schema":"https://github.com/citation-style-language/schema/raw/master/csl-citation.json"} </w:instrText>
            </w:r>
            <w:r w:rsidRPr="00C878B9">
              <w:rPr>
                <w:rFonts w:ascii="Times New Roman" w:hAnsi="Times New Roman" w:cs="Times New Roman"/>
              </w:rPr>
              <w:fldChar w:fldCharType="separate"/>
            </w:r>
            <w:r w:rsidRPr="00C878B9">
              <w:rPr>
                <w:rFonts w:ascii="Times New Roman" w:hAnsi="Times New Roman" w:cs="Times New Roman"/>
              </w:rPr>
              <w:t xml:space="preserve">(Vagner </w:t>
            </w:r>
            <w:r w:rsidRPr="009C5F2F">
              <w:rPr>
                <w:rFonts w:ascii="Times New Roman" w:hAnsi="Times New Roman" w:cs="Times New Roman"/>
                <w:i/>
              </w:rPr>
              <w:t>et al</w:t>
            </w:r>
            <w:r w:rsidRPr="00C878B9">
              <w:rPr>
                <w:rFonts w:ascii="Times New Roman" w:hAnsi="Times New Roman" w:cs="Times New Roman"/>
              </w:rPr>
              <w:t>., 1998)</w:t>
            </w:r>
            <w:r w:rsidRPr="00C878B9">
              <w:rPr>
                <w:rFonts w:ascii="Times New Roman" w:hAnsi="Times New Roman" w:cs="Times New Roman"/>
              </w:rPr>
              <w:fldChar w:fldCharType="end"/>
            </w:r>
          </w:p>
        </w:tc>
      </w:tr>
      <w:tr w:rsidR="002D7C9B" w:rsidRPr="0076399D" w:rsidTr="002D7C9B">
        <w:tc>
          <w:tcPr>
            <w:tcW w:w="1797" w:type="dxa"/>
            <w:tcBorders>
              <w:top w:val="nil"/>
              <w:left w:val="nil"/>
              <w:bottom w:val="nil"/>
              <w:right w:val="nil"/>
            </w:tcBorders>
            <w:tcMar>
              <w:top w:w="57" w:type="dxa"/>
              <w:bottom w:w="85" w:type="dxa"/>
            </w:tcMar>
          </w:tcPr>
          <w:p w:rsidR="002D7C9B" w:rsidRPr="00112C2F" w:rsidRDefault="002D7C9B" w:rsidP="002D7C9B">
            <w:pPr>
              <w:spacing w:before="60" w:after="60"/>
              <w:rPr>
                <w:rFonts w:ascii="Times New Roman" w:hAnsi="Times New Roman" w:cs="Times New Roman"/>
              </w:rPr>
            </w:pPr>
            <w:r w:rsidRPr="00112C2F">
              <w:rPr>
                <w:rFonts w:ascii="Times New Roman" w:hAnsi="Times New Roman" w:cs="Times New Roman"/>
              </w:rPr>
              <w:t>pRW01</w:t>
            </w:r>
          </w:p>
        </w:tc>
        <w:tc>
          <w:tcPr>
            <w:tcW w:w="4003" w:type="dxa"/>
            <w:tcBorders>
              <w:top w:val="nil"/>
              <w:left w:val="nil"/>
              <w:bottom w:val="nil"/>
              <w:right w:val="nil"/>
            </w:tcBorders>
            <w:tcMar>
              <w:top w:w="57" w:type="dxa"/>
              <w:bottom w:w="85" w:type="dxa"/>
            </w:tcMar>
          </w:tcPr>
          <w:p w:rsidR="002D7C9B" w:rsidRPr="00112C2F" w:rsidRDefault="002D7C9B" w:rsidP="002D7C9B">
            <w:pPr>
              <w:spacing w:before="60" w:after="60"/>
              <w:rPr>
                <w:rFonts w:ascii="Times New Roman" w:hAnsi="Times New Roman" w:cs="Times New Roman"/>
              </w:rPr>
            </w:pPr>
            <w:r w:rsidRPr="00112C2F">
              <w:rPr>
                <w:rFonts w:ascii="Times New Roman" w:hAnsi="Times New Roman" w:cs="Times New Roman"/>
              </w:rPr>
              <w:t xml:space="preserve">pMUTIN4 insertion vector carrying </w:t>
            </w:r>
            <w:r>
              <w:rPr>
                <w:rFonts w:ascii="Times New Roman" w:hAnsi="Times New Roman" w:cs="Times New Roman"/>
              </w:rPr>
              <w:t>P</w:t>
            </w:r>
            <w:r w:rsidRPr="005F72D4">
              <w:rPr>
                <w:rFonts w:ascii="Times New Roman" w:hAnsi="Times New Roman" w:cs="Times New Roman"/>
                <w:vertAlign w:val="subscript"/>
              </w:rPr>
              <w:t>spac</w:t>
            </w:r>
            <w:r w:rsidRPr="00112C2F">
              <w:rPr>
                <w:rFonts w:ascii="Times New Roman" w:hAnsi="Times New Roman" w:cs="Times New Roman"/>
              </w:rPr>
              <w:t xml:space="preserve"> promoter and 650bp fragment of </w:t>
            </w:r>
            <w:r w:rsidRPr="00112C2F">
              <w:rPr>
                <w:rFonts w:ascii="Times New Roman" w:hAnsi="Times New Roman" w:cs="Times New Roman"/>
                <w:i/>
              </w:rPr>
              <w:t>sagB</w:t>
            </w:r>
            <w:r w:rsidRPr="00112C2F">
              <w:rPr>
                <w:rFonts w:ascii="Times New Roman" w:hAnsi="Times New Roman" w:cs="Times New Roman"/>
              </w:rPr>
              <w:t>; Amp</w:t>
            </w:r>
            <w:r w:rsidRPr="00112C2F">
              <w:rPr>
                <w:rFonts w:ascii="Times New Roman" w:hAnsi="Times New Roman" w:cs="Times New Roman"/>
                <w:vertAlign w:val="superscript"/>
              </w:rPr>
              <w:t>R</w:t>
            </w:r>
            <w:r w:rsidRPr="00112C2F">
              <w:rPr>
                <w:rFonts w:ascii="Times New Roman" w:hAnsi="Times New Roman" w:cs="Times New Roman"/>
              </w:rPr>
              <w:t xml:space="preserve"> (</w:t>
            </w:r>
            <w:r w:rsidRPr="00112C2F">
              <w:rPr>
                <w:rFonts w:ascii="Times New Roman" w:hAnsi="Times New Roman" w:cs="Times New Roman"/>
                <w:i/>
              </w:rPr>
              <w:t>E. coli</w:t>
            </w:r>
            <w:r w:rsidRPr="00112C2F">
              <w:rPr>
                <w:rFonts w:ascii="Times New Roman" w:hAnsi="Times New Roman" w:cs="Times New Roman"/>
              </w:rPr>
              <w:t>), Ery</w:t>
            </w:r>
            <w:r w:rsidRPr="00112C2F">
              <w:rPr>
                <w:rFonts w:ascii="Times New Roman" w:hAnsi="Times New Roman" w:cs="Times New Roman"/>
                <w:vertAlign w:val="superscript"/>
              </w:rPr>
              <w:t>R</w:t>
            </w:r>
            <w:r w:rsidRPr="00112C2F">
              <w:rPr>
                <w:rFonts w:ascii="Times New Roman" w:hAnsi="Times New Roman" w:cs="Times New Roman"/>
              </w:rPr>
              <w:t xml:space="preserve"> (</w:t>
            </w:r>
            <w:r w:rsidRPr="00112C2F">
              <w:rPr>
                <w:rFonts w:ascii="Times New Roman" w:hAnsi="Times New Roman" w:cs="Times New Roman"/>
                <w:i/>
              </w:rPr>
              <w:t>S. aureus</w:t>
            </w:r>
            <w:r w:rsidRPr="00112C2F">
              <w:rPr>
                <w:rFonts w:ascii="Times New Roman" w:hAnsi="Times New Roman" w:cs="Times New Roman"/>
              </w:rPr>
              <w:t>)</w:t>
            </w:r>
          </w:p>
        </w:tc>
        <w:tc>
          <w:tcPr>
            <w:tcW w:w="2728" w:type="dxa"/>
            <w:tcBorders>
              <w:top w:val="nil"/>
              <w:left w:val="nil"/>
              <w:bottom w:val="nil"/>
              <w:right w:val="nil"/>
            </w:tcBorders>
            <w:tcMar>
              <w:top w:w="57" w:type="dxa"/>
              <w:bottom w:w="85" w:type="dxa"/>
            </w:tcMar>
          </w:tcPr>
          <w:p w:rsidR="002D7C9B" w:rsidRPr="00112C2F" w:rsidRDefault="002D7C9B" w:rsidP="002D7C9B">
            <w:pPr>
              <w:spacing w:before="60" w:after="60"/>
              <w:jc w:val="center"/>
              <w:rPr>
                <w:rFonts w:ascii="Times New Roman" w:hAnsi="Times New Roman" w:cs="Times New Roman"/>
              </w:rPr>
            </w:pPr>
            <w:r w:rsidRPr="00112C2F">
              <w:rPr>
                <w:rFonts w:ascii="Times New Roman" w:hAnsi="Times New Roman" w:cs="Times New Roman"/>
              </w:rPr>
              <w:t>This study</w:t>
            </w:r>
          </w:p>
        </w:tc>
      </w:tr>
      <w:tr w:rsidR="002D7C9B" w:rsidRPr="0076399D" w:rsidTr="002D7C9B">
        <w:tc>
          <w:tcPr>
            <w:tcW w:w="1797" w:type="dxa"/>
            <w:tcBorders>
              <w:top w:val="nil"/>
              <w:left w:val="nil"/>
              <w:bottom w:val="nil"/>
              <w:right w:val="nil"/>
            </w:tcBorders>
            <w:tcMar>
              <w:top w:w="57" w:type="dxa"/>
              <w:bottom w:w="85" w:type="dxa"/>
            </w:tcMar>
          </w:tcPr>
          <w:p w:rsidR="002D7C9B" w:rsidRPr="00BF1E88" w:rsidRDefault="002D7C9B" w:rsidP="002D7C9B">
            <w:pPr>
              <w:spacing w:before="60" w:after="60"/>
              <w:rPr>
                <w:rFonts w:ascii="Times New Roman" w:hAnsi="Times New Roman" w:cs="Times New Roman"/>
              </w:rPr>
            </w:pPr>
            <w:r>
              <w:rPr>
                <w:rFonts w:ascii="Times New Roman" w:hAnsi="Times New Roman" w:cs="Times New Roman"/>
              </w:rPr>
              <w:t>pSA18Kan</w:t>
            </w:r>
          </w:p>
        </w:tc>
        <w:tc>
          <w:tcPr>
            <w:tcW w:w="4003" w:type="dxa"/>
            <w:tcBorders>
              <w:top w:val="nil"/>
              <w:left w:val="nil"/>
              <w:bottom w:val="nil"/>
              <w:right w:val="nil"/>
            </w:tcBorders>
            <w:tcMar>
              <w:top w:w="57" w:type="dxa"/>
              <w:bottom w:w="85" w:type="dxa"/>
            </w:tcMar>
          </w:tcPr>
          <w:p w:rsidR="002D7C9B" w:rsidRPr="007A048A" w:rsidRDefault="002D7C9B" w:rsidP="002D7C9B">
            <w:pPr>
              <w:spacing w:before="60" w:after="60"/>
              <w:rPr>
                <w:rFonts w:ascii="Times New Roman" w:hAnsi="Times New Roman" w:cs="Times New Roman"/>
              </w:rPr>
            </w:pPr>
            <w:r>
              <w:rPr>
                <w:rFonts w:ascii="Times New Roman" w:hAnsi="Times New Roman" w:cs="Times New Roman"/>
              </w:rPr>
              <w:t xml:space="preserve">pSA18M with </w:t>
            </w:r>
            <w:r w:rsidRPr="007A048A">
              <w:rPr>
                <w:rFonts w:ascii="Times New Roman" w:hAnsi="Times New Roman" w:cs="Times New Roman"/>
                <w:i/>
              </w:rPr>
              <w:t>kan</w:t>
            </w:r>
            <w:r>
              <w:rPr>
                <w:rFonts w:ascii="Times New Roman" w:hAnsi="Times New Roman" w:cs="Times New Roman"/>
              </w:rPr>
              <w:t xml:space="preserve"> replacement of </w:t>
            </w:r>
            <w:r>
              <w:rPr>
                <w:rFonts w:ascii="Times New Roman" w:hAnsi="Times New Roman" w:cs="Times New Roman"/>
                <w:i/>
              </w:rPr>
              <w:t xml:space="preserve">tetM </w:t>
            </w:r>
            <w:r>
              <w:rPr>
                <w:rFonts w:ascii="Times New Roman" w:hAnsi="Times New Roman" w:cs="Times New Roman"/>
              </w:rPr>
              <w:t xml:space="preserve">resistance cassette; </w:t>
            </w:r>
            <w:r w:rsidRPr="00BF1E88">
              <w:rPr>
                <w:rFonts w:ascii="Times New Roman" w:hAnsi="Times New Roman" w:cs="Times New Roman"/>
              </w:rPr>
              <w:t>Amp</w:t>
            </w:r>
            <w:r w:rsidRPr="00BF1E88">
              <w:rPr>
                <w:rFonts w:ascii="Times New Roman" w:hAnsi="Times New Roman" w:cs="Times New Roman"/>
                <w:vertAlign w:val="superscript"/>
              </w:rPr>
              <w:t>R</w:t>
            </w:r>
            <w:r w:rsidRPr="00BF1E88">
              <w:rPr>
                <w:rFonts w:ascii="Times New Roman" w:hAnsi="Times New Roman" w:cs="Times New Roman"/>
              </w:rPr>
              <w:t xml:space="preserve"> (</w:t>
            </w:r>
            <w:r w:rsidRPr="00BF1E88">
              <w:rPr>
                <w:rFonts w:ascii="Times New Roman" w:hAnsi="Times New Roman" w:cs="Times New Roman"/>
                <w:i/>
              </w:rPr>
              <w:t>E. coli</w:t>
            </w:r>
            <w:r w:rsidRPr="00BF1E88">
              <w:rPr>
                <w:rFonts w:ascii="Times New Roman" w:hAnsi="Times New Roman" w:cs="Times New Roman"/>
              </w:rPr>
              <w:t>), Ery</w:t>
            </w:r>
            <w:r w:rsidRPr="00BF1E88">
              <w:rPr>
                <w:rFonts w:ascii="Times New Roman" w:hAnsi="Times New Roman" w:cs="Times New Roman"/>
                <w:vertAlign w:val="superscript"/>
              </w:rPr>
              <w:t>R</w:t>
            </w:r>
            <w:r w:rsidRPr="007A048A">
              <w:rPr>
                <w:rFonts w:ascii="Times New Roman" w:hAnsi="Times New Roman" w:cs="Times New Roman"/>
              </w:rPr>
              <w:t>,</w:t>
            </w:r>
            <w:r>
              <w:rPr>
                <w:rFonts w:ascii="Times New Roman" w:hAnsi="Times New Roman" w:cs="Times New Roman"/>
              </w:rPr>
              <w:t xml:space="preserve"> Tet</w:t>
            </w:r>
            <w:r w:rsidRPr="00BF1E88">
              <w:rPr>
                <w:rFonts w:ascii="Times New Roman" w:hAnsi="Times New Roman" w:cs="Times New Roman"/>
                <w:vertAlign w:val="superscript"/>
              </w:rPr>
              <w:t xml:space="preserve">R </w:t>
            </w:r>
            <w:r w:rsidRPr="00BF1E88">
              <w:rPr>
                <w:rFonts w:ascii="Times New Roman" w:hAnsi="Times New Roman" w:cs="Times New Roman"/>
              </w:rPr>
              <w:t>(</w:t>
            </w:r>
            <w:r w:rsidRPr="00BF1E88">
              <w:rPr>
                <w:rFonts w:ascii="Times New Roman" w:hAnsi="Times New Roman" w:cs="Times New Roman"/>
                <w:i/>
              </w:rPr>
              <w:t>S. aureus</w:t>
            </w:r>
            <w:r w:rsidRPr="00BF1E88">
              <w:rPr>
                <w:rFonts w:ascii="Times New Roman" w:hAnsi="Times New Roman" w:cs="Times New Roman"/>
              </w:rPr>
              <w:t>)</w:t>
            </w:r>
          </w:p>
        </w:tc>
        <w:tc>
          <w:tcPr>
            <w:tcW w:w="2728" w:type="dxa"/>
            <w:tcBorders>
              <w:top w:val="nil"/>
              <w:left w:val="nil"/>
              <w:bottom w:val="nil"/>
              <w:right w:val="nil"/>
            </w:tcBorders>
            <w:tcMar>
              <w:top w:w="57" w:type="dxa"/>
              <w:bottom w:w="85" w:type="dxa"/>
            </w:tcMar>
          </w:tcPr>
          <w:p w:rsidR="002D7C9B" w:rsidRPr="00BF1E88"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{"citationID":"1lJvIN7f","properties":{"formattedCitation":"(Mohamad,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6D1A6D">
              <w:rPr>
                <w:rFonts w:ascii="Times New Roman" w:hAnsi="Times New Roman" w:cs="Times New Roman"/>
              </w:rPr>
              <w:t>(Mohamad, 2007)</w:t>
            </w:r>
            <w:r>
              <w:rPr>
                <w:rFonts w:ascii="Times New Roman" w:hAnsi="Times New Roman" w:cs="Times New Roman"/>
              </w:rPr>
              <w:fldChar w:fldCharType="end"/>
            </w:r>
          </w:p>
        </w:tc>
      </w:tr>
      <w:tr w:rsidR="002D7C9B" w:rsidRPr="0076399D" w:rsidTr="002D7C9B">
        <w:tc>
          <w:tcPr>
            <w:tcW w:w="1797" w:type="dxa"/>
            <w:tcBorders>
              <w:top w:val="nil"/>
              <w:left w:val="nil"/>
              <w:bottom w:val="nil"/>
              <w:right w:val="nil"/>
            </w:tcBorders>
            <w:tcMar>
              <w:top w:w="57" w:type="dxa"/>
              <w:bottom w:w="85" w:type="dxa"/>
            </w:tcMar>
          </w:tcPr>
          <w:p w:rsidR="002D7C9B" w:rsidRPr="00BF1E88" w:rsidRDefault="002D7C9B" w:rsidP="002D7C9B">
            <w:pPr>
              <w:spacing w:before="60" w:after="60"/>
              <w:rPr>
                <w:rFonts w:ascii="Times New Roman" w:hAnsi="Times New Roman" w:cs="Times New Roman"/>
                <w:highlight w:val="yellow"/>
              </w:rPr>
            </w:pPr>
            <w:r w:rsidRPr="00BF1E88">
              <w:rPr>
                <w:rFonts w:ascii="Times New Roman" w:hAnsi="Times New Roman" w:cs="Times New Roman"/>
              </w:rPr>
              <w:t>pSA18M</w:t>
            </w:r>
          </w:p>
        </w:tc>
        <w:tc>
          <w:tcPr>
            <w:tcW w:w="4003" w:type="dxa"/>
            <w:tcBorders>
              <w:top w:val="nil"/>
              <w:left w:val="nil"/>
              <w:bottom w:val="nil"/>
              <w:right w:val="nil"/>
            </w:tcBorders>
            <w:tcMar>
              <w:top w:w="57" w:type="dxa"/>
              <w:bottom w:w="85" w:type="dxa"/>
            </w:tcMar>
          </w:tcPr>
          <w:p w:rsidR="002D7C9B" w:rsidRPr="007A048A" w:rsidRDefault="002D7C9B" w:rsidP="002D7C9B">
            <w:pPr>
              <w:spacing w:before="60" w:after="60"/>
              <w:rPr>
                <w:rFonts w:ascii="Times New Roman" w:hAnsi="Times New Roman" w:cs="Times New Roman"/>
                <w:highlight w:val="yellow"/>
              </w:rPr>
            </w:pPr>
            <w:r w:rsidRPr="007A048A">
              <w:rPr>
                <w:rFonts w:ascii="Times New Roman" w:hAnsi="Times New Roman" w:cs="Times New Roman"/>
              </w:rPr>
              <w:t xml:space="preserve">pMUTIN4 containing </w:t>
            </w:r>
            <w:r w:rsidRPr="007A048A">
              <w:rPr>
                <w:rFonts w:ascii="Times New Roman" w:hAnsi="Times New Roman" w:cs="Times New Roman"/>
                <w:i/>
              </w:rPr>
              <w:t>Eco</w:t>
            </w:r>
            <w:r w:rsidRPr="007A048A">
              <w:rPr>
                <w:rFonts w:ascii="Times New Roman" w:hAnsi="Times New Roman" w:cs="Times New Roman"/>
              </w:rPr>
              <w:t>RI-</w:t>
            </w:r>
            <w:r w:rsidRPr="007A048A">
              <w:rPr>
                <w:rFonts w:ascii="Times New Roman" w:hAnsi="Times New Roman" w:cs="Times New Roman"/>
                <w:i/>
              </w:rPr>
              <w:t>Bam</w:t>
            </w:r>
            <w:r w:rsidRPr="007A048A">
              <w:rPr>
                <w:rFonts w:ascii="Times New Roman" w:hAnsi="Times New Roman" w:cs="Times New Roman"/>
              </w:rPr>
              <w:t>HI cut fragment of pInvSAT; Amp</w:t>
            </w:r>
            <w:r w:rsidRPr="007A048A">
              <w:rPr>
                <w:rFonts w:ascii="Times New Roman" w:hAnsi="Times New Roman" w:cs="Times New Roman"/>
                <w:vertAlign w:val="superscript"/>
              </w:rPr>
              <w:t>R</w:t>
            </w:r>
            <w:r w:rsidRPr="007A048A">
              <w:rPr>
                <w:rFonts w:ascii="Times New Roman" w:hAnsi="Times New Roman" w:cs="Times New Roman"/>
              </w:rPr>
              <w:t xml:space="preserve"> (</w:t>
            </w:r>
            <w:r w:rsidRPr="007A048A">
              <w:rPr>
                <w:rFonts w:ascii="Times New Roman" w:hAnsi="Times New Roman" w:cs="Times New Roman"/>
                <w:i/>
              </w:rPr>
              <w:t>E. coli</w:t>
            </w:r>
            <w:r w:rsidRPr="007A048A">
              <w:rPr>
                <w:rFonts w:ascii="Times New Roman" w:hAnsi="Times New Roman" w:cs="Times New Roman"/>
              </w:rPr>
              <w:t>), Ery</w:t>
            </w:r>
            <w:r w:rsidRPr="007A048A">
              <w:rPr>
                <w:rFonts w:ascii="Times New Roman" w:hAnsi="Times New Roman" w:cs="Times New Roman"/>
                <w:vertAlign w:val="superscript"/>
              </w:rPr>
              <w:t>R</w:t>
            </w:r>
            <w:r w:rsidRPr="007A048A">
              <w:rPr>
                <w:rFonts w:ascii="Times New Roman" w:hAnsi="Times New Roman" w:cs="Times New Roman"/>
              </w:rPr>
              <w:t xml:space="preserve"> (</w:t>
            </w:r>
            <w:r w:rsidRPr="007A048A">
              <w:rPr>
                <w:rFonts w:ascii="Times New Roman" w:hAnsi="Times New Roman" w:cs="Times New Roman"/>
                <w:i/>
              </w:rPr>
              <w:t>S. aureus</w:t>
            </w:r>
            <w:r w:rsidRPr="007A048A">
              <w:rPr>
                <w:rFonts w:ascii="Times New Roman" w:hAnsi="Times New Roman" w:cs="Times New Roman"/>
              </w:rPr>
              <w:t>)</w:t>
            </w:r>
          </w:p>
        </w:tc>
        <w:tc>
          <w:tcPr>
            <w:tcW w:w="2728" w:type="dxa"/>
            <w:tcBorders>
              <w:top w:val="nil"/>
              <w:left w:val="nil"/>
              <w:bottom w:val="nil"/>
              <w:right w:val="nil"/>
            </w:tcBorders>
            <w:tcMar>
              <w:top w:w="57" w:type="dxa"/>
              <w:bottom w:w="85" w:type="dxa"/>
            </w:tcMar>
          </w:tcPr>
          <w:p w:rsidR="002D7C9B" w:rsidRPr="00BF1E88" w:rsidRDefault="002D7C9B" w:rsidP="002D7C9B">
            <w:pPr>
              <w:spacing w:before="60" w:after="60"/>
              <w:jc w:val="center"/>
              <w:rPr>
                <w:rFonts w:ascii="Times New Roman" w:hAnsi="Times New Roman" w:cs="Times New Roman"/>
                <w:highlight w:val="yellow"/>
              </w:rPr>
            </w:pPr>
            <w:r>
              <w:rPr>
                <w:rFonts w:ascii="Times New Roman" w:hAnsi="Times New Roman" w:cs="Times New Roman"/>
              </w:rPr>
              <w:fldChar w:fldCharType="begin"/>
            </w:r>
            <w:r>
              <w:rPr>
                <w:rFonts w:ascii="Times New Roman" w:hAnsi="Times New Roman" w:cs="Times New Roman"/>
              </w:rPr>
              <w:instrText xml:space="preserve"> ADDIN ZOTERO_ITEM CSL_CITATION {"citationID":"CkNek4BZ","properties":{"formattedCitation":"(Mohamad,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6D1A6D">
              <w:rPr>
                <w:rFonts w:ascii="Times New Roman" w:hAnsi="Times New Roman" w:cs="Times New Roman"/>
              </w:rPr>
              <w:t>(Mohamad, 2007)</w:t>
            </w:r>
            <w:r>
              <w:rPr>
                <w:rFonts w:ascii="Times New Roman" w:hAnsi="Times New Roman" w:cs="Times New Roman"/>
              </w:rPr>
              <w:fldChar w:fldCharType="end"/>
            </w:r>
          </w:p>
        </w:tc>
      </w:tr>
      <w:tr w:rsidR="002D7C9B" w:rsidRPr="0076399D" w:rsidTr="002D7C9B">
        <w:tc>
          <w:tcPr>
            <w:tcW w:w="1797" w:type="dxa"/>
            <w:tcBorders>
              <w:top w:val="nil"/>
              <w:left w:val="nil"/>
              <w:bottom w:val="nil"/>
              <w:right w:val="nil"/>
            </w:tcBorders>
            <w:tcMar>
              <w:top w:w="57" w:type="dxa"/>
              <w:bottom w:w="85" w:type="dxa"/>
            </w:tcMar>
          </w:tcPr>
          <w:p w:rsidR="002D7C9B" w:rsidRPr="00BF1E88" w:rsidRDefault="002D7C9B" w:rsidP="002D7C9B">
            <w:pPr>
              <w:spacing w:before="60" w:after="60"/>
              <w:rPr>
                <w:rFonts w:ascii="Times New Roman" w:hAnsi="Times New Roman" w:cs="Times New Roman"/>
                <w:highlight w:val="yellow"/>
              </w:rPr>
            </w:pPr>
            <w:r w:rsidRPr="00BF1E88">
              <w:rPr>
                <w:rFonts w:ascii="Times New Roman" w:hAnsi="Times New Roman" w:cs="Times New Roman"/>
              </w:rPr>
              <w:lastRenderedPageBreak/>
              <w:t>pSA26D</w:t>
            </w:r>
          </w:p>
        </w:tc>
        <w:tc>
          <w:tcPr>
            <w:tcW w:w="4003" w:type="dxa"/>
            <w:tcBorders>
              <w:top w:val="nil"/>
              <w:left w:val="nil"/>
              <w:bottom w:val="nil"/>
              <w:right w:val="nil"/>
            </w:tcBorders>
            <w:tcMar>
              <w:top w:w="57" w:type="dxa"/>
              <w:bottom w:w="85" w:type="dxa"/>
            </w:tcMar>
          </w:tcPr>
          <w:p w:rsidR="002D7C9B" w:rsidRPr="007A048A" w:rsidRDefault="002D7C9B" w:rsidP="002D7C9B">
            <w:pPr>
              <w:tabs>
                <w:tab w:val="left" w:pos="1440"/>
              </w:tabs>
              <w:spacing w:before="60" w:after="60"/>
              <w:jc w:val="both"/>
              <w:rPr>
                <w:rFonts w:ascii="Times New Roman" w:hAnsi="Times New Roman" w:cs="Times New Roman"/>
              </w:rPr>
            </w:pPr>
            <w:r w:rsidRPr="007A048A">
              <w:rPr>
                <w:rFonts w:ascii="Times New Roman" w:hAnsi="Times New Roman" w:cs="Times New Roman"/>
              </w:rPr>
              <w:t xml:space="preserve">pMUTIN4 containing 2.7 kb fragment </w:t>
            </w:r>
            <w:r>
              <w:rPr>
                <w:rFonts w:ascii="Times New Roman" w:hAnsi="Times New Roman" w:cs="Times New Roman"/>
              </w:rPr>
              <w:t>of</w:t>
            </w:r>
            <w:r w:rsidRPr="007A048A">
              <w:rPr>
                <w:rFonts w:ascii="Times New Roman" w:hAnsi="Times New Roman" w:cs="Times New Roman"/>
              </w:rPr>
              <w:t xml:space="preserve"> </w:t>
            </w:r>
            <w:r w:rsidRPr="007A048A">
              <w:rPr>
                <w:rFonts w:ascii="Times New Roman" w:hAnsi="Times New Roman" w:cs="Times New Roman"/>
                <w:i/>
                <w:iCs/>
              </w:rPr>
              <w:t>scaH</w:t>
            </w:r>
            <w:r w:rsidRPr="007A048A">
              <w:rPr>
                <w:rFonts w:ascii="Times New Roman" w:hAnsi="Times New Roman" w:cs="Times New Roman"/>
              </w:rPr>
              <w:t xml:space="preserve"> and </w:t>
            </w:r>
            <w:r>
              <w:rPr>
                <w:rFonts w:ascii="Times New Roman" w:hAnsi="Times New Roman" w:cs="Times New Roman"/>
              </w:rPr>
              <w:t>~</w:t>
            </w:r>
            <w:r w:rsidRPr="007A048A">
              <w:rPr>
                <w:rFonts w:ascii="Times New Roman" w:hAnsi="Times New Roman" w:cs="Times New Roman"/>
              </w:rPr>
              <w:t>1 kb of flanking region</w:t>
            </w:r>
            <w:r>
              <w:rPr>
                <w:rFonts w:ascii="Times New Roman" w:hAnsi="Times New Roman" w:cs="Times New Roman"/>
              </w:rPr>
              <w:t>;</w:t>
            </w:r>
            <w:r w:rsidRPr="007A048A">
              <w:rPr>
                <w:rFonts w:ascii="Times New Roman" w:hAnsi="Times New Roman" w:cs="Times New Roman"/>
              </w:rPr>
              <w:t xml:space="preserve"> </w:t>
            </w:r>
            <w:r w:rsidRPr="00112C2F">
              <w:rPr>
                <w:rFonts w:ascii="Times New Roman" w:hAnsi="Times New Roman" w:cs="Times New Roman"/>
              </w:rPr>
              <w:t>Amp</w:t>
            </w:r>
            <w:r w:rsidRPr="00112C2F">
              <w:rPr>
                <w:rFonts w:ascii="Times New Roman" w:hAnsi="Times New Roman" w:cs="Times New Roman"/>
                <w:vertAlign w:val="superscript"/>
              </w:rPr>
              <w:t>R</w:t>
            </w:r>
            <w:r w:rsidRPr="00112C2F">
              <w:rPr>
                <w:rFonts w:ascii="Times New Roman" w:hAnsi="Times New Roman" w:cs="Times New Roman"/>
              </w:rPr>
              <w:t xml:space="preserve"> (</w:t>
            </w:r>
            <w:r w:rsidRPr="00112C2F">
              <w:rPr>
                <w:rFonts w:ascii="Times New Roman" w:hAnsi="Times New Roman" w:cs="Times New Roman"/>
                <w:i/>
              </w:rPr>
              <w:t>E. coli</w:t>
            </w:r>
            <w:r w:rsidRPr="00112C2F">
              <w:rPr>
                <w:rFonts w:ascii="Times New Roman" w:hAnsi="Times New Roman" w:cs="Times New Roman"/>
              </w:rPr>
              <w:t>), Ery</w:t>
            </w:r>
            <w:r w:rsidRPr="00112C2F">
              <w:rPr>
                <w:rFonts w:ascii="Times New Roman" w:hAnsi="Times New Roman" w:cs="Times New Roman"/>
                <w:vertAlign w:val="superscript"/>
              </w:rPr>
              <w:t>R</w:t>
            </w:r>
            <w:r w:rsidRPr="00112C2F">
              <w:rPr>
                <w:rFonts w:ascii="Times New Roman" w:hAnsi="Times New Roman" w:cs="Times New Roman"/>
              </w:rPr>
              <w:t xml:space="preserve"> (</w:t>
            </w:r>
            <w:r w:rsidRPr="00112C2F">
              <w:rPr>
                <w:rFonts w:ascii="Times New Roman" w:hAnsi="Times New Roman" w:cs="Times New Roman"/>
                <w:i/>
              </w:rPr>
              <w:t>S. aureus</w:t>
            </w:r>
            <w:r w:rsidRPr="00112C2F">
              <w:rPr>
                <w:rFonts w:ascii="Times New Roman" w:hAnsi="Times New Roman" w:cs="Times New Roman"/>
              </w:rPr>
              <w:t>)</w:t>
            </w:r>
          </w:p>
        </w:tc>
        <w:tc>
          <w:tcPr>
            <w:tcW w:w="2728" w:type="dxa"/>
            <w:tcBorders>
              <w:top w:val="nil"/>
              <w:left w:val="nil"/>
              <w:bottom w:val="nil"/>
              <w:right w:val="nil"/>
            </w:tcBorders>
            <w:tcMar>
              <w:top w:w="57" w:type="dxa"/>
              <w:bottom w:w="85" w:type="dxa"/>
            </w:tcMar>
          </w:tcPr>
          <w:p w:rsidR="002D7C9B" w:rsidRPr="00BF1E88" w:rsidRDefault="002D7C9B" w:rsidP="002D7C9B">
            <w:pPr>
              <w:spacing w:before="60" w:after="60"/>
              <w:jc w:val="center"/>
              <w:rPr>
                <w:rFonts w:ascii="Times New Roman" w:hAnsi="Times New Roman" w:cs="Times New Roman"/>
                <w:highlight w:val="yellow"/>
              </w:rPr>
            </w:pPr>
            <w:r>
              <w:rPr>
                <w:rFonts w:ascii="Times New Roman" w:hAnsi="Times New Roman" w:cs="Times New Roman"/>
              </w:rPr>
              <w:fldChar w:fldCharType="begin"/>
            </w:r>
            <w:r>
              <w:rPr>
                <w:rFonts w:ascii="Times New Roman" w:hAnsi="Times New Roman" w:cs="Times New Roman"/>
              </w:rPr>
              <w:instrText xml:space="preserve"> ADDIN ZOTERO_ITEM CSL_CITATION {"citationID":"mLZ8P3z7","properties":{"formattedCitation":"(Mohamad,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6D1A6D">
              <w:rPr>
                <w:rFonts w:ascii="Times New Roman" w:hAnsi="Times New Roman" w:cs="Times New Roman"/>
              </w:rPr>
              <w:t>(Mohamad, 2007)</w:t>
            </w:r>
            <w:r>
              <w:rPr>
                <w:rFonts w:ascii="Times New Roman" w:hAnsi="Times New Roman" w:cs="Times New Roman"/>
              </w:rPr>
              <w:fldChar w:fldCharType="end"/>
            </w:r>
          </w:p>
        </w:tc>
      </w:tr>
      <w:tr w:rsidR="002D7C9B" w:rsidRPr="0076399D" w:rsidTr="002D7C9B">
        <w:tc>
          <w:tcPr>
            <w:tcW w:w="1797" w:type="dxa"/>
            <w:tcBorders>
              <w:top w:val="nil"/>
              <w:left w:val="nil"/>
              <w:bottom w:val="nil"/>
              <w:right w:val="nil"/>
            </w:tcBorders>
            <w:tcMar>
              <w:top w:w="57" w:type="dxa"/>
              <w:bottom w:w="85" w:type="dxa"/>
            </w:tcMar>
          </w:tcPr>
          <w:p w:rsidR="002D7C9B" w:rsidRPr="00BF1E88" w:rsidRDefault="002D7C9B" w:rsidP="002D7C9B">
            <w:pPr>
              <w:spacing w:before="60" w:after="60"/>
              <w:rPr>
                <w:rFonts w:ascii="Times New Roman" w:hAnsi="Times New Roman" w:cs="Times New Roman"/>
              </w:rPr>
            </w:pPr>
            <w:r>
              <w:rPr>
                <w:rFonts w:ascii="Times New Roman" w:hAnsi="Times New Roman" w:cs="Times New Roman"/>
              </w:rPr>
              <w:t>pSA26DKan</w:t>
            </w:r>
          </w:p>
        </w:tc>
        <w:tc>
          <w:tcPr>
            <w:tcW w:w="4003" w:type="dxa"/>
            <w:tcBorders>
              <w:top w:val="nil"/>
              <w:left w:val="nil"/>
              <w:bottom w:val="nil"/>
              <w:right w:val="nil"/>
            </w:tcBorders>
            <w:tcMar>
              <w:top w:w="57" w:type="dxa"/>
              <w:bottom w:w="85" w:type="dxa"/>
            </w:tcMar>
          </w:tcPr>
          <w:p w:rsidR="002D7C9B" w:rsidRPr="007A048A" w:rsidRDefault="002D7C9B" w:rsidP="002D7C9B">
            <w:pPr>
              <w:spacing w:before="60" w:after="60"/>
              <w:rPr>
                <w:rFonts w:ascii="Times New Roman" w:hAnsi="Times New Roman" w:cs="Times New Roman"/>
                <w:highlight w:val="yellow"/>
              </w:rPr>
            </w:pPr>
            <w:r w:rsidRPr="007A048A">
              <w:rPr>
                <w:rFonts w:ascii="Times New Roman" w:hAnsi="Times New Roman" w:cs="Times New Roman"/>
              </w:rPr>
              <w:t xml:space="preserve">pSA26D containing 1.5 kb </w:t>
            </w:r>
            <w:r w:rsidRPr="007A048A">
              <w:rPr>
                <w:rFonts w:ascii="Times New Roman" w:hAnsi="Times New Roman" w:cs="Times New Roman"/>
                <w:i/>
              </w:rPr>
              <w:t>kan</w:t>
            </w:r>
            <w:r w:rsidRPr="007A048A">
              <w:rPr>
                <w:rFonts w:ascii="Times New Roman" w:hAnsi="Times New Roman" w:cs="Times New Roman"/>
              </w:rPr>
              <w:t xml:space="preserve"> cassette fragment from pGL433</w:t>
            </w:r>
            <w:r>
              <w:rPr>
                <w:rFonts w:ascii="Times New Roman" w:hAnsi="Times New Roman" w:cs="Times New Roman"/>
              </w:rPr>
              <w:t>,</w:t>
            </w:r>
            <w:r w:rsidRPr="007A048A">
              <w:rPr>
                <w:rFonts w:ascii="Times New Roman" w:hAnsi="Times New Roman" w:cs="Times New Roman"/>
              </w:rPr>
              <w:t xml:space="preserve"> inserted into </w:t>
            </w:r>
            <w:r w:rsidRPr="007A048A">
              <w:rPr>
                <w:rFonts w:ascii="Times New Roman" w:hAnsi="Times New Roman" w:cs="Times New Roman"/>
                <w:i/>
              </w:rPr>
              <w:t>Kpn</w:t>
            </w:r>
            <w:r w:rsidRPr="007A048A">
              <w:rPr>
                <w:rFonts w:ascii="Times New Roman" w:hAnsi="Times New Roman" w:cs="Times New Roman"/>
              </w:rPr>
              <w:t xml:space="preserve">I site within the </w:t>
            </w:r>
            <w:r w:rsidRPr="007A048A">
              <w:rPr>
                <w:rFonts w:ascii="Times New Roman" w:hAnsi="Times New Roman" w:cs="Times New Roman"/>
                <w:i/>
              </w:rPr>
              <w:t>scaH</w:t>
            </w:r>
            <w:r w:rsidRPr="007A048A">
              <w:rPr>
                <w:rFonts w:ascii="Times New Roman" w:hAnsi="Times New Roman" w:cs="Times New Roman"/>
              </w:rPr>
              <w:t xml:space="preserve"> gene</w:t>
            </w:r>
            <w:r>
              <w:rPr>
                <w:rFonts w:ascii="Times New Roman" w:hAnsi="Times New Roman" w:cs="Times New Roman"/>
              </w:rPr>
              <w:t>;</w:t>
            </w:r>
            <w:r w:rsidRPr="007A048A">
              <w:rPr>
                <w:rFonts w:ascii="Times New Roman" w:hAnsi="Times New Roman" w:cs="Times New Roman"/>
              </w:rPr>
              <w:t xml:space="preserve"> </w:t>
            </w:r>
            <w:r w:rsidRPr="00112C2F">
              <w:rPr>
                <w:rFonts w:ascii="Times New Roman" w:hAnsi="Times New Roman" w:cs="Times New Roman"/>
              </w:rPr>
              <w:t>Amp</w:t>
            </w:r>
            <w:r w:rsidRPr="00112C2F">
              <w:rPr>
                <w:rFonts w:ascii="Times New Roman" w:hAnsi="Times New Roman" w:cs="Times New Roman"/>
                <w:vertAlign w:val="superscript"/>
              </w:rPr>
              <w:t>R</w:t>
            </w:r>
            <w:r w:rsidRPr="00112C2F">
              <w:rPr>
                <w:rFonts w:ascii="Times New Roman" w:hAnsi="Times New Roman" w:cs="Times New Roman"/>
              </w:rPr>
              <w:t xml:space="preserve"> (</w:t>
            </w:r>
            <w:r w:rsidRPr="00112C2F">
              <w:rPr>
                <w:rFonts w:ascii="Times New Roman" w:hAnsi="Times New Roman" w:cs="Times New Roman"/>
                <w:i/>
              </w:rPr>
              <w:t>E. coli</w:t>
            </w:r>
            <w:r w:rsidRPr="00112C2F">
              <w:rPr>
                <w:rFonts w:ascii="Times New Roman" w:hAnsi="Times New Roman" w:cs="Times New Roman"/>
              </w:rPr>
              <w:t>), Ery</w:t>
            </w:r>
            <w:r w:rsidRPr="00112C2F">
              <w:rPr>
                <w:rFonts w:ascii="Times New Roman" w:hAnsi="Times New Roman" w:cs="Times New Roman"/>
                <w:vertAlign w:val="superscript"/>
              </w:rPr>
              <w:t>R</w:t>
            </w:r>
            <w:r>
              <w:rPr>
                <w:rFonts w:ascii="Times New Roman" w:hAnsi="Times New Roman" w:cs="Times New Roman"/>
              </w:rPr>
              <w:t xml:space="preserve">, </w:t>
            </w:r>
            <w:r w:rsidRPr="0022588C">
              <w:rPr>
                <w:rFonts w:ascii="Times New Roman" w:hAnsi="Times New Roman" w:cs="Times New Roman"/>
              </w:rPr>
              <w:t>Kan</w:t>
            </w:r>
            <w:r w:rsidRPr="0022588C">
              <w:rPr>
                <w:rFonts w:ascii="Times New Roman" w:hAnsi="Times New Roman" w:cs="Times New Roman"/>
                <w:vertAlign w:val="superscript"/>
              </w:rPr>
              <w:t>R</w:t>
            </w:r>
            <w:r w:rsidRPr="00112C2F">
              <w:rPr>
                <w:rFonts w:ascii="Times New Roman" w:hAnsi="Times New Roman" w:cs="Times New Roman"/>
              </w:rPr>
              <w:t xml:space="preserve"> (</w:t>
            </w:r>
            <w:r w:rsidRPr="00112C2F">
              <w:rPr>
                <w:rFonts w:ascii="Times New Roman" w:hAnsi="Times New Roman" w:cs="Times New Roman"/>
                <w:i/>
              </w:rPr>
              <w:t>S. aureus</w:t>
            </w:r>
            <w:r w:rsidRPr="00112C2F">
              <w:rPr>
                <w:rFonts w:ascii="Times New Roman" w:hAnsi="Times New Roman" w:cs="Times New Roman"/>
              </w:rPr>
              <w:t>)</w:t>
            </w:r>
          </w:p>
        </w:tc>
        <w:tc>
          <w:tcPr>
            <w:tcW w:w="2728" w:type="dxa"/>
            <w:tcBorders>
              <w:top w:val="nil"/>
              <w:left w:val="nil"/>
              <w:bottom w:val="nil"/>
              <w:right w:val="nil"/>
            </w:tcBorders>
            <w:tcMar>
              <w:top w:w="57" w:type="dxa"/>
              <w:bottom w:w="85" w:type="dxa"/>
            </w:tcMar>
          </w:tcPr>
          <w:p w:rsidR="002D7C9B" w:rsidRPr="00BF1E88" w:rsidRDefault="002D7C9B" w:rsidP="002D7C9B">
            <w:pPr>
              <w:spacing w:before="60" w:after="60"/>
              <w:jc w:val="center"/>
              <w:rPr>
                <w:rFonts w:ascii="Times New Roman" w:hAnsi="Times New Roman" w:cs="Times New Roman"/>
                <w:highlight w:val="yellow"/>
              </w:rPr>
            </w:pPr>
            <w:r>
              <w:rPr>
                <w:rFonts w:ascii="Times New Roman" w:hAnsi="Times New Roman" w:cs="Times New Roman"/>
              </w:rPr>
              <w:fldChar w:fldCharType="begin"/>
            </w:r>
            <w:r>
              <w:rPr>
                <w:rFonts w:ascii="Times New Roman" w:hAnsi="Times New Roman" w:cs="Times New Roman"/>
              </w:rPr>
              <w:instrText xml:space="preserve"> ADDIN ZOTERO_ITEM CSL_CITATION {"citationID":"o1zn6kfc","properties":{"formattedCitation":"(Mohamad,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6D1A6D">
              <w:rPr>
                <w:rFonts w:ascii="Times New Roman" w:hAnsi="Times New Roman" w:cs="Times New Roman"/>
              </w:rPr>
              <w:t>(Mohamad, 2007)</w:t>
            </w:r>
            <w:r>
              <w:rPr>
                <w:rFonts w:ascii="Times New Roman" w:hAnsi="Times New Roman" w:cs="Times New Roman"/>
              </w:rPr>
              <w:fldChar w:fldCharType="end"/>
            </w:r>
          </w:p>
        </w:tc>
      </w:tr>
      <w:tr w:rsidR="002D7C9B" w:rsidRPr="0076399D" w:rsidTr="002D7C9B">
        <w:tc>
          <w:tcPr>
            <w:tcW w:w="1797" w:type="dxa"/>
            <w:tcBorders>
              <w:top w:val="nil"/>
              <w:left w:val="nil"/>
              <w:bottom w:val="nil"/>
              <w:right w:val="nil"/>
            </w:tcBorders>
            <w:tcMar>
              <w:top w:w="57" w:type="dxa"/>
              <w:bottom w:w="85" w:type="dxa"/>
            </w:tcMar>
          </w:tcPr>
          <w:p w:rsidR="002D7C9B" w:rsidRDefault="002D7C9B" w:rsidP="002D7C9B">
            <w:pPr>
              <w:spacing w:before="60" w:after="60"/>
              <w:rPr>
                <w:rFonts w:ascii="Times New Roman" w:hAnsi="Times New Roman" w:cs="Times New Roman"/>
              </w:rPr>
            </w:pPr>
            <w:r>
              <w:rPr>
                <w:rFonts w:ascii="Times New Roman" w:hAnsi="Times New Roman" w:cs="Times New Roman"/>
              </w:rPr>
              <w:t>pSA26Min</w:t>
            </w:r>
          </w:p>
        </w:tc>
        <w:tc>
          <w:tcPr>
            <w:tcW w:w="4003" w:type="dxa"/>
            <w:tcBorders>
              <w:top w:val="nil"/>
              <w:left w:val="nil"/>
              <w:bottom w:val="nil"/>
              <w:right w:val="nil"/>
            </w:tcBorders>
            <w:tcMar>
              <w:top w:w="57" w:type="dxa"/>
              <w:bottom w:w="85" w:type="dxa"/>
            </w:tcMar>
          </w:tcPr>
          <w:p w:rsidR="002D7C9B" w:rsidRPr="007A048A" w:rsidRDefault="002D7C9B" w:rsidP="002D7C9B">
            <w:pPr>
              <w:spacing w:before="60" w:after="60"/>
              <w:rPr>
                <w:rFonts w:ascii="Times New Roman" w:hAnsi="Times New Roman" w:cs="Times New Roman"/>
                <w:highlight w:val="yellow"/>
              </w:rPr>
            </w:pPr>
            <w:r w:rsidRPr="007A048A">
              <w:rPr>
                <w:rFonts w:ascii="Times New Roman" w:hAnsi="Times New Roman" w:cs="Times New Roman"/>
              </w:rPr>
              <w:t xml:space="preserve">pSA26DKan </w:t>
            </w:r>
            <w:r>
              <w:rPr>
                <w:rFonts w:ascii="Times New Roman" w:hAnsi="Times New Roman" w:cs="Times New Roman"/>
              </w:rPr>
              <w:t xml:space="preserve">with </w:t>
            </w:r>
            <w:r>
              <w:rPr>
                <w:rFonts w:ascii="Times New Roman" w:hAnsi="Times New Roman" w:cs="Times New Roman"/>
                <w:i/>
              </w:rPr>
              <w:t>tetM</w:t>
            </w:r>
            <w:r>
              <w:rPr>
                <w:rFonts w:ascii="Times New Roman" w:hAnsi="Times New Roman" w:cs="Times New Roman"/>
              </w:rPr>
              <w:t xml:space="preserve"> replacement of </w:t>
            </w:r>
            <w:r>
              <w:rPr>
                <w:rFonts w:ascii="Times New Roman" w:hAnsi="Times New Roman" w:cs="Times New Roman"/>
                <w:i/>
              </w:rPr>
              <w:t xml:space="preserve">kan </w:t>
            </w:r>
            <w:r>
              <w:rPr>
                <w:rFonts w:ascii="Times New Roman" w:hAnsi="Times New Roman" w:cs="Times New Roman"/>
              </w:rPr>
              <w:t xml:space="preserve">resistance cassette; </w:t>
            </w:r>
            <w:r w:rsidRPr="00BF1E88">
              <w:rPr>
                <w:rFonts w:ascii="Times New Roman" w:hAnsi="Times New Roman" w:cs="Times New Roman"/>
              </w:rPr>
              <w:t>Amp</w:t>
            </w:r>
            <w:r w:rsidRPr="00BF1E88">
              <w:rPr>
                <w:rFonts w:ascii="Times New Roman" w:hAnsi="Times New Roman" w:cs="Times New Roman"/>
                <w:vertAlign w:val="superscript"/>
              </w:rPr>
              <w:t>R</w:t>
            </w:r>
            <w:r w:rsidRPr="00BF1E88">
              <w:rPr>
                <w:rFonts w:ascii="Times New Roman" w:hAnsi="Times New Roman" w:cs="Times New Roman"/>
              </w:rPr>
              <w:t xml:space="preserve"> (</w:t>
            </w:r>
            <w:r w:rsidRPr="00BF1E88">
              <w:rPr>
                <w:rFonts w:ascii="Times New Roman" w:hAnsi="Times New Roman" w:cs="Times New Roman"/>
                <w:i/>
              </w:rPr>
              <w:t>E. coli</w:t>
            </w:r>
            <w:r w:rsidRPr="00BF1E88">
              <w:rPr>
                <w:rFonts w:ascii="Times New Roman" w:hAnsi="Times New Roman" w:cs="Times New Roman"/>
              </w:rPr>
              <w:t>), Ery</w:t>
            </w:r>
            <w:r w:rsidRPr="00BF1E88">
              <w:rPr>
                <w:rFonts w:ascii="Times New Roman" w:hAnsi="Times New Roman" w:cs="Times New Roman"/>
                <w:vertAlign w:val="superscript"/>
              </w:rPr>
              <w:t>R</w:t>
            </w:r>
            <w:r w:rsidRPr="007A048A">
              <w:rPr>
                <w:rFonts w:ascii="Times New Roman" w:hAnsi="Times New Roman" w:cs="Times New Roman"/>
              </w:rPr>
              <w:t>,</w:t>
            </w:r>
            <w:r>
              <w:rPr>
                <w:rFonts w:ascii="Times New Roman" w:hAnsi="Times New Roman" w:cs="Times New Roman"/>
              </w:rPr>
              <w:t xml:space="preserve"> Kan</w:t>
            </w:r>
            <w:r w:rsidRPr="00BF1E88">
              <w:rPr>
                <w:rFonts w:ascii="Times New Roman" w:hAnsi="Times New Roman" w:cs="Times New Roman"/>
                <w:vertAlign w:val="superscript"/>
              </w:rPr>
              <w:t xml:space="preserve">R </w:t>
            </w:r>
            <w:r w:rsidRPr="00BF1E88">
              <w:rPr>
                <w:rFonts w:ascii="Times New Roman" w:hAnsi="Times New Roman" w:cs="Times New Roman"/>
              </w:rPr>
              <w:t>(</w:t>
            </w:r>
            <w:r w:rsidRPr="00BF1E88">
              <w:rPr>
                <w:rFonts w:ascii="Times New Roman" w:hAnsi="Times New Roman" w:cs="Times New Roman"/>
                <w:i/>
              </w:rPr>
              <w:t>S. aureus</w:t>
            </w:r>
            <w:r w:rsidRPr="00BF1E88">
              <w:rPr>
                <w:rFonts w:ascii="Times New Roman" w:hAnsi="Times New Roman" w:cs="Times New Roman"/>
              </w:rPr>
              <w:t>)</w:t>
            </w:r>
          </w:p>
        </w:tc>
        <w:tc>
          <w:tcPr>
            <w:tcW w:w="2728" w:type="dxa"/>
            <w:tcBorders>
              <w:top w:val="nil"/>
              <w:left w:val="nil"/>
              <w:bottom w:val="nil"/>
              <w:right w:val="nil"/>
            </w:tcBorders>
            <w:tcMar>
              <w:top w:w="57" w:type="dxa"/>
              <w:bottom w:w="85" w:type="dxa"/>
            </w:tcMar>
          </w:tcPr>
          <w:p w:rsidR="002D7C9B" w:rsidRPr="00BF1E88" w:rsidRDefault="002D7C9B" w:rsidP="002D7C9B">
            <w:pPr>
              <w:spacing w:before="60" w:after="60"/>
              <w:jc w:val="center"/>
              <w:rPr>
                <w:rFonts w:ascii="Times New Roman" w:hAnsi="Times New Roman" w:cs="Times New Roman"/>
                <w:highlight w:val="yellow"/>
              </w:rPr>
            </w:pPr>
            <w:r>
              <w:rPr>
                <w:rFonts w:ascii="Times New Roman" w:hAnsi="Times New Roman" w:cs="Times New Roman"/>
              </w:rPr>
              <w:fldChar w:fldCharType="begin"/>
            </w:r>
            <w:r>
              <w:rPr>
                <w:rFonts w:ascii="Times New Roman" w:hAnsi="Times New Roman" w:cs="Times New Roman"/>
              </w:rPr>
              <w:instrText xml:space="preserve"> ADDIN ZOTERO_ITEM CSL_CITATION {"citationID":"hMxFmczk","properties":{"formattedCitation":"(Mohamad,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6D1A6D">
              <w:rPr>
                <w:rFonts w:ascii="Times New Roman" w:hAnsi="Times New Roman" w:cs="Times New Roman"/>
              </w:rPr>
              <w:t>(Mohamad, 2007)</w:t>
            </w:r>
            <w:r>
              <w:rPr>
                <w:rFonts w:ascii="Times New Roman" w:hAnsi="Times New Roman" w:cs="Times New Roman"/>
              </w:rPr>
              <w:fldChar w:fldCharType="end"/>
            </w:r>
          </w:p>
        </w:tc>
      </w:tr>
      <w:tr w:rsidR="002D7C9B" w:rsidRPr="0076399D" w:rsidTr="002D7C9B">
        <w:tc>
          <w:tcPr>
            <w:tcW w:w="1797" w:type="dxa"/>
            <w:tcBorders>
              <w:top w:val="nil"/>
              <w:left w:val="nil"/>
              <w:bottom w:val="nil"/>
              <w:right w:val="nil"/>
            </w:tcBorders>
            <w:tcMar>
              <w:top w:w="57" w:type="dxa"/>
              <w:bottom w:w="85" w:type="dxa"/>
            </w:tcMar>
          </w:tcPr>
          <w:p w:rsidR="002D7C9B" w:rsidRPr="00BF1E88" w:rsidRDefault="002D7C9B" w:rsidP="002D7C9B">
            <w:pPr>
              <w:spacing w:before="60" w:after="60"/>
              <w:rPr>
                <w:rFonts w:ascii="Times New Roman" w:hAnsi="Times New Roman" w:cs="Times New Roman"/>
              </w:rPr>
            </w:pPr>
            <w:r w:rsidRPr="00BF1E88">
              <w:rPr>
                <w:rFonts w:ascii="Times New Roman" w:hAnsi="Times New Roman" w:cs="Times New Roman"/>
              </w:rPr>
              <w:t>pSRC002</w:t>
            </w:r>
          </w:p>
        </w:tc>
        <w:tc>
          <w:tcPr>
            <w:tcW w:w="4003" w:type="dxa"/>
            <w:tcBorders>
              <w:top w:val="nil"/>
              <w:left w:val="nil"/>
              <w:bottom w:val="nil"/>
              <w:right w:val="nil"/>
            </w:tcBorders>
            <w:tcMar>
              <w:top w:w="57" w:type="dxa"/>
              <w:bottom w:w="85" w:type="dxa"/>
            </w:tcMar>
          </w:tcPr>
          <w:p w:rsidR="002D7C9B" w:rsidRPr="00BF1E88" w:rsidRDefault="002D7C9B" w:rsidP="002D7C9B">
            <w:pPr>
              <w:spacing w:before="60" w:after="60"/>
              <w:rPr>
                <w:rFonts w:ascii="Times New Roman" w:hAnsi="Times New Roman" w:cs="Times New Roman"/>
              </w:rPr>
            </w:pPr>
            <w:r w:rsidRPr="00BF1E88">
              <w:rPr>
                <w:rFonts w:ascii="Times New Roman" w:hAnsi="Times New Roman" w:cs="Times New Roman"/>
                <w:i/>
              </w:rPr>
              <w:t xml:space="preserve">atl </w:t>
            </w:r>
            <w:r w:rsidRPr="00BF1E88">
              <w:rPr>
                <w:rFonts w:ascii="Times New Roman" w:hAnsi="Times New Roman" w:cs="Times New Roman"/>
              </w:rPr>
              <w:t>amidase domain in pET21a</w:t>
            </w:r>
          </w:p>
        </w:tc>
        <w:tc>
          <w:tcPr>
            <w:tcW w:w="2728" w:type="dxa"/>
            <w:tcBorders>
              <w:top w:val="nil"/>
              <w:left w:val="nil"/>
              <w:bottom w:val="nil"/>
              <w:right w:val="nil"/>
            </w:tcBorders>
            <w:tcMar>
              <w:top w:w="57" w:type="dxa"/>
              <w:bottom w:w="85" w:type="dxa"/>
            </w:tcMar>
          </w:tcPr>
          <w:p w:rsidR="002D7C9B" w:rsidRPr="00BF1E88" w:rsidRDefault="002D7C9B" w:rsidP="002D7C9B">
            <w:pPr>
              <w:spacing w:before="60" w:after="60"/>
              <w:jc w:val="center"/>
              <w:rPr>
                <w:rFonts w:ascii="Times New Roman" w:hAnsi="Times New Roman" w:cs="Times New Roman"/>
              </w:rPr>
            </w:pPr>
            <w:r w:rsidRPr="00BF1E88">
              <w:rPr>
                <w:rFonts w:ascii="Times New Roman" w:hAnsi="Times New Roman" w:cs="Times New Roman"/>
              </w:rPr>
              <w:fldChar w:fldCharType="begin"/>
            </w:r>
            <w:r>
              <w:rPr>
                <w:rFonts w:ascii="Times New Roman" w:hAnsi="Times New Roman" w:cs="Times New Roman"/>
              </w:rPr>
              <w:instrText xml:space="preserve"> ADDIN ZOTERO_ITEM CSL_CITATION {"citationID":"1fa0g24k9n","properties":{"formattedCitation":"(Clarke et al., 2006)","plainCitation":"(Clarke et al., 2006)"},"citationItems":[{"id":75,"uris":["http://zotero.org/users/944474/items/T2I9UKF5"],"uri":["http://zotero.org/users/944474/items/T2I9UKF5"],"itemData":{"id":75,"type":"article-journal","title":"Identification of in vivo-expressed antigens of Staphylococcus aureus and their use in vaccinations for protection against nasal carriage","container-title":"The Journal of Infectious Diseases","page":"1098-1108","volume":"193","issue":"8","abstract":"A spectrum of in vivo-expressed Staphylococcus aureus antigens was identified by probing bacteriophage expression libraries of S. aureus with serum samples from infected and uninfected individuals. Eleven recombinant antigenic proteins were produced, and specific antibody titers in a large collection of human serum samples were determined. Significantly increased concentrations of reactive immunoglobulin G (IgG) to 7 antigens were found in serum samples from ill individuals, compared with those in healthy individuals. Significantly higher concentrations of reactive IgG to 4 antigens, including iron-responsive surface determinant (Isd) A and IsdH, were found in serum samples from healthy individuals who were not nasal carriers of S. aureus, compared with those in healthy carriers. Vaccination of cotton rats with IsdA or IsdH protected against nasal carriage. Also, IsdA is involved in adherence of S. aureus to human desquamated nasal epithelial cells and is required for nasal colonization in the cotton rat model. Thus, vaccination with these antigens may prevent S. aureus carriage and reduce the prevalence of human disease.","DOI":"10.1086/501471","note":"PMID: 16544250","journalAbbreviation":"J. Infect. Dis.","author":[{"family":"Clarke","given":"Simon R"},{"family":"Brummell","given":"Kirsten J"},{"family":"Horsburgh","given":"Malcolm J"},{"family":"McDowell","given":"Philip W"},{"family":"Mohamad","given":"Sharifah A Syed"},{"family":"Stapleton","given":"Melanie R"},{"family":"Acevedo","given":"Jorge"},{"family":"Read","given":"Robert C"},{"family":"Day","given":"Nicholas P J"},{"family":"Peacock","given":"Sharon J"},{"family":"Mond","given":"James J"},{"family":"Kokai-Kun","given":"John F"},{"family":"Foster","given":"Simon J"}],"issued":{"year":2006,"month":4,"day":15},"accessed":{"year":2012,"month":3,"day":7},"page-first":"1098"}}],"schema":"https://github.com/citation-style-language/schema/raw/master/csl-citation.json"} </w:instrText>
            </w:r>
            <w:r w:rsidRPr="00BF1E88">
              <w:rPr>
                <w:rFonts w:ascii="Times New Roman" w:hAnsi="Times New Roman" w:cs="Times New Roman"/>
              </w:rPr>
              <w:fldChar w:fldCharType="separate"/>
            </w:r>
            <w:r w:rsidRPr="00BF1E88">
              <w:rPr>
                <w:rFonts w:ascii="Times New Roman" w:hAnsi="Times New Roman" w:cs="Times New Roman"/>
              </w:rPr>
              <w:t xml:space="preserve">(Clarke </w:t>
            </w:r>
            <w:r w:rsidRPr="009C5F2F">
              <w:rPr>
                <w:rFonts w:ascii="Times New Roman" w:hAnsi="Times New Roman" w:cs="Times New Roman"/>
                <w:i/>
              </w:rPr>
              <w:t>et al</w:t>
            </w:r>
            <w:r w:rsidRPr="00BF1E88">
              <w:rPr>
                <w:rFonts w:ascii="Times New Roman" w:hAnsi="Times New Roman" w:cs="Times New Roman"/>
              </w:rPr>
              <w:t>., 2006)</w:t>
            </w:r>
            <w:r w:rsidRPr="00BF1E88">
              <w:rPr>
                <w:rFonts w:ascii="Times New Roman" w:hAnsi="Times New Roman" w:cs="Times New Roman"/>
              </w:rPr>
              <w:fldChar w:fldCharType="end"/>
            </w:r>
          </w:p>
        </w:tc>
      </w:tr>
      <w:tr w:rsidR="002D7C9B" w:rsidRPr="0076399D" w:rsidTr="002D7C9B">
        <w:tc>
          <w:tcPr>
            <w:tcW w:w="1797" w:type="dxa"/>
            <w:tcBorders>
              <w:top w:val="nil"/>
              <w:left w:val="nil"/>
              <w:bottom w:val="single" w:sz="4" w:space="0" w:color="auto"/>
              <w:right w:val="nil"/>
            </w:tcBorders>
            <w:tcMar>
              <w:top w:w="57" w:type="dxa"/>
              <w:bottom w:w="85" w:type="dxa"/>
            </w:tcMar>
          </w:tcPr>
          <w:p w:rsidR="002D7C9B" w:rsidRPr="00C878B9" w:rsidRDefault="002D7C9B" w:rsidP="002D7C9B">
            <w:pPr>
              <w:spacing w:before="60" w:after="60"/>
              <w:rPr>
                <w:rFonts w:ascii="Times New Roman" w:hAnsi="Times New Roman" w:cs="Times New Roman"/>
              </w:rPr>
            </w:pPr>
            <w:r w:rsidRPr="00C878B9">
              <w:rPr>
                <w:rFonts w:ascii="Times New Roman" w:hAnsi="Times New Roman" w:cs="Times New Roman"/>
              </w:rPr>
              <w:t>pSRC003</w:t>
            </w:r>
          </w:p>
        </w:tc>
        <w:tc>
          <w:tcPr>
            <w:tcW w:w="4003" w:type="dxa"/>
            <w:tcBorders>
              <w:top w:val="nil"/>
              <w:left w:val="nil"/>
              <w:bottom w:val="single" w:sz="4" w:space="0" w:color="auto"/>
              <w:right w:val="nil"/>
            </w:tcBorders>
            <w:tcMar>
              <w:top w:w="57" w:type="dxa"/>
              <w:bottom w:w="85" w:type="dxa"/>
            </w:tcMar>
          </w:tcPr>
          <w:p w:rsidR="002D7C9B" w:rsidRPr="00C878B9" w:rsidRDefault="002D7C9B" w:rsidP="002D7C9B">
            <w:pPr>
              <w:spacing w:before="60" w:after="60"/>
              <w:rPr>
                <w:rFonts w:ascii="Times New Roman" w:hAnsi="Times New Roman" w:cs="Times New Roman"/>
              </w:rPr>
            </w:pPr>
            <w:r w:rsidRPr="00C878B9">
              <w:rPr>
                <w:rFonts w:ascii="Times New Roman" w:hAnsi="Times New Roman" w:cs="Times New Roman"/>
                <w:i/>
              </w:rPr>
              <w:t>atl</w:t>
            </w:r>
            <w:r w:rsidRPr="00C878B9">
              <w:rPr>
                <w:rFonts w:ascii="Times New Roman" w:hAnsi="Times New Roman" w:cs="Times New Roman"/>
              </w:rPr>
              <w:t xml:space="preserve"> glucosaminidase domain in pET24d</w:t>
            </w:r>
          </w:p>
        </w:tc>
        <w:tc>
          <w:tcPr>
            <w:tcW w:w="2728" w:type="dxa"/>
            <w:tcBorders>
              <w:top w:val="nil"/>
              <w:left w:val="nil"/>
              <w:bottom w:val="single" w:sz="4" w:space="0" w:color="auto"/>
              <w:right w:val="nil"/>
            </w:tcBorders>
            <w:tcMar>
              <w:top w:w="57" w:type="dxa"/>
              <w:bottom w:w="85" w:type="dxa"/>
            </w:tcMar>
          </w:tcPr>
          <w:p w:rsidR="002D7C9B" w:rsidRPr="00C878B9" w:rsidRDefault="002D7C9B" w:rsidP="002D7C9B">
            <w:pPr>
              <w:spacing w:before="60" w:after="60"/>
              <w:jc w:val="center"/>
              <w:rPr>
                <w:rFonts w:ascii="Times New Roman" w:hAnsi="Times New Roman" w:cs="Times New Roman"/>
              </w:rPr>
            </w:pPr>
            <w:r w:rsidRPr="00C878B9">
              <w:rPr>
                <w:rFonts w:ascii="Times New Roman" w:hAnsi="Times New Roman" w:cs="Times New Roman"/>
              </w:rPr>
              <w:fldChar w:fldCharType="begin"/>
            </w:r>
            <w:r>
              <w:rPr>
                <w:rFonts w:ascii="Times New Roman" w:hAnsi="Times New Roman" w:cs="Times New Roman"/>
              </w:rPr>
              <w:instrText xml:space="preserve"> ADDIN ZOTERO_ITEM CSL_CITATION {"citationID":"LQtFkIxe","properties":{"formattedCitation":"(Clarke et al., 2006)","plainCitation":"(Clarke et al., 2006)"},"citationItems":[{"id":75,"uris":["http://zotero.org/users/944474/items/T2I9UKF5"],"uri":["http://zotero.org/users/944474/items/T2I9UKF5"],"itemData":{"id":75,"type":"article-journal","title":"Identification of in vivo-expressed antigens of Staphylococcus aureus and their use in vaccinations for protection against nasal carriage","container-title":"The Journal of Infectious Diseases","page":"1098-1108","volume":"193","issue":"8","abstract":"A spectrum of in vivo-expressed Staphylococcus aureus antigens was identified by probing bacteriophage expression libraries of S. aureus with serum samples from infected and uninfected individuals. Eleven recombinant antigenic proteins were produced, and specific antibody titers in a large collection of human serum samples were determined. Significantly increased concentrations of reactive immunoglobulin G (IgG) to 7 antigens were found in serum samples from ill individuals, compared with those in healthy individuals. Significantly higher concentrations of reactive IgG to 4 antigens, including iron-responsive surface determinant (Isd) A and IsdH, were found in serum samples from healthy individuals who were not nasal carriers of S. aureus, compared with those in healthy carriers. Vaccination of cotton rats with IsdA or IsdH protected against nasal carriage. Also, IsdA is involved in adherence of S. aureus to human desquamated nasal epithelial cells and is required for nasal colonization in the cotton rat model. Thus, vaccination with these antigens may prevent S. aureus carriage and reduce the prevalence of human disease.","DOI":"10.1086/501471","note":"PMID: 16544250","journalAbbreviation":"J. Infect. Dis.","author":[{"family":"Clarke","given":"Simon R"},{"family":"Brummell","given":"Kirsten J"},{"family":"Horsburgh","given":"Malcolm J"},{"family":"McDowell","given":"Philip W"},{"family":"Mohamad","given":"Sharifah A Syed"},{"family":"Stapleton","given":"Melanie R"},{"family":"Acevedo","given":"Jorge"},{"family":"Read","given":"Robert C"},{"family":"Day","given":"Nicholas P J"},{"family":"Peacock","given":"Sharon J"},{"family":"Mond","given":"James J"},{"family":"Kokai-Kun","given":"John F"},{"family":"Foster","given":"Simon J"}],"issued":{"year":2006,"month":4,"day":15},"accessed":{"year":2012,"month":3,"day":7},"page-first":"1098"}}],"schema":"https://github.com/citation-style-language/schema/raw/master/csl-citation.json"} </w:instrText>
            </w:r>
            <w:r w:rsidRPr="00C878B9">
              <w:rPr>
                <w:rFonts w:ascii="Times New Roman" w:hAnsi="Times New Roman" w:cs="Times New Roman"/>
              </w:rPr>
              <w:fldChar w:fldCharType="separate"/>
            </w:r>
            <w:r w:rsidRPr="00C878B9">
              <w:rPr>
                <w:rFonts w:ascii="Times New Roman" w:hAnsi="Times New Roman" w:cs="Times New Roman"/>
              </w:rPr>
              <w:t xml:space="preserve">(Clarke </w:t>
            </w:r>
            <w:r w:rsidRPr="009C5F2F">
              <w:rPr>
                <w:rFonts w:ascii="Times New Roman" w:hAnsi="Times New Roman" w:cs="Times New Roman"/>
                <w:i/>
              </w:rPr>
              <w:t>et al</w:t>
            </w:r>
            <w:r w:rsidRPr="00C878B9">
              <w:rPr>
                <w:rFonts w:ascii="Times New Roman" w:hAnsi="Times New Roman" w:cs="Times New Roman"/>
              </w:rPr>
              <w:t>., 2006)</w:t>
            </w:r>
            <w:r w:rsidRPr="00C878B9">
              <w:rPr>
                <w:rFonts w:ascii="Times New Roman" w:hAnsi="Times New Roman" w:cs="Times New Roman"/>
              </w:rPr>
              <w:fldChar w:fldCharType="end"/>
            </w:r>
          </w:p>
        </w:tc>
      </w:tr>
    </w:tbl>
    <w:p w:rsidR="002D7C9B" w:rsidRDefault="002D7C9B" w:rsidP="002D7C9B">
      <w:pPr>
        <w:spacing w:after="120" w:line="480" w:lineRule="auto"/>
        <w:rPr>
          <w:rFonts w:ascii="Times New Roman" w:hAnsi="Times New Roman" w:cs="Times New Roman"/>
          <w:b/>
          <w:sz w:val="24"/>
          <w:szCs w:val="24"/>
        </w:rPr>
      </w:pPr>
      <w:r w:rsidRPr="0082306F">
        <w:rPr>
          <w:rFonts w:ascii="Times New Roman" w:hAnsi="Times New Roman" w:cs="Times New Roman"/>
          <w:sz w:val="24"/>
          <w:szCs w:val="24"/>
        </w:rPr>
        <w:t xml:space="preserve">Abbreviations: </w:t>
      </w:r>
      <w:r>
        <w:rPr>
          <w:rFonts w:ascii="Times New Roman" w:hAnsi="Times New Roman" w:cs="Times New Roman"/>
          <w:sz w:val="24"/>
          <w:szCs w:val="24"/>
        </w:rPr>
        <w:t>Chl</w:t>
      </w:r>
      <w:r w:rsidRPr="0082306F">
        <w:rPr>
          <w:rFonts w:ascii="Times New Roman" w:hAnsi="Times New Roman" w:cs="Times New Roman"/>
          <w:sz w:val="24"/>
          <w:szCs w:val="24"/>
          <w:vertAlign w:val="superscript"/>
        </w:rPr>
        <w:t>R</w:t>
      </w:r>
      <w:r w:rsidRPr="0082306F">
        <w:rPr>
          <w:rFonts w:ascii="Times New Roman" w:hAnsi="Times New Roman" w:cs="Times New Roman"/>
          <w:sz w:val="24"/>
          <w:szCs w:val="24"/>
        </w:rPr>
        <w:t>, chloramphenicol resistan</w:t>
      </w:r>
      <w:r>
        <w:rPr>
          <w:rFonts w:ascii="Times New Roman" w:hAnsi="Times New Roman" w:cs="Times New Roman"/>
          <w:sz w:val="24"/>
          <w:szCs w:val="24"/>
        </w:rPr>
        <w:t>ce</w:t>
      </w:r>
      <w:r w:rsidRPr="0082306F">
        <w:rPr>
          <w:rFonts w:ascii="Times New Roman" w:hAnsi="Times New Roman" w:cs="Times New Roman"/>
          <w:sz w:val="24"/>
          <w:szCs w:val="24"/>
        </w:rPr>
        <w:t>; Ery</w:t>
      </w:r>
      <w:r w:rsidRPr="0082306F">
        <w:rPr>
          <w:rFonts w:ascii="Times New Roman" w:hAnsi="Times New Roman" w:cs="Times New Roman"/>
          <w:sz w:val="24"/>
          <w:szCs w:val="24"/>
          <w:vertAlign w:val="superscript"/>
        </w:rPr>
        <w:t>R</w:t>
      </w:r>
      <w:r w:rsidRPr="0082306F">
        <w:rPr>
          <w:rFonts w:ascii="Times New Roman" w:hAnsi="Times New Roman" w:cs="Times New Roman"/>
          <w:sz w:val="24"/>
          <w:szCs w:val="24"/>
        </w:rPr>
        <w:t>, erythromycin resistan</w:t>
      </w:r>
      <w:r>
        <w:rPr>
          <w:rFonts w:ascii="Times New Roman" w:hAnsi="Times New Roman" w:cs="Times New Roman"/>
          <w:sz w:val="24"/>
          <w:szCs w:val="24"/>
        </w:rPr>
        <w:t>ce</w:t>
      </w:r>
      <w:r w:rsidRPr="0082306F">
        <w:rPr>
          <w:rFonts w:ascii="Times New Roman" w:hAnsi="Times New Roman" w:cs="Times New Roman"/>
          <w:sz w:val="24"/>
          <w:szCs w:val="24"/>
        </w:rPr>
        <w:t>; Kan</w:t>
      </w:r>
      <w:r w:rsidRPr="0082306F">
        <w:rPr>
          <w:rFonts w:ascii="Times New Roman" w:hAnsi="Times New Roman" w:cs="Times New Roman"/>
          <w:sz w:val="24"/>
          <w:szCs w:val="24"/>
          <w:vertAlign w:val="superscript"/>
        </w:rPr>
        <w:t>R</w:t>
      </w:r>
      <w:r w:rsidRPr="0082306F">
        <w:rPr>
          <w:rFonts w:ascii="Times New Roman" w:hAnsi="Times New Roman" w:cs="Times New Roman"/>
          <w:sz w:val="24"/>
          <w:szCs w:val="24"/>
        </w:rPr>
        <w:t>, kanamycin resistan</w:t>
      </w:r>
      <w:r>
        <w:rPr>
          <w:rFonts w:ascii="Times New Roman" w:hAnsi="Times New Roman" w:cs="Times New Roman"/>
          <w:sz w:val="24"/>
          <w:szCs w:val="24"/>
        </w:rPr>
        <w:t>ce</w:t>
      </w:r>
      <w:r w:rsidRPr="0082306F">
        <w:rPr>
          <w:rFonts w:ascii="Times New Roman" w:hAnsi="Times New Roman" w:cs="Times New Roman"/>
          <w:sz w:val="24"/>
          <w:szCs w:val="24"/>
        </w:rPr>
        <w:t>; Spc</w:t>
      </w:r>
      <w:r w:rsidRPr="0082306F">
        <w:rPr>
          <w:rFonts w:ascii="Times New Roman" w:hAnsi="Times New Roman" w:cs="Times New Roman"/>
          <w:sz w:val="24"/>
          <w:szCs w:val="24"/>
          <w:vertAlign w:val="superscript"/>
        </w:rPr>
        <w:t>R</w:t>
      </w:r>
      <w:r w:rsidRPr="0082306F">
        <w:rPr>
          <w:rFonts w:ascii="Times New Roman" w:hAnsi="Times New Roman" w:cs="Times New Roman"/>
          <w:sz w:val="24"/>
          <w:szCs w:val="24"/>
        </w:rPr>
        <w:t>, spectinomycin resistan</w:t>
      </w:r>
      <w:r>
        <w:rPr>
          <w:rFonts w:ascii="Times New Roman" w:hAnsi="Times New Roman" w:cs="Times New Roman"/>
          <w:sz w:val="24"/>
          <w:szCs w:val="24"/>
        </w:rPr>
        <w:t>ce</w:t>
      </w:r>
      <w:r w:rsidRPr="0082306F">
        <w:rPr>
          <w:rFonts w:ascii="Times New Roman" w:hAnsi="Times New Roman" w:cs="Times New Roman"/>
          <w:sz w:val="24"/>
          <w:szCs w:val="24"/>
        </w:rPr>
        <w:t>; Tet</w:t>
      </w:r>
      <w:r w:rsidRPr="0082306F">
        <w:rPr>
          <w:rFonts w:ascii="Times New Roman" w:hAnsi="Times New Roman" w:cs="Times New Roman"/>
          <w:sz w:val="24"/>
          <w:szCs w:val="24"/>
          <w:vertAlign w:val="superscript"/>
        </w:rPr>
        <w:t>R</w:t>
      </w:r>
      <w:r w:rsidRPr="0082306F">
        <w:rPr>
          <w:rFonts w:ascii="Times New Roman" w:hAnsi="Times New Roman" w:cs="Times New Roman"/>
          <w:sz w:val="24"/>
          <w:szCs w:val="24"/>
        </w:rPr>
        <w:t>, tetracycline resistan</w:t>
      </w:r>
      <w:r>
        <w:rPr>
          <w:rFonts w:ascii="Times New Roman" w:hAnsi="Times New Roman" w:cs="Times New Roman"/>
          <w:sz w:val="24"/>
          <w:szCs w:val="24"/>
        </w:rPr>
        <w:t>ce</w:t>
      </w:r>
      <w:r w:rsidRPr="0082306F">
        <w:rPr>
          <w:rFonts w:ascii="Times New Roman" w:hAnsi="Times New Roman" w:cs="Times New Roman"/>
          <w:sz w:val="24"/>
          <w:szCs w:val="24"/>
        </w:rPr>
        <w:t>; Tmn</w:t>
      </w:r>
      <w:r w:rsidRPr="0082306F">
        <w:rPr>
          <w:rFonts w:ascii="Times New Roman" w:hAnsi="Times New Roman" w:cs="Times New Roman"/>
          <w:sz w:val="24"/>
          <w:szCs w:val="24"/>
          <w:vertAlign w:val="superscript"/>
        </w:rPr>
        <w:t>R</w:t>
      </w:r>
      <w:r>
        <w:rPr>
          <w:rFonts w:ascii="Times New Roman" w:hAnsi="Times New Roman" w:cs="Times New Roman"/>
          <w:sz w:val="24"/>
          <w:szCs w:val="24"/>
        </w:rPr>
        <w:t>, minocycline resistance</w:t>
      </w:r>
      <w:r w:rsidRPr="0082306F">
        <w:rPr>
          <w:rFonts w:ascii="Times New Roman" w:hAnsi="Times New Roman" w:cs="Times New Roman"/>
          <w:sz w:val="24"/>
          <w:szCs w:val="24"/>
        </w:rPr>
        <w:t>.</w:t>
      </w:r>
      <w:r>
        <w:rPr>
          <w:rFonts w:ascii="Times New Roman" w:hAnsi="Times New Roman" w:cs="Times New Roman"/>
          <w:b/>
          <w:sz w:val="24"/>
          <w:szCs w:val="24"/>
        </w:rPr>
        <w:br w:type="page"/>
      </w:r>
    </w:p>
    <w:p w:rsidR="002D7C9B" w:rsidRPr="0076399D" w:rsidRDefault="002D7C9B" w:rsidP="002D7C9B">
      <w:pPr>
        <w:jc w:val="both"/>
        <w:rPr>
          <w:rFonts w:ascii="Times New Roman" w:hAnsi="Times New Roman" w:cs="Times New Roman"/>
          <w:b/>
          <w:sz w:val="24"/>
          <w:szCs w:val="24"/>
        </w:rPr>
      </w:pPr>
      <w:r w:rsidRPr="0076399D">
        <w:rPr>
          <w:rFonts w:ascii="Times New Roman" w:hAnsi="Times New Roman" w:cs="Times New Roman"/>
          <w:b/>
          <w:sz w:val="24"/>
          <w:szCs w:val="24"/>
        </w:rPr>
        <w:lastRenderedPageBreak/>
        <w:t>Table 2.</w:t>
      </w:r>
      <w:r>
        <w:rPr>
          <w:rFonts w:ascii="Times New Roman" w:hAnsi="Times New Roman" w:cs="Times New Roman"/>
          <w:b/>
          <w:sz w:val="24"/>
          <w:szCs w:val="24"/>
        </w:rPr>
        <w:t>6</w:t>
      </w:r>
      <w:r w:rsidRPr="0076399D">
        <w:rPr>
          <w:rFonts w:ascii="Times New Roman" w:hAnsi="Times New Roman" w:cs="Times New Roman"/>
          <w:b/>
          <w:sz w:val="24"/>
          <w:szCs w:val="24"/>
        </w:rPr>
        <w:t xml:space="preserve"> Stock solutions and concentrations</w:t>
      </w:r>
    </w:p>
    <w:tbl>
      <w:tblPr>
        <w:tblStyle w:val="TableGrid"/>
        <w:tblW w:w="8528" w:type="dxa"/>
        <w:tblLayout w:type="fixed"/>
        <w:tblLook w:val="04A0"/>
      </w:tblPr>
      <w:tblGrid>
        <w:gridCol w:w="3794"/>
        <w:gridCol w:w="1843"/>
        <w:gridCol w:w="1417"/>
        <w:gridCol w:w="1474"/>
      </w:tblGrid>
      <w:tr w:rsidR="002D7C9B" w:rsidRPr="0076399D" w:rsidTr="002D7C9B">
        <w:tc>
          <w:tcPr>
            <w:tcW w:w="3794" w:type="dxa"/>
            <w:tcBorders>
              <w:left w:val="nil"/>
              <w:bottom w:val="single" w:sz="4" w:space="0" w:color="auto"/>
              <w:right w:val="nil"/>
            </w:tcBorders>
            <w:tcMar>
              <w:top w:w="57" w:type="dxa"/>
              <w:left w:w="0" w:type="dxa"/>
              <w:bottom w:w="85" w:type="dxa"/>
              <w:right w:w="284" w:type="dxa"/>
            </w:tcMar>
          </w:tcPr>
          <w:p w:rsidR="002D7C9B" w:rsidRPr="0076399D" w:rsidRDefault="002D7C9B" w:rsidP="002D7C9B">
            <w:pPr>
              <w:jc w:val="center"/>
              <w:rPr>
                <w:rFonts w:ascii="Times New Roman" w:hAnsi="Times New Roman" w:cs="Times New Roman"/>
                <w:b/>
              </w:rPr>
            </w:pPr>
            <w:r w:rsidRPr="0076399D">
              <w:rPr>
                <w:rFonts w:ascii="Times New Roman" w:hAnsi="Times New Roman" w:cs="Times New Roman"/>
                <w:b/>
              </w:rPr>
              <w:t>Stock solution</w:t>
            </w:r>
          </w:p>
        </w:tc>
        <w:tc>
          <w:tcPr>
            <w:tcW w:w="1843" w:type="dxa"/>
            <w:tcBorders>
              <w:left w:val="nil"/>
              <w:bottom w:val="single" w:sz="4" w:space="0" w:color="auto"/>
              <w:right w:val="nil"/>
            </w:tcBorders>
            <w:tcMar>
              <w:top w:w="57" w:type="dxa"/>
              <w:bottom w:w="85" w:type="dxa"/>
            </w:tcMar>
          </w:tcPr>
          <w:p w:rsidR="002D7C9B" w:rsidRPr="0076399D" w:rsidRDefault="002D7C9B" w:rsidP="002D7C9B">
            <w:pPr>
              <w:jc w:val="center"/>
              <w:rPr>
                <w:rFonts w:ascii="Times New Roman" w:hAnsi="Times New Roman" w:cs="Times New Roman"/>
                <w:b/>
              </w:rPr>
            </w:pPr>
            <w:r w:rsidRPr="0076399D">
              <w:rPr>
                <w:rFonts w:ascii="Times New Roman" w:hAnsi="Times New Roman" w:cs="Times New Roman"/>
                <w:b/>
              </w:rPr>
              <w:t>Solvent</w:t>
            </w:r>
          </w:p>
        </w:tc>
        <w:tc>
          <w:tcPr>
            <w:tcW w:w="1417" w:type="dxa"/>
            <w:tcBorders>
              <w:left w:val="nil"/>
              <w:bottom w:val="single" w:sz="4" w:space="0" w:color="auto"/>
              <w:right w:val="nil"/>
            </w:tcBorders>
            <w:tcMar>
              <w:top w:w="57" w:type="dxa"/>
              <w:left w:w="0" w:type="dxa"/>
              <w:bottom w:w="85" w:type="dxa"/>
              <w:right w:w="0" w:type="dxa"/>
            </w:tcMar>
          </w:tcPr>
          <w:p w:rsidR="002D7C9B" w:rsidRPr="0076399D" w:rsidRDefault="002D7C9B" w:rsidP="002D7C9B">
            <w:pPr>
              <w:jc w:val="center"/>
              <w:rPr>
                <w:rFonts w:ascii="Times New Roman" w:hAnsi="Times New Roman" w:cs="Times New Roman"/>
                <w:b/>
              </w:rPr>
            </w:pPr>
            <w:r w:rsidRPr="0076399D">
              <w:rPr>
                <w:rFonts w:ascii="Times New Roman" w:hAnsi="Times New Roman" w:cs="Times New Roman"/>
                <w:b/>
              </w:rPr>
              <w:t>Concentration</w:t>
            </w:r>
          </w:p>
        </w:tc>
        <w:tc>
          <w:tcPr>
            <w:tcW w:w="1474" w:type="dxa"/>
            <w:tcBorders>
              <w:left w:val="nil"/>
              <w:bottom w:val="single" w:sz="4" w:space="0" w:color="auto"/>
              <w:right w:val="nil"/>
            </w:tcBorders>
            <w:tcMar>
              <w:top w:w="57" w:type="dxa"/>
              <w:left w:w="0" w:type="dxa"/>
              <w:bottom w:w="85" w:type="dxa"/>
              <w:right w:w="0" w:type="dxa"/>
            </w:tcMar>
          </w:tcPr>
          <w:p w:rsidR="002D7C9B" w:rsidRPr="0076399D" w:rsidRDefault="002D7C9B" w:rsidP="002D7C9B">
            <w:pPr>
              <w:jc w:val="center"/>
              <w:rPr>
                <w:rFonts w:ascii="Times New Roman" w:hAnsi="Times New Roman" w:cs="Times New Roman"/>
                <w:b/>
              </w:rPr>
            </w:pPr>
            <w:r w:rsidRPr="0076399D">
              <w:rPr>
                <w:rFonts w:ascii="Times New Roman" w:hAnsi="Times New Roman" w:cs="Times New Roman"/>
                <w:b/>
              </w:rPr>
              <w:t>Storage</w:t>
            </w:r>
          </w:p>
        </w:tc>
      </w:tr>
      <w:tr w:rsidR="002D7C9B" w:rsidRPr="0076399D" w:rsidTr="002D7C9B">
        <w:tc>
          <w:tcPr>
            <w:tcW w:w="3794" w:type="dxa"/>
            <w:tcBorders>
              <w:left w:val="nil"/>
              <w:bottom w:val="nil"/>
              <w:right w:val="nil"/>
            </w:tcBorders>
            <w:tcMar>
              <w:top w:w="57" w:type="dxa"/>
              <w:left w:w="0" w:type="dxa"/>
              <w:bottom w:w="85" w:type="dxa"/>
              <w:right w:w="284" w:type="dxa"/>
            </w:tcMar>
          </w:tcPr>
          <w:p w:rsidR="002D7C9B" w:rsidRPr="003A338A" w:rsidRDefault="002D7C9B" w:rsidP="002D7C9B">
            <w:pPr>
              <w:spacing w:after="120"/>
              <w:jc w:val="both"/>
              <w:rPr>
                <w:rFonts w:ascii="Times New Roman" w:hAnsi="Times New Roman" w:cs="Times New Roman"/>
              </w:rPr>
            </w:pPr>
            <w:r>
              <w:rPr>
                <w:rFonts w:ascii="Times New Roman" w:hAnsi="Times New Roman" w:cs="Times New Roman"/>
              </w:rPr>
              <w:t>Alexa Fluor</w:t>
            </w:r>
            <w:r w:rsidRPr="0076399D">
              <w:rPr>
                <w:rFonts w:ascii="Times New Roman" w:hAnsi="Times New Roman" w:cs="Times New Roman"/>
              </w:rPr>
              <w:t>®</w:t>
            </w:r>
            <w:r>
              <w:rPr>
                <w:rFonts w:ascii="Times New Roman" w:hAnsi="Times New Roman" w:cs="Times New Roman"/>
              </w:rPr>
              <w:t xml:space="preserve"> 488 hydroxylamine (Molecular probes A30629)</w:t>
            </w:r>
          </w:p>
        </w:tc>
        <w:tc>
          <w:tcPr>
            <w:tcW w:w="1843" w:type="dxa"/>
            <w:tcBorders>
              <w:left w:val="nil"/>
              <w:bottom w:val="nil"/>
              <w:right w:val="nil"/>
            </w:tcBorders>
            <w:tcMar>
              <w:top w:w="57" w:type="dxa"/>
              <w:bottom w:w="85" w:type="dxa"/>
            </w:tcMar>
          </w:tcPr>
          <w:p w:rsidR="002D7C9B" w:rsidRPr="0076399D" w:rsidRDefault="002D7C9B" w:rsidP="002D7C9B">
            <w:pPr>
              <w:spacing w:after="120"/>
              <w:jc w:val="both"/>
              <w:rPr>
                <w:rFonts w:ascii="Times New Roman" w:hAnsi="Times New Roman" w:cs="Times New Roman"/>
              </w:rPr>
            </w:pPr>
            <w:r>
              <w:rPr>
                <w:rFonts w:ascii="Times New Roman" w:hAnsi="Times New Roman" w:cs="Times New Roman"/>
              </w:rPr>
              <w:t>dH</w:t>
            </w:r>
            <w:r w:rsidRPr="009167B5">
              <w:rPr>
                <w:rFonts w:ascii="Times New Roman" w:hAnsi="Times New Roman" w:cs="Times New Roman"/>
                <w:vertAlign w:val="subscript"/>
              </w:rPr>
              <w:t>2</w:t>
            </w:r>
            <w:r>
              <w:rPr>
                <w:rFonts w:ascii="Times New Roman" w:hAnsi="Times New Roman" w:cs="Times New Roman"/>
              </w:rPr>
              <w:t>O</w:t>
            </w:r>
          </w:p>
        </w:tc>
        <w:tc>
          <w:tcPr>
            <w:tcW w:w="1417" w:type="dxa"/>
            <w:tcBorders>
              <w:left w:val="nil"/>
              <w:bottom w:val="nil"/>
              <w:right w:val="nil"/>
            </w:tcBorders>
            <w:tcMar>
              <w:top w:w="57" w:type="dxa"/>
              <w:bottom w:w="85" w:type="dxa"/>
            </w:tcMar>
          </w:tcPr>
          <w:p w:rsidR="002D7C9B" w:rsidRPr="0076399D" w:rsidRDefault="002D7C9B" w:rsidP="002D7C9B">
            <w:pPr>
              <w:spacing w:after="120"/>
              <w:jc w:val="both"/>
              <w:rPr>
                <w:rFonts w:ascii="Times New Roman" w:hAnsi="Times New Roman" w:cs="Times New Roman"/>
              </w:rPr>
            </w:pPr>
            <w:r>
              <w:rPr>
                <w:rFonts w:ascii="Times New Roman" w:hAnsi="Times New Roman" w:cs="Times New Roman"/>
              </w:rPr>
              <w:t xml:space="preserve">1 </w:t>
            </w:r>
            <w:r w:rsidRPr="00A77109">
              <w:rPr>
                <w:rFonts w:ascii="Times New Roman" w:hAnsi="Times New Roman" w:cs="Times New Roman"/>
              </w:rPr>
              <w:t>mg ml</w:t>
            </w:r>
            <w:r w:rsidRPr="00A77109">
              <w:rPr>
                <w:rFonts w:ascii="Times New Roman" w:hAnsi="Times New Roman" w:cs="Times New Roman"/>
                <w:vertAlign w:val="superscript"/>
              </w:rPr>
              <w:t>-1</w:t>
            </w:r>
          </w:p>
        </w:tc>
        <w:tc>
          <w:tcPr>
            <w:tcW w:w="1474" w:type="dxa"/>
            <w:tcBorders>
              <w:left w:val="nil"/>
              <w:bottom w:val="nil"/>
              <w:right w:val="nil"/>
            </w:tcBorders>
            <w:tcMar>
              <w:top w:w="57" w:type="dxa"/>
              <w:left w:w="0" w:type="dxa"/>
              <w:bottom w:w="85" w:type="dxa"/>
              <w:right w:w="0" w:type="dxa"/>
            </w:tcMar>
          </w:tcPr>
          <w:p w:rsidR="002D7C9B" w:rsidRPr="0076399D" w:rsidRDefault="002D7C9B" w:rsidP="002D7C9B">
            <w:pPr>
              <w:spacing w:after="120"/>
              <w:jc w:val="both"/>
              <w:rPr>
                <w:rFonts w:ascii="Times New Roman" w:hAnsi="Times New Roman" w:cs="Times New Roman"/>
              </w:rPr>
            </w:pPr>
            <w:r>
              <w:rPr>
                <w:rFonts w:ascii="Times New Roman" w:hAnsi="Times New Roman" w:cs="Times New Roman"/>
              </w:rPr>
              <w:t xml:space="preserve">-20 </w:t>
            </w:r>
            <w:r w:rsidRPr="0076399D">
              <w:rPr>
                <w:rFonts w:ascii="Times New Roman" w:hAnsi="Times New Roman" w:cs="Times New Roman"/>
              </w:rPr>
              <w:t>°C in dark</w:t>
            </w:r>
          </w:p>
        </w:tc>
      </w:tr>
      <w:tr w:rsidR="002D7C9B" w:rsidRPr="0076399D" w:rsidTr="002D7C9B">
        <w:tc>
          <w:tcPr>
            <w:tcW w:w="3794" w:type="dxa"/>
            <w:tcBorders>
              <w:top w:val="nil"/>
              <w:left w:val="nil"/>
              <w:bottom w:val="nil"/>
              <w:right w:val="nil"/>
            </w:tcBorders>
            <w:tcMar>
              <w:top w:w="57" w:type="dxa"/>
              <w:left w:w="0" w:type="dxa"/>
              <w:bottom w:w="85" w:type="dxa"/>
              <w:right w:w="284" w:type="dxa"/>
            </w:tcMar>
          </w:tcPr>
          <w:p w:rsidR="002D7C9B" w:rsidRPr="0076399D" w:rsidRDefault="002D7C9B" w:rsidP="002D7C9B">
            <w:pPr>
              <w:spacing w:after="120"/>
              <w:jc w:val="both"/>
              <w:rPr>
                <w:rFonts w:ascii="Times New Roman" w:hAnsi="Times New Roman" w:cs="Times New Roman"/>
              </w:rPr>
            </w:pPr>
            <w:r>
              <w:rPr>
                <w:rFonts w:ascii="Times New Roman" w:hAnsi="Times New Roman" w:cs="Times New Roman"/>
              </w:rPr>
              <w:t>BODIPY</w:t>
            </w:r>
            <w:r w:rsidRPr="0076399D">
              <w:rPr>
                <w:rFonts w:ascii="Times New Roman" w:hAnsi="Times New Roman" w:cs="Times New Roman"/>
              </w:rPr>
              <w:t>®</w:t>
            </w:r>
            <w:r>
              <w:rPr>
                <w:rFonts w:ascii="Times New Roman" w:hAnsi="Times New Roman" w:cs="Times New Roman"/>
              </w:rPr>
              <w:t> FL succinimidyl ester (Molecular probes D6140)</w:t>
            </w:r>
          </w:p>
        </w:tc>
        <w:tc>
          <w:tcPr>
            <w:tcW w:w="1843" w:type="dxa"/>
            <w:tcBorders>
              <w:top w:val="nil"/>
              <w:left w:val="nil"/>
              <w:bottom w:val="nil"/>
              <w:right w:val="nil"/>
            </w:tcBorders>
            <w:tcMar>
              <w:top w:w="57" w:type="dxa"/>
              <w:bottom w:w="85" w:type="dxa"/>
            </w:tcMar>
          </w:tcPr>
          <w:p w:rsidR="002D7C9B" w:rsidRPr="0076399D" w:rsidRDefault="002D7C9B" w:rsidP="002D7C9B">
            <w:pPr>
              <w:spacing w:after="120"/>
              <w:jc w:val="both"/>
              <w:rPr>
                <w:rFonts w:ascii="Times New Roman" w:hAnsi="Times New Roman" w:cs="Times New Roman"/>
              </w:rPr>
            </w:pPr>
            <w:r>
              <w:rPr>
                <w:rFonts w:ascii="Times New Roman" w:hAnsi="Times New Roman" w:cs="Times New Roman"/>
              </w:rPr>
              <w:t>DMSO</w:t>
            </w:r>
          </w:p>
        </w:tc>
        <w:tc>
          <w:tcPr>
            <w:tcW w:w="1417" w:type="dxa"/>
            <w:tcBorders>
              <w:top w:val="nil"/>
              <w:left w:val="nil"/>
              <w:bottom w:val="nil"/>
              <w:right w:val="nil"/>
            </w:tcBorders>
            <w:tcMar>
              <w:top w:w="57" w:type="dxa"/>
              <w:bottom w:w="85" w:type="dxa"/>
            </w:tcMar>
          </w:tcPr>
          <w:p w:rsidR="002D7C9B" w:rsidRPr="0076399D" w:rsidRDefault="002D7C9B" w:rsidP="002D7C9B">
            <w:pPr>
              <w:spacing w:after="120"/>
              <w:jc w:val="both"/>
              <w:rPr>
                <w:rFonts w:ascii="Times New Roman" w:hAnsi="Times New Roman" w:cs="Times New Roman"/>
              </w:rPr>
            </w:pPr>
            <w:r>
              <w:rPr>
                <w:rFonts w:ascii="Times New Roman" w:hAnsi="Times New Roman" w:cs="Times New Roman"/>
              </w:rPr>
              <w:t xml:space="preserve">1.25 </w:t>
            </w:r>
            <w:r w:rsidRPr="00A77109">
              <w:rPr>
                <w:rFonts w:ascii="Times New Roman" w:hAnsi="Times New Roman" w:cs="Times New Roman"/>
              </w:rPr>
              <w:t>mg ml</w:t>
            </w:r>
            <w:r w:rsidRPr="00A77109">
              <w:rPr>
                <w:rFonts w:ascii="Times New Roman" w:hAnsi="Times New Roman" w:cs="Times New Roman"/>
                <w:vertAlign w:val="superscript"/>
              </w:rPr>
              <w:t>-1</w:t>
            </w:r>
          </w:p>
        </w:tc>
        <w:tc>
          <w:tcPr>
            <w:tcW w:w="1474" w:type="dxa"/>
            <w:tcBorders>
              <w:top w:val="nil"/>
              <w:left w:val="nil"/>
              <w:bottom w:val="nil"/>
              <w:right w:val="nil"/>
            </w:tcBorders>
            <w:tcMar>
              <w:top w:w="57" w:type="dxa"/>
              <w:left w:w="0" w:type="dxa"/>
              <w:bottom w:w="85" w:type="dxa"/>
              <w:right w:w="0" w:type="dxa"/>
            </w:tcMar>
          </w:tcPr>
          <w:p w:rsidR="002D7C9B" w:rsidRPr="0076399D" w:rsidRDefault="002D7C9B" w:rsidP="002D7C9B">
            <w:pPr>
              <w:spacing w:after="120"/>
              <w:jc w:val="both"/>
              <w:rPr>
                <w:rFonts w:ascii="Times New Roman" w:hAnsi="Times New Roman" w:cs="Times New Roman"/>
              </w:rPr>
            </w:pPr>
            <w:r>
              <w:rPr>
                <w:rFonts w:ascii="Times New Roman" w:hAnsi="Times New Roman" w:cs="Times New Roman"/>
              </w:rPr>
              <w:t xml:space="preserve">-20 </w:t>
            </w:r>
            <w:r w:rsidRPr="0076399D">
              <w:rPr>
                <w:rFonts w:ascii="Times New Roman" w:hAnsi="Times New Roman" w:cs="Times New Roman"/>
              </w:rPr>
              <w:t>°C in dark</w:t>
            </w:r>
          </w:p>
        </w:tc>
      </w:tr>
      <w:tr w:rsidR="002D7C9B" w:rsidRPr="0076399D" w:rsidTr="002D7C9B">
        <w:tc>
          <w:tcPr>
            <w:tcW w:w="3794" w:type="dxa"/>
            <w:tcBorders>
              <w:top w:val="nil"/>
              <w:left w:val="nil"/>
              <w:bottom w:val="nil"/>
              <w:right w:val="nil"/>
            </w:tcBorders>
            <w:tcMar>
              <w:top w:w="57" w:type="dxa"/>
              <w:left w:w="0" w:type="dxa"/>
              <w:bottom w:w="85" w:type="dxa"/>
              <w:right w:w="284" w:type="dxa"/>
            </w:tcMar>
          </w:tcPr>
          <w:p w:rsidR="002D7C9B" w:rsidRPr="0076399D" w:rsidRDefault="002D7C9B" w:rsidP="002D7C9B">
            <w:pPr>
              <w:spacing w:after="120"/>
              <w:jc w:val="both"/>
              <w:rPr>
                <w:rFonts w:ascii="Times New Roman" w:hAnsi="Times New Roman" w:cs="Times New Roman"/>
              </w:rPr>
            </w:pPr>
            <w:r>
              <w:rPr>
                <w:rFonts w:ascii="Times New Roman" w:hAnsi="Times New Roman" w:cs="Times New Roman"/>
              </w:rPr>
              <w:t>Mutanolysin</w:t>
            </w:r>
          </w:p>
        </w:tc>
        <w:tc>
          <w:tcPr>
            <w:tcW w:w="1843" w:type="dxa"/>
            <w:tcBorders>
              <w:top w:val="nil"/>
              <w:left w:val="nil"/>
              <w:bottom w:val="nil"/>
              <w:right w:val="nil"/>
            </w:tcBorders>
            <w:tcMar>
              <w:top w:w="57" w:type="dxa"/>
              <w:bottom w:w="85" w:type="dxa"/>
            </w:tcMar>
          </w:tcPr>
          <w:p w:rsidR="002D7C9B" w:rsidRPr="0076399D" w:rsidRDefault="002D7C9B" w:rsidP="002D7C9B">
            <w:pPr>
              <w:spacing w:after="120"/>
              <w:jc w:val="both"/>
              <w:rPr>
                <w:rFonts w:ascii="Times New Roman" w:hAnsi="Times New Roman" w:cs="Times New Roman"/>
              </w:rPr>
            </w:pPr>
            <w:r>
              <w:rPr>
                <w:rFonts w:ascii="Times New Roman" w:hAnsi="Times New Roman" w:cs="Times New Roman"/>
              </w:rPr>
              <w:t>100 mM sodium phosphate pH 5.5</w:t>
            </w:r>
          </w:p>
        </w:tc>
        <w:tc>
          <w:tcPr>
            <w:tcW w:w="1417" w:type="dxa"/>
            <w:tcBorders>
              <w:top w:val="nil"/>
              <w:left w:val="nil"/>
              <w:bottom w:val="nil"/>
              <w:right w:val="nil"/>
            </w:tcBorders>
            <w:tcMar>
              <w:top w:w="57" w:type="dxa"/>
              <w:bottom w:w="85" w:type="dxa"/>
            </w:tcMar>
          </w:tcPr>
          <w:p w:rsidR="002D7C9B" w:rsidRPr="0076399D" w:rsidRDefault="002D7C9B" w:rsidP="002D7C9B">
            <w:pPr>
              <w:spacing w:after="120"/>
              <w:jc w:val="both"/>
              <w:rPr>
                <w:rFonts w:ascii="Times New Roman" w:hAnsi="Times New Roman" w:cs="Times New Roman"/>
              </w:rPr>
            </w:pPr>
            <w:r>
              <w:rPr>
                <w:rFonts w:ascii="Times New Roman" w:hAnsi="Times New Roman" w:cs="Times New Roman"/>
              </w:rPr>
              <w:t xml:space="preserve">20 </w:t>
            </w:r>
            <w:r w:rsidRPr="00A77109">
              <w:rPr>
                <w:rFonts w:ascii="Times New Roman" w:hAnsi="Times New Roman" w:cs="Times New Roman"/>
              </w:rPr>
              <w:t>mg ml</w:t>
            </w:r>
            <w:r w:rsidRPr="00A77109">
              <w:rPr>
                <w:rFonts w:ascii="Times New Roman" w:hAnsi="Times New Roman" w:cs="Times New Roman"/>
                <w:vertAlign w:val="superscript"/>
              </w:rPr>
              <w:t>-1</w:t>
            </w:r>
          </w:p>
        </w:tc>
        <w:tc>
          <w:tcPr>
            <w:tcW w:w="1474" w:type="dxa"/>
            <w:tcBorders>
              <w:top w:val="nil"/>
              <w:left w:val="nil"/>
              <w:bottom w:val="nil"/>
              <w:right w:val="nil"/>
            </w:tcBorders>
            <w:tcMar>
              <w:top w:w="57" w:type="dxa"/>
              <w:left w:w="0" w:type="dxa"/>
              <w:bottom w:w="85" w:type="dxa"/>
              <w:right w:w="0" w:type="dxa"/>
            </w:tcMar>
          </w:tcPr>
          <w:p w:rsidR="002D7C9B" w:rsidRPr="0076399D" w:rsidRDefault="002D7C9B" w:rsidP="002D7C9B">
            <w:pPr>
              <w:spacing w:after="120"/>
              <w:jc w:val="both"/>
              <w:rPr>
                <w:rFonts w:ascii="Times New Roman" w:hAnsi="Times New Roman" w:cs="Times New Roman"/>
              </w:rPr>
            </w:pPr>
            <w:r>
              <w:rPr>
                <w:rFonts w:ascii="Times New Roman" w:hAnsi="Times New Roman" w:cs="Times New Roman"/>
              </w:rPr>
              <w:t xml:space="preserve">-20 </w:t>
            </w:r>
            <w:r w:rsidRPr="0076399D">
              <w:rPr>
                <w:rFonts w:ascii="Times New Roman" w:hAnsi="Times New Roman" w:cs="Times New Roman"/>
              </w:rPr>
              <w:t>°C</w:t>
            </w:r>
          </w:p>
        </w:tc>
      </w:tr>
      <w:tr w:rsidR="002D7C9B" w:rsidRPr="0076399D" w:rsidTr="002D7C9B">
        <w:tc>
          <w:tcPr>
            <w:tcW w:w="3794" w:type="dxa"/>
            <w:tcBorders>
              <w:top w:val="nil"/>
              <w:left w:val="nil"/>
              <w:bottom w:val="nil"/>
              <w:right w:val="nil"/>
            </w:tcBorders>
            <w:tcMar>
              <w:top w:w="57" w:type="dxa"/>
              <w:left w:w="0" w:type="dxa"/>
              <w:bottom w:w="85" w:type="dxa"/>
              <w:right w:w="284" w:type="dxa"/>
            </w:tcMar>
          </w:tcPr>
          <w:p w:rsidR="002D7C9B" w:rsidRPr="0076399D" w:rsidRDefault="002D7C9B" w:rsidP="002D7C9B">
            <w:pPr>
              <w:spacing w:after="120"/>
              <w:jc w:val="both"/>
              <w:rPr>
                <w:rFonts w:ascii="Times New Roman" w:hAnsi="Times New Roman" w:cs="Times New Roman"/>
              </w:rPr>
            </w:pPr>
            <w:r w:rsidRPr="0076399D">
              <w:rPr>
                <w:rFonts w:ascii="Times New Roman" w:hAnsi="Times New Roman" w:cs="Times New Roman"/>
              </w:rPr>
              <w:t>Glutaraldehyde</w:t>
            </w:r>
          </w:p>
        </w:tc>
        <w:tc>
          <w:tcPr>
            <w:tcW w:w="1843" w:type="dxa"/>
            <w:tcBorders>
              <w:top w:val="nil"/>
              <w:left w:val="nil"/>
              <w:bottom w:val="nil"/>
              <w:right w:val="nil"/>
            </w:tcBorders>
            <w:tcMar>
              <w:top w:w="57" w:type="dxa"/>
              <w:bottom w:w="85" w:type="dxa"/>
            </w:tcMar>
          </w:tcPr>
          <w:p w:rsidR="002D7C9B" w:rsidRPr="0076399D" w:rsidRDefault="002D7C9B" w:rsidP="002D7C9B">
            <w:pPr>
              <w:spacing w:after="120"/>
              <w:jc w:val="both"/>
              <w:rPr>
                <w:rFonts w:ascii="Times New Roman" w:hAnsi="Times New Roman" w:cs="Times New Roman"/>
              </w:rPr>
            </w:pPr>
            <w:r w:rsidRPr="0076399D">
              <w:rPr>
                <w:rFonts w:ascii="Times New Roman" w:hAnsi="Times New Roman" w:cs="Times New Roman"/>
              </w:rPr>
              <w:t>dH</w:t>
            </w:r>
            <w:r w:rsidRPr="0076399D">
              <w:rPr>
                <w:rFonts w:ascii="Times New Roman" w:hAnsi="Times New Roman" w:cs="Times New Roman"/>
                <w:vertAlign w:val="subscript"/>
              </w:rPr>
              <w:t>2</w:t>
            </w:r>
            <w:r w:rsidRPr="0076399D">
              <w:rPr>
                <w:rFonts w:ascii="Times New Roman" w:hAnsi="Times New Roman" w:cs="Times New Roman"/>
              </w:rPr>
              <w:t>O</w:t>
            </w:r>
          </w:p>
        </w:tc>
        <w:tc>
          <w:tcPr>
            <w:tcW w:w="1417" w:type="dxa"/>
            <w:tcBorders>
              <w:top w:val="nil"/>
              <w:left w:val="nil"/>
              <w:bottom w:val="nil"/>
              <w:right w:val="nil"/>
            </w:tcBorders>
            <w:tcMar>
              <w:top w:w="57" w:type="dxa"/>
              <w:bottom w:w="85" w:type="dxa"/>
            </w:tcMar>
          </w:tcPr>
          <w:p w:rsidR="002D7C9B" w:rsidRPr="0076399D" w:rsidRDefault="002D7C9B" w:rsidP="002D7C9B">
            <w:pPr>
              <w:spacing w:after="120"/>
              <w:jc w:val="both"/>
              <w:rPr>
                <w:rFonts w:ascii="Times New Roman" w:hAnsi="Times New Roman" w:cs="Times New Roman"/>
              </w:rPr>
            </w:pPr>
            <w:r w:rsidRPr="0076399D">
              <w:rPr>
                <w:rFonts w:ascii="Times New Roman" w:hAnsi="Times New Roman" w:cs="Times New Roman"/>
              </w:rPr>
              <w:t>25% (v/v)</w:t>
            </w:r>
          </w:p>
        </w:tc>
        <w:tc>
          <w:tcPr>
            <w:tcW w:w="1474" w:type="dxa"/>
            <w:tcBorders>
              <w:top w:val="nil"/>
              <w:left w:val="nil"/>
              <w:bottom w:val="nil"/>
              <w:right w:val="nil"/>
            </w:tcBorders>
            <w:tcMar>
              <w:top w:w="57" w:type="dxa"/>
              <w:left w:w="0" w:type="dxa"/>
              <w:bottom w:w="85" w:type="dxa"/>
              <w:right w:w="0" w:type="dxa"/>
            </w:tcMar>
          </w:tcPr>
          <w:p w:rsidR="002D7C9B" w:rsidRPr="0076399D" w:rsidRDefault="002D7C9B" w:rsidP="002D7C9B">
            <w:pPr>
              <w:spacing w:after="120"/>
              <w:jc w:val="both"/>
              <w:rPr>
                <w:rFonts w:ascii="Times New Roman" w:hAnsi="Times New Roman" w:cs="Times New Roman"/>
              </w:rPr>
            </w:pPr>
            <w:r w:rsidRPr="0076399D">
              <w:rPr>
                <w:rFonts w:ascii="Times New Roman" w:hAnsi="Times New Roman" w:cs="Times New Roman"/>
              </w:rPr>
              <w:t>-20 °C</w:t>
            </w:r>
          </w:p>
        </w:tc>
      </w:tr>
      <w:tr w:rsidR="002D7C9B" w:rsidRPr="0076399D" w:rsidTr="002D7C9B">
        <w:tc>
          <w:tcPr>
            <w:tcW w:w="3794" w:type="dxa"/>
            <w:tcBorders>
              <w:top w:val="nil"/>
              <w:left w:val="nil"/>
              <w:bottom w:val="nil"/>
              <w:right w:val="nil"/>
            </w:tcBorders>
            <w:tcMar>
              <w:top w:w="57" w:type="dxa"/>
              <w:left w:w="0" w:type="dxa"/>
              <w:bottom w:w="85" w:type="dxa"/>
              <w:right w:w="284" w:type="dxa"/>
            </w:tcMar>
          </w:tcPr>
          <w:p w:rsidR="002D7C9B" w:rsidRPr="0076399D" w:rsidRDefault="002D7C9B" w:rsidP="002D7C9B">
            <w:pPr>
              <w:spacing w:after="120"/>
              <w:jc w:val="both"/>
              <w:rPr>
                <w:rFonts w:ascii="Times New Roman" w:hAnsi="Times New Roman" w:cs="Times New Roman"/>
              </w:rPr>
            </w:pPr>
            <w:r w:rsidRPr="0076399D">
              <w:rPr>
                <w:rFonts w:ascii="Times New Roman" w:hAnsi="Times New Roman" w:cs="Times New Roman"/>
                <w:i/>
              </w:rPr>
              <w:t>Griffonia simplicifolia</w:t>
            </w:r>
            <w:r w:rsidRPr="0076399D">
              <w:rPr>
                <w:rFonts w:ascii="Times New Roman" w:hAnsi="Times New Roman" w:cs="Times New Roman"/>
              </w:rPr>
              <w:t xml:space="preserve"> lectin II (GSII), Alexa Fluor® 594 conjugate</w:t>
            </w:r>
          </w:p>
        </w:tc>
        <w:tc>
          <w:tcPr>
            <w:tcW w:w="1843" w:type="dxa"/>
            <w:tcBorders>
              <w:top w:val="nil"/>
              <w:left w:val="nil"/>
              <w:bottom w:val="nil"/>
              <w:right w:val="nil"/>
            </w:tcBorders>
            <w:tcMar>
              <w:top w:w="57" w:type="dxa"/>
              <w:bottom w:w="85" w:type="dxa"/>
            </w:tcMar>
          </w:tcPr>
          <w:p w:rsidR="002D7C9B" w:rsidRPr="0076399D" w:rsidRDefault="002D7C9B" w:rsidP="002D7C9B">
            <w:pPr>
              <w:spacing w:after="120"/>
              <w:jc w:val="both"/>
              <w:rPr>
                <w:rFonts w:ascii="Times New Roman" w:hAnsi="Times New Roman" w:cs="Times New Roman"/>
              </w:rPr>
            </w:pPr>
            <w:r w:rsidRPr="0076399D">
              <w:rPr>
                <w:rFonts w:ascii="Times New Roman" w:hAnsi="Times New Roman" w:cs="Times New Roman"/>
              </w:rPr>
              <w:t>PBS pH 7.4</w:t>
            </w:r>
          </w:p>
        </w:tc>
        <w:tc>
          <w:tcPr>
            <w:tcW w:w="1417" w:type="dxa"/>
            <w:tcBorders>
              <w:top w:val="nil"/>
              <w:left w:val="nil"/>
              <w:bottom w:val="nil"/>
              <w:right w:val="nil"/>
            </w:tcBorders>
            <w:tcMar>
              <w:top w:w="57" w:type="dxa"/>
              <w:bottom w:w="85" w:type="dxa"/>
            </w:tcMar>
          </w:tcPr>
          <w:p w:rsidR="002D7C9B" w:rsidRPr="0076399D" w:rsidRDefault="002D7C9B" w:rsidP="002D7C9B">
            <w:pPr>
              <w:spacing w:after="120"/>
              <w:jc w:val="both"/>
              <w:rPr>
                <w:rFonts w:ascii="Times New Roman" w:hAnsi="Times New Roman" w:cs="Times New Roman"/>
              </w:rPr>
            </w:pPr>
            <w:r w:rsidRPr="0076399D">
              <w:rPr>
                <w:rFonts w:ascii="Times New Roman" w:hAnsi="Times New Roman" w:cs="Times New Roman"/>
              </w:rPr>
              <w:t xml:space="preserve">500 </w:t>
            </w:r>
            <w:r>
              <w:rPr>
                <w:rFonts w:ascii="Times New Roman" w:hAnsi="Times New Roman" w:cs="Times New Roman"/>
              </w:rPr>
              <w:t>µg ml</w:t>
            </w:r>
            <w:r w:rsidRPr="00A77109">
              <w:rPr>
                <w:rFonts w:ascii="Times New Roman" w:hAnsi="Times New Roman" w:cs="Times New Roman"/>
                <w:vertAlign w:val="superscript"/>
              </w:rPr>
              <w:t>-1</w:t>
            </w:r>
          </w:p>
        </w:tc>
        <w:tc>
          <w:tcPr>
            <w:tcW w:w="1474" w:type="dxa"/>
            <w:tcBorders>
              <w:top w:val="nil"/>
              <w:left w:val="nil"/>
              <w:bottom w:val="nil"/>
              <w:right w:val="nil"/>
            </w:tcBorders>
            <w:tcMar>
              <w:top w:w="57" w:type="dxa"/>
              <w:left w:w="0" w:type="dxa"/>
              <w:bottom w:w="85" w:type="dxa"/>
              <w:right w:w="0" w:type="dxa"/>
            </w:tcMar>
          </w:tcPr>
          <w:p w:rsidR="002D7C9B" w:rsidRPr="0076399D" w:rsidRDefault="002D7C9B" w:rsidP="002D7C9B">
            <w:pPr>
              <w:spacing w:after="120"/>
              <w:jc w:val="both"/>
              <w:rPr>
                <w:rFonts w:ascii="Times New Roman" w:hAnsi="Times New Roman" w:cs="Times New Roman"/>
              </w:rPr>
            </w:pPr>
            <w:r w:rsidRPr="0076399D">
              <w:rPr>
                <w:rFonts w:ascii="Times New Roman" w:hAnsi="Times New Roman" w:cs="Times New Roman"/>
              </w:rPr>
              <w:t>-20 °C in dark</w:t>
            </w:r>
          </w:p>
        </w:tc>
      </w:tr>
      <w:tr w:rsidR="002D7C9B" w:rsidRPr="0076399D" w:rsidTr="002D7C9B">
        <w:tc>
          <w:tcPr>
            <w:tcW w:w="3794" w:type="dxa"/>
            <w:tcBorders>
              <w:top w:val="nil"/>
              <w:left w:val="nil"/>
              <w:bottom w:val="nil"/>
              <w:right w:val="nil"/>
            </w:tcBorders>
            <w:tcMar>
              <w:top w:w="57" w:type="dxa"/>
              <w:left w:w="0" w:type="dxa"/>
              <w:bottom w:w="85" w:type="dxa"/>
              <w:right w:w="284" w:type="dxa"/>
            </w:tcMar>
          </w:tcPr>
          <w:p w:rsidR="002D7C9B" w:rsidRDefault="002D7C9B" w:rsidP="002D7C9B">
            <w:pPr>
              <w:spacing w:after="120"/>
              <w:jc w:val="both"/>
              <w:rPr>
                <w:rFonts w:ascii="Times New Roman" w:hAnsi="Times New Roman" w:cs="Times New Roman"/>
              </w:rPr>
            </w:pPr>
            <w:r w:rsidRPr="0076399D">
              <w:rPr>
                <w:rFonts w:ascii="Times New Roman" w:hAnsi="Times New Roman" w:cs="Times New Roman"/>
              </w:rPr>
              <w:t>IPTG</w:t>
            </w:r>
          </w:p>
          <w:p w:rsidR="002D7C9B" w:rsidRPr="0076399D" w:rsidRDefault="002D7C9B" w:rsidP="002D7C9B">
            <w:pPr>
              <w:spacing w:after="120"/>
              <w:jc w:val="both"/>
              <w:rPr>
                <w:rFonts w:ascii="Times New Roman" w:hAnsi="Times New Roman" w:cs="Times New Roman"/>
              </w:rPr>
            </w:pPr>
            <w:r w:rsidRPr="0076399D">
              <w:rPr>
                <w:rFonts w:ascii="Times New Roman" w:hAnsi="Times New Roman" w:cs="Times New Roman"/>
              </w:rPr>
              <w:t>(isopropyl–D-1</w:t>
            </w:r>
            <w:r>
              <w:rPr>
                <w:rFonts w:ascii="Times New Roman" w:hAnsi="Times New Roman" w:cs="Times New Roman"/>
              </w:rPr>
              <w:noBreakHyphen/>
            </w:r>
            <w:r w:rsidRPr="0076399D">
              <w:rPr>
                <w:rFonts w:ascii="Times New Roman" w:hAnsi="Times New Roman" w:cs="Times New Roman"/>
              </w:rPr>
              <w:t>thiogalactopyranoside)</w:t>
            </w:r>
          </w:p>
        </w:tc>
        <w:tc>
          <w:tcPr>
            <w:tcW w:w="1843" w:type="dxa"/>
            <w:tcBorders>
              <w:top w:val="nil"/>
              <w:left w:val="nil"/>
              <w:bottom w:val="nil"/>
              <w:right w:val="nil"/>
            </w:tcBorders>
            <w:tcMar>
              <w:top w:w="57" w:type="dxa"/>
              <w:bottom w:w="85" w:type="dxa"/>
            </w:tcMar>
          </w:tcPr>
          <w:p w:rsidR="002D7C9B" w:rsidRPr="0076399D" w:rsidRDefault="002D7C9B" w:rsidP="002D7C9B">
            <w:pPr>
              <w:spacing w:after="120"/>
              <w:jc w:val="both"/>
              <w:rPr>
                <w:rFonts w:ascii="Times New Roman" w:hAnsi="Times New Roman" w:cs="Times New Roman"/>
              </w:rPr>
            </w:pPr>
            <w:r w:rsidRPr="0076399D">
              <w:rPr>
                <w:rFonts w:ascii="Times New Roman" w:hAnsi="Times New Roman" w:cs="Times New Roman"/>
              </w:rPr>
              <w:t>dH</w:t>
            </w:r>
            <w:r w:rsidRPr="0076399D">
              <w:rPr>
                <w:rFonts w:ascii="Times New Roman" w:hAnsi="Times New Roman" w:cs="Times New Roman"/>
                <w:vertAlign w:val="subscript"/>
              </w:rPr>
              <w:t>2</w:t>
            </w:r>
            <w:r w:rsidRPr="0076399D">
              <w:rPr>
                <w:rFonts w:ascii="Times New Roman" w:hAnsi="Times New Roman" w:cs="Times New Roman"/>
              </w:rPr>
              <w:t>O</w:t>
            </w:r>
          </w:p>
        </w:tc>
        <w:tc>
          <w:tcPr>
            <w:tcW w:w="1417" w:type="dxa"/>
            <w:tcBorders>
              <w:top w:val="nil"/>
              <w:left w:val="nil"/>
              <w:bottom w:val="nil"/>
              <w:right w:val="nil"/>
            </w:tcBorders>
            <w:tcMar>
              <w:top w:w="57" w:type="dxa"/>
              <w:bottom w:w="85" w:type="dxa"/>
            </w:tcMar>
          </w:tcPr>
          <w:p w:rsidR="002D7C9B" w:rsidRPr="0076399D" w:rsidRDefault="002D7C9B" w:rsidP="002D7C9B">
            <w:pPr>
              <w:spacing w:after="120"/>
              <w:jc w:val="both"/>
              <w:rPr>
                <w:rFonts w:ascii="Times New Roman" w:hAnsi="Times New Roman" w:cs="Times New Roman"/>
              </w:rPr>
            </w:pPr>
            <w:r>
              <w:rPr>
                <w:rFonts w:ascii="Times New Roman" w:hAnsi="Times New Roman" w:cs="Times New Roman"/>
              </w:rPr>
              <w:t>1 M</w:t>
            </w:r>
          </w:p>
        </w:tc>
        <w:tc>
          <w:tcPr>
            <w:tcW w:w="1474" w:type="dxa"/>
            <w:tcBorders>
              <w:top w:val="nil"/>
              <w:left w:val="nil"/>
              <w:bottom w:val="nil"/>
              <w:right w:val="nil"/>
            </w:tcBorders>
            <w:tcMar>
              <w:top w:w="57" w:type="dxa"/>
              <w:left w:w="0" w:type="dxa"/>
              <w:bottom w:w="85" w:type="dxa"/>
              <w:right w:w="0" w:type="dxa"/>
            </w:tcMar>
          </w:tcPr>
          <w:p w:rsidR="002D7C9B" w:rsidRPr="0076399D" w:rsidRDefault="002D7C9B" w:rsidP="002D7C9B">
            <w:pPr>
              <w:spacing w:after="120"/>
              <w:jc w:val="both"/>
              <w:rPr>
                <w:rFonts w:ascii="Times New Roman" w:hAnsi="Times New Roman" w:cs="Times New Roman"/>
              </w:rPr>
            </w:pPr>
            <w:r>
              <w:rPr>
                <w:rFonts w:ascii="Times New Roman" w:hAnsi="Times New Roman" w:cs="Times New Roman"/>
              </w:rPr>
              <w:t xml:space="preserve">-20 </w:t>
            </w:r>
            <w:r w:rsidRPr="0076399D">
              <w:rPr>
                <w:rFonts w:ascii="Times New Roman" w:hAnsi="Times New Roman" w:cs="Times New Roman"/>
              </w:rPr>
              <w:t>°C</w:t>
            </w:r>
          </w:p>
        </w:tc>
      </w:tr>
      <w:tr w:rsidR="002D7C9B" w:rsidRPr="0076399D" w:rsidTr="002D7C9B">
        <w:tc>
          <w:tcPr>
            <w:tcW w:w="3794" w:type="dxa"/>
            <w:tcBorders>
              <w:top w:val="nil"/>
              <w:left w:val="nil"/>
              <w:bottom w:val="nil"/>
              <w:right w:val="nil"/>
            </w:tcBorders>
            <w:tcMar>
              <w:top w:w="57" w:type="dxa"/>
              <w:left w:w="0" w:type="dxa"/>
              <w:bottom w:w="85" w:type="dxa"/>
              <w:right w:w="284" w:type="dxa"/>
            </w:tcMar>
          </w:tcPr>
          <w:p w:rsidR="002D7C9B" w:rsidRPr="0076399D" w:rsidRDefault="002D7C9B" w:rsidP="002D7C9B">
            <w:pPr>
              <w:spacing w:after="120"/>
              <w:jc w:val="both"/>
              <w:rPr>
                <w:rFonts w:ascii="Times New Roman" w:hAnsi="Times New Roman" w:cs="Times New Roman"/>
              </w:rPr>
            </w:pPr>
            <w:r w:rsidRPr="0076399D">
              <w:rPr>
                <w:rFonts w:ascii="Times New Roman" w:hAnsi="Times New Roman" w:cs="Times New Roman"/>
              </w:rPr>
              <w:t>Lysozyme</w:t>
            </w:r>
          </w:p>
        </w:tc>
        <w:tc>
          <w:tcPr>
            <w:tcW w:w="1843" w:type="dxa"/>
            <w:tcBorders>
              <w:top w:val="nil"/>
              <w:left w:val="nil"/>
              <w:bottom w:val="nil"/>
              <w:right w:val="nil"/>
            </w:tcBorders>
            <w:tcMar>
              <w:top w:w="57" w:type="dxa"/>
              <w:bottom w:w="85" w:type="dxa"/>
            </w:tcMar>
          </w:tcPr>
          <w:p w:rsidR="002D7C9B" w:rsidRPr="0076399D" w:rsidRDefault="002D7C9B" w:rsidP="002D7C9B">
            <w:pPr>
              <w:spacing w:after="120"/>
              <w:jc w:val="both"/>
              <w:rPr>
                <w:rFonts w:ascii="Times New Roman" w:hAnsi="Times New Roman" w:cs="Times New Roman"/>
              </w:rPr>
            </w:pPr>
            <w:r>
              <w:rPr>
                <w:rFonts w:ascii="Times New Roman" w:hAnsi="Times New Roman" w:cs="Times New Roman"/>
              </w:rPr>
              <w:t>dH</w:t>
            </w:r>
            <w:r w:rsidRPr="00DB3BB4">
              <w:rPr>
                <w:rFonts w:ascii="Times New Roman" w:hAnsi="Times New Roman" w:cs="Times New Roman"/>
                <w:vertAlign w:val="subscript"/>
              </w:rPr>
              <w:t>2</w:t>
            </w:r>
            <w:r>
              <w:rPr>
                <w:rFonts w:ascii="Times New Roman" w:hAnsi="Times New Roman" w:cs="Times New Roman"/>
              </w:rPr>
              <w:t>O</w:t>
            </w:r>
          </w:p>
        </w:tc>
        <w:tc>
          <w:tcPr>
            <w:tcW w:w="1417" w:type="dxa"/>
            <w:tcBorders>
              <w:top w:val="nil"/>
              <w:left w:val="nil"/>
              <w:bottom w:val="nil"/>
              <w:right w:val="nil"/>
            </w:tcBorders>
            <w:tcMar>
              <w:top w:w="57" w:type="dxa"/>
              <w:bottom w:w="85" w:type="dxa"/>
            </w:tcMar>
          </w:tcPr>
          <w:p w:rsidR="002D7C9B" w:rsidRPr="0076399D" w:rsidRDefault="002D7C9B" w:rsidP="002D7C9B">
            <w:pPr>
              <w:spacing w:after="120"/>
              <w:jc w:val="both"/>
              <w:rPr>
                <w:rFonts w:ascii="Times New Roman" w:hAnsi="Times New Roman" w:cs="Times New Roman"/>
              </w:rPr>
            </w:pPr>
            <w:r>
              <w:rPr>
                <w:rFonts w:ascii="Times New Roman" w:hAnsi="Times New Roman" w:cs="Times New Roman"/>
              </w:rPr>
              <w:t xml:space="preserve">1 </w:t>
            </w:r>
            <w:r w:rsidRPr="00A77109">
              <w:rPr>
                <w:rFonts w:ascii="Times New Roman" w:hAnsi="Times New Roman" w:cs="Times New Roman"/>
              </w:rPr>
              <w:t>mg ml</w:t>
            </w:r>
            <w:r w:rsidRPr="00A77109">
              <w:rPr>
                <w:rFonts w:ascii="Times New Roman" w:hAnsi="Times New Roman" w:cs="Times New Roman"/>
                <w:vertAlign w:val="superscript"/>
              </w:rPr>
              <w:t>-1</w:t>
            </w:r>
          </w:p>
        </w:tc>
        <w:tc>
          <w:tcPr>
            <w:tcW w:w="1474" w:type="dxa"/>
            <w:tcBorders>
              <w:top w:val="nil"/>
              <w:left w:val="nil"/>
              <w:bottom w:val="nil"/>
              <w:right w:val="nil"/>
            </w:tcBorders>
            <w:tcMar>
              <w:top w:w="57" w:type="dxa"/>
              <w:left w:w="0" w:type="dxa"/>
              <w:bottom w:w="85" w:type="dxa"/>
              <w:right w:w="0" w:type="dxa"/>
            </w:tcMar>
          </w:tcPr>
          <w:p w:rsidR="002D7C9B" w:rsidRPr="0076399D" w:rsidRDefault="002D7C9B" w:rsidP="002D7C9B">
            <w:pPr>
              <w:spacing w:after="120"/>
              <w:jc w:val="both"/>
              <w:rPr>
                <w:rFonts w:ascii="Times New Roman" w:hAnsi="Times New Roman" w:cs="Times New Roman"/>
              </w:rPr>
            </w:pPr>
            <w:r>
              <w:rPr>
                <w:rFonts w:ascii="Times New Roman" w:hAnsi="Times New Roman" w:cs="Times New Roman"/>
              </w:rPr>
              <w:t>-</w:t>
            </w:r>
            <w:r w:rsidRPr="0076399D">
              <w:rPr>
                <w:rFonts w:ascii="Times New Roman" w:hAnsi="Times New Roman" w:cs="Times New Roman"/>
              </w:rPr>
              <w:t>20 °C</w:t>
            </w:r>
          </w:p>
        </w:tc>
      </w:tr>
      <w:tr w:rsidR="002D7C9B" w:rsidRPr="0076399D" w:rsidTr="002D7C9B">
        <w:tc>
          <w:tcPr>
            <w:tcW w:w="3794" w:type="dxa"/>
            <w:tcBorders>
              <w:top w:val="nil"/>
              <w:left w:val="nil"/>
              <w:bottom w:val="nil"/>
              <w:right w:val="nil"/>
            </w:tcBorders>
            <w:tcMar>
              <w:top w:w="57" w:type="dxa"/>
              <w:left w:w="0" w:type="dxa"/>
              <w:bottom w:w="85" w:type="dxa"/>
              <w:right w:w="284" w:type="dxa"/>
            </w:tcMar>
          </w:tcPr>
          <w:p w:rsidR="002D7C9B" w:rsidRPr="0076399D" w:rsidRDefault="002D7C9B" w:rsidP="002D7C9B">
            <w:pPr>
              <w:spacing w:after="120"/>
              <w:jc w:val="both"/>
              <w:rPr>
                <w:rFonts w:ascii="Times New Roman" w:hAnsi="Times New Roman" w:cs="Times New Roman"/>
              </w:rPr>
            </w:pPr>
            <w:r>
              <w:rPr>
                <w:rFonts w:ascii="Times New Roman" w:hAnsi="Times New Roman" w:cs="Times New Roman"/>
              </w:rPr>
              <w:t>Lysostaphin</w:t>
            </w:r>
          </w:p>
        </w:tc>
        <w:tc>
          <w:tcPr>
            <w:tcW w:w="1843" w:type="dxa"/>
            <w:tcBorders>
              <w:top w:val="nil"/>
              <w:left w:val="nil"/>
              <w:bottom w:val="nil"/>
              <w:right w:val="nil"/>
            </w:tcBorders>
            <w:tcMar>
              <w:top w:w="57" w:type="dxa"/>
              <w:bottom w:w="85" w:type="dxa"/>
            </w:tcMar>
          </w:tcPr>
          <w:p w:rsidR="002D7C9B" w:rsidRPr="0076399D" w:rsidRDefault="002D7C9B" w:rsidP="002D7C9B">
            <w:pPr>
              <w:spacing w:after="120"/>
              <w:jc w:val="both"/>
              <w:rPr>
                <w:rFonts w:ascii="Times New Roman" w:hAnsi="Times New Roman" w:cs="Times New Roman"/>
              </w:rPr>
            </w:pPr>
            <w:r w:rsidRPr="0076399D">
              <w:rPr>
                <w:rFonts w:ascii="Times New Roman" w:hAnsi="Times New Roman" w:cs="Times New Roman"/>
              </w:rPr>
              <w:t>20 mM sodium acetate</w:t>
            </w:r>
            <w:r>
              <w:rPr>
                <w:rFonts w:ascii="Times New Roman" w:hAnsi="Times New Roman" w:cs="Times New Roman"/>
              </w:rPr>
              <w:t xml:space="preserve"> pH 5.2</w:t>
            </w:r>
          </w:p>
        </w:tc>
        <w:tc>
          <w:tcPr>
            <w:tcW w:w="1417" w:type="dxa"/>
            <w:tcBorders>
              <w:top w:val="nil"/>
              <w:left w:val="nil"/>
              <w:bottom w:val="nil"/>
              <w:right w:val="nil"/>
            </w:tcBorders>
            <w:tcMar>
              <w:top w:w="57" w:type="dxa"/>
              <w:bottom w:w="85" w:type="dxa"/>
            </w:tcMar>
          </w:tcPr>
          <w:p w:rsidR="002D7C9B" w:rsidRPr="0076399D" w:rsidRDefault="002D7C9B" w:rsidP="002D7C9B">
            <w:pPr>
              <w:spacing w:after="120"/>
              <w:jc w:val="both"/>
              <w:rPr>
                <w:rFonts w:ascii="Times New Roman" w:hAnsi="Times New Roman" w:cs="Times New Roman"/>
              </w:rPr>
            </w:pPr>
            <w:r w:rsidRPr="0076399D">
              <w:rPr>
                <w:rFonts w:ascii="Times New Roman" w:hAnsi="Times New Roman" w:cs="Times New Roman"/>
              </w:rPr>
              <w:t xml:space="preserve">5 </w:t>
            </w:r>
            <w:r w:rsidRPr="00A77109">
              <w:rPr>
                <w:rFonts w:ascii="Times New Roman" w:hAnsi="Times New Roman" w:cs="Times New Roman"/>
              </w:rPr>
              <w:t>mg ml</w:t>
            </w:r>
            <w:r w:rsidRPr="00A77109">
              <w:rPr>
                <w:rFonts w:ascii="Times New Roman" w:hAnsi="Times New Roman" w:cs="Times New Roman"/>
                <w:vertAlign w:val="superscript"/>
              </w:rPr>
              <w:t>-1</w:t>
            </w:r>
          </w:p>
        </w:tc>
        <w:tc>
          <w:tcPr>
            <w:tcW w:w="1474" w:type="dxa"/>
            <w:tcBorders>
              <w:top w:val="nil"/>
              <w:left w:val="nil"/>
              <w:bottom w:val="nil"/>
              <w:right w:val="nil"/>
            </w:tcBorders>
            <w:tcMar>
              <w:top w:w="57" w:type="dxa"/>
              <w:left w:w="0" w:type="dxa"/>
              <w:bottom w:w="85" w:type="dxa"/>
              <w:right w:w="0" w:type="dxa"/>
            </w:tcMar>
          </w:tcPr>
          <w:p w:rsidR="002D7C9B" w:rsidRPr="0076399D" w:rsidRDefault="002D7C9B" w:rsidP="002D7C9B">
            <w:pPr>
              <w:tabs>
                <w:tab w:val="left" w:pos="1247"/>
              </w:tabs>
              <w:spacing w:after="120"/>
              <w:jc w:val="both"/>
              <w:rPr>
                <w:rFonts w:ascii="Times New Roman" w:hAnsi="Times New Roman" w:cs="Times New Roman"/>
              </w:rPr>
            </w:pPr>
            <w:r>
              <w:rPr>
                <w:rFonts w:ascii="Times New Roman" w:hAnsi="Times New Roman" w:cs="Times New Roman"/>
              </w:rPr>
              <w:t>-</w:t>
            </w:r>
            <w:r w:rsidRPr="0076399D">
              <w:rPr>
                <w:rFonts w:ascii="Times New Roman" w:hAnsi="Times New Roman" w:cs="Times New Roman"/>
              </w:rPr>
              <w:t>20 °C</w:t>
            </w:r>
          </w:p>
        </w:tc>
      </w:tr>
      <w:tr w:rsidR="002D7C9B" w:rsidRPr="0076399D" w:rsidTr="002D7C9B">
        <w:tc>
          <w:tcPr>
            <w:tcW w:w="3794" w:type="dxa"/>
            <w:tcBorders>
              <w:top w:val="nil"/>
              <w:left w:val="nil"/>
              <w:bottom w:val="nil"/>
              <w:right w:val="nil"/>
            </w:tcBorders>
            <w:tcMar>
              <w:top w:w="57" w:type="dxa"/>
              <w:left w:w="0" w:type="dxa"/>
              <w:bottom w:w="85" w:type="dxa"/>
              <w:right w:w="284" w:type="dxa"/>
            </w:tcMar>
          </w:tcPr>
          <w:p w:rsidR="002D7C9B" w:rsidRPr="007C6A05" w:rsidRDefault="002D7C9B" w:rsidP="002D7C9B">
            <w:pPr>
              <w:spacing w:after="120"/>
              <w:jc w:val="both"/>
              <w:rPr>
                <w:rFonts w:ascii="Times New Roman" w:hAnsi="Times New Roman" w:cs="Times New Roman"/>
              </w:rPr>
            </w:pPr>
            <w:r>
              <w:rPr>
                <w:rFonts w:ascii="Times New Roman" w:hAnsi="Times New Roman" w:cs="Times New Roman"/>
                <w:i/>
              </w:rPr>
              <w:t>Micrococcus lysodeikticus</w:t>
            </w:r>
            <w:r>
              <w:rPr>
                <w:rFonts w:ascii="Times New Roman" w:hAnsi="Times New Roman" w:cs="Times New Roman"/>
              </w:rPr>
              <w:t xml:space="preserve"> ATCC No. 4698 lyophilized cells (Sigma)</w:t>
            </w:r>
          </w:p>
        </w:tc>
        <w:tc>
          <w:tcPr>
            <w:tcW w:w="1843" w:type="dxa"/>
            <w:tcBorders>
              <w:top w:val="nil"/>
              <w:left w:val="nil"/>
              <w:bottom w:val="nil"/>
              <w:right w:val="nil"/>
            </w:tcBorders>
            <w:tcMar>
              <w:top w:w="57" w:type="dxa"/>
              <w:bottom w:w="85" w:type="dxa"/>
            </w:tcMar>
          </w:tcPr>
          <w:p w:rsidR="002D7C9B" w:rsidRPr="0076399D" w:rsidRDefault="002D7C9B" w:rsidP="002D7C9B">
            <w:pPr>
              <w:spacing w:after="120"/>
              <w:jc w:val="both"/>
              <w:rPr>
                <w:rFonts w:ascii="Times New Roman" w:hAnsi="Times New Roman" w:cs="Times New Roman"/>
              </w:rPr>
            </w:pPr>
            <w:r>
              <w:rPr>
                <w:rFonts w:ascii="Times New Roman" w:hAnsi="Times New Roman" w:cs="Times New Roman"/>
              </w:rPr>
              <w:t>dH</w:t>
            </w:r>
            <w:r w:rsidRPr="0001326D">
              <w:rPr>
                <w:rFonts w:ascii="Times New Roman" w:hAnsi="Times New Roman" w:cs="Times New Roman"/>
                <w:vertAlign w:val="subscript"/>
              </w:rPr>
              <w:t>2</w:t>
            </w:r>
            <w:r>
              <w:rPr>
                <w:rFonts w:ascii="Times New Roman" w:hAnsi="Times New Roman" w:cs="Times New Roman"/>
              </w:rPr>
              <w:t>O</w:t>
            </w:r>
          </w:p>
        </w:tc>
        <w:tc>
          <w:tcPr>
            <w:tcW w:w="1417" w:type="dxa"/>
            <w:tcBorders>
              <w:top w:val="nil"/>
              <w:left w:val="nil"/>
              <w:bottom w:val="nil"/>
              <w:right w:val="nil"/>
            </w:tcBorders>
            <w:tcMar>
              <w:top w:w="57" w:type="dxa"/>
              <w:bottom w:w="85" w:type="dxa"/>
            </w:tcMar>
          </w:tcPr>
          <w:p w:rsidR="002D7C9B" w:rsidRPr="0076399D" w:rsidRDefault="002D7C9B" w:rsidP="002D7C9B">
            <w:pPr>
              <w:spacing w:after="120"/>
              <w:jc w:val="both"/>
              <w:rPr>
                <w:rFonts w:ascii="Times New Roman" w:hAnsi="Times New Roman" w:cs="Times New Roman"/>
              </w:rPr>
            </w:pPr>
            <w:r>
              <w:rPr>
                <w:rFonts w:ascii="Times New Roman" w:hAnsi="Times New Roman" w:cs="Times New Roman"/>
              </w:rPr>
              <w:t xml:space="preserve">500 </w:t>
            </w:r>
            <w:r w:rsidRPr="00A77109">
              <w:rPr>
                <w:rFonts w:ascii="Times New Roman" w:hAnsi="Times New Roman" w:cs="Times New Roman"/>
              </w:rPr>
              <w:t>mg ml</w:t>
            </w:r>
            <w:r w:rsidRPr="00A77109">
              <w:rPr>
                <w:rFonts w:ascii="Times New Roman" w:hAnsi="Times New Roman" w:cs="Times New Roman"/>
                <w:vertAlign w:val="superscript"/>
              </w:rPr>
              <w:t>-1</w:t>
            </w:r>
          </w:p>
        </w:tc>
        <w:tc>
          <w:tcPr>
            <w:tcW w:w="1474" w:type="dxa"/>
            <w:tcBorders>
              <w:top w:val="nil"/>
              <w:left w:val="nil"/>
              <w:bottom w:val="nil"/>
              <w:right w:val="nil"/>
            </w:tcBorders>
            <w:tcMar>
              <w:top w:w="57" w:type="dxa"/>
              <w:left w:w="0" w:type="dxa"/>
              <w:bottom w:w="85" w:type="dxa"/>
              <w:right w:w="0" w:type="dxa"/>
            </w:tcMar>
          </w:tcPr>
          <w:p w:rsidR="002D7C9B" w:rsidRDefault="002D7C9B" w:rsidP="002D7C9B">
            <w:pPr>
              <w:tabs>
                <w:tab w:val="left" w:pos="1247"/>
              </w:tabs>
              <w:spacing w:after="120"/>
              <w:jc w:val="both"/>
              <w:rPr>
                <w:rFonts w:ascii="Times New Roman" w:hAnsi="Times New Roman" w:cs="Times New Roman"/>
              </w:rPr>
            </w:pPr>
            <w:r>
              <w:rPr>
                <w:rFonts w:ascii="Times New Roman" w:hAnsi="Times New Roman" w:cs="Times New Roman"/>
              </w:rPr>
              <w:t>Room temp (autoclaved)</w:t>
            </w:r>
          </w:p>
        </w:tc>
      </w:tr>
      <w:tr w:rsidR="002D7C9B" w:rsidRPr="0076399D" w:rsidTr="002D7C9B">
        <w:tc>
          <w:tcPr>
            <w:tcW w:w="3794" w:type="dxa"/>
            <w:tcBorders>
              <w:top w:val="nil"/>
              <w:left w:val="nil"/>
              <w:bottom w:val="nil"/>
              <w:right w:val="nil"/>
            </w:tcBorders>
            <w:tcMar>
              <w:top w:w="57" w:type="dxa"/>
              <w:left w:w="0" w:type="dxa"/>
              <w:bottom w:w="85" w:type="dxa"/>
              <w:right w:w="284" w:type="dxa"/>
            </w:tcMar>
          </w:tcPr>
          <w:p w:rsidR="002D7C9B" w:rsidRPr="0076399D" w:rsidRDefault="002D7C9B" w:rsidP="002D7C9B">
            <w:pPr>
              <w:spacing w:after="120"/>
              <w:jc w:val="both"/>
              <w:rPr>
                <w:rFonts w:ascii="Times New Roman" w:hAnsi="Times New Roman" w:cs="Times New Roman"/>
              </w:rPr>
            </w:pPr>
            <w:r>
              <w:rPr>
                <w:rFonts w:ascii="Times New Roman" w:hAnsi="Times New Roman" w:cs="Times New Roman"/>
              </w:rPr>
              <w:t>Pronase (Sigma)</w:t>
            </w:r>
          </w:p>
        </w:tc>
        <w:tc>
          <w:tcPr>
            <w:tcW w:w="1843" w:type="dxa"/>
            <w:tcBorders>
              <w:top w:val="nil"/>
              <w:left w:val="nil"/>
              <w:bottom w:val="nil"/>
              <w:right w:val="nil"/>
            </w:tcBorders>
            <w:tcMar>
              <w:top w:w="57" w:type="dxa"/>
              <w:bottom w:w="85" w:type="dxa"/>
            </w:tcMar>
          </w:tcPr>
          <w:p w:rsidR="002D7C9B" w:rsidRPr="0076399D" w:rsidRDefault="002D7C9B" w:rsidP="002D7C9B">
            <w:pPr>
              <w:spacing w:after="120"/>
              <w:jc w:val="both"/>
              <w:rPr>
                <w:rFonts w:ascii="Times New Roman" w:hAnsi="Times New Roman" w:cs="Times New Roman"/>
              </w:rPr>
            </w:pPr>
            <w:r>
              <w:rPr>
                <w:rFonts w:ascii="Times New Roman" w:hAnsi="Times New Roman" w:cs="Times New Roman"/>
              </w:rPr>
              <w:t>TES pH 8.0</w:t>
            </w:r>
          </w:p>
        </w:tc>
        <w:tc>
          <w:tcPr>
            <w:tcW w:w="1417" w:type="dxa"/>
            <w:tcBorders>
              <w:top w:val="nil"/>
              <w:left w:val="nil"/>
              <w:bottom w:val="nil"/>
              <w:right w:val="nil"/>
            </w:tcBorders>
            <w:tcMar>
              <w:top w:w="57" w:type="dxa"/>
              <w:bottom w:w="85" w:type="dxa"/>
            </w:tcMar>
          </w:tcPr>
          <w:p w:rsidR="002D7C9B" w:rsidRPr="0076399D" w:rsidRDefault="002D7C9B" w:rsidP="002D7C9B">
            <w:pPr>
              <w:spacing w:after="120"/>
              <w:jc w:val="both"/>
              <w:rPr>
                <w:rFonts w:ascii="Times New Roman" w:hAnsi="Times New Roman" w:cs="Times New Roman"/>
              </w:rPr>
            </w:pPr>
            <w:r>
              <w:rPr>
                <w:rFonts w:ascii="Times New Roman" w:hAnsi="Times New Roman" w:cs="Times New Roman"/>
              </w:rPr>
              <w:t xml:space="preserve">10 </w:t>
            </w:r>
            <w:r w:rsidRPr="00A77109">
              <w:rPr>
                <w:rFonts w:ascii="Times New Roman" w:hAnsi="Times New Roman" w:cs="Times New Roman"/>
              </w:rPr>
              <w:t>mg ml</w:t>
            </w:r>
            <w:r w:rsidRPr="00A77109">
              <w:rPr>
                <w:rFonts w:ascii="Times New Roman" w:hAnsi="Times New Roman" w:cs="Times New Roman"/>
                <w:vertAlign w:val="superscript"/>
              </w:rPr>
              <w:t>-1</w:t>
            </w:r>
          </w:p>
        </w:tc>
        <w:tc>
          <w:tcPr>
            <w:tcW w:w="1474" w:type="dxa"/>
            <w:tcBorders>
              <w:top w:val="nil"/>
              <w:left w:val="nil"/>
              <w:bottom w:val="nil"/>
              <w:right w:val="nil"/>
            </w:tcBorders>
            <w:tcMar>
              <w:top w:w="57" w:type="dxa"/>
              <w:left w:w="0" w:type="dxa"/>
              <w:bottom w:w="85" w:type="dxa"/>
              <w:right w:w="0" w:type="dxa"/>
            </w:tcMar>
          </w:tcPr>
          <w:p w:rsidR="002D7C9B" w:rsidRPr="0076399D" w:rsidRDefault="002D7C9B" w:rsidP="002D7C9B">
            <w:pPr>
              <w:spacing w:after="120"/>
              <w:jc w:val="both"/>
              <w:rPr>
                <w:rFonts w:ascii="Times New Roman" w:hAnsi="Times New Roman" w:cs="Times New Roman"/>
              </w:rPr>
            </w:pPr>
            <w:r>
              <w:rPr>
                <w:rFonts w:ascii="Times New Roman" w:hAnsi="Times New Roman" w:cs="Times New Roman"/>
              </w:rPr>
              <w:t>-</w:t>
            </w:r>
            <w:r w:rsidRPr="0076399D">
              <w:rPr>
                <w:rFonts w:ascii="Times New Roman" w:hAnsi="Times New Roman" w:cs="Times New Roman"/>
              </w:rPr>
              <w:t>20 °C</w:t>
            </w:r>
          </w:p>
        </w:tc>
      </w:tr>
      <w:tr w:rsidR="002D7C9B" w:rsidRPr="0076399D" w:rsidTr="002D7C9B">
        <w:tc>
          <w:tcPr>
            <w:tcW w:w="3794" w:type="dxa"/>
            <w:tcBorders>
              <w:top w:val="nil"/>
              <w:left w:val="nil"/>
              <w:bottom w:val="nil"/>
              <w:right w:val="nil"/>
            </w:tcBorders>
            <w:tcMar>
              <w:top w:w="57" w:type="dxa"/>
              <w:left w:w="0" w:type="dxa"/>
              <w:bottom w:w="85" w:type="dxa"/>
              <w:right w:w="284" w:type="dxa"/>
            </w:tcMar>
          </w:tcPr>
          <w:p w:rsidR="002D7C9B" w:rsidRPr="0076399D" w:rsidRDefault="002D7C9B" w:rsidP="002D7C9B">
            <w:pPr>
              <w:spacing w:after="120"/>
              <w:jc w:val="both"/>
              <w:rPr>
                <w:rFonts w:ascii="Times New Roman" w:hAnsi="Times New Roman" w:cs="Times New Roman"/>
              </w:rPr>
            </w:pPr>
            <w:r w:rsidRPr="0076399D">
              <w:rPr>
                <w:rFonts w:ascii="Times New Roman" w:hAnsi="Times New Roman" w:cs="Times New Roman"/>
              </w:rPr>
              <w:t>Vancomycin, BODIPY®Fl conjugate</w:t>
            </w:r>
          </w:p>
        </w:tc>
        <w:tc>
          <w:tcPr>
            <w:tcW w:w="1843" w:type="dxa"/>
            <w:tcBorders>
              <w:top w:val="nil"/>
              <w:left w:val="nil"/>
              <w:bottom w:val="nil"/>
              <w:right w:val="nil"/>
            </w:tcBorders>
            <w:tcMar>
              <w:top w:w="57" w:type="dxa"/>
              <w:bottom w:w="85" w:type="dxa"/>
            </w:tcMar>
          </w:tcPr>
          <w:p w:rsidR="002D7C9B" w:rsidRPr="0076399D" w:rsidRDefault="002D7C9B" w:rsidP="002D7C9B">
            <w:pPr>
              <w:spacing w:after="120"/>
              <w:jc w:val="both"/>
              <w:rPr>
                <w:rFonts w:ascii="Times New Roman" w:hAnsi="Times New Roman" w:cs="Times New Roman"/>
              </w:rPr>
            </w:pPr>
            <w:r w:rsidRPr="0076399D">
              <w:rPr>
                <w:rFonts w:ascii="Times New Roman" w:hAnsi="Times New Roman" w:cs="Times New Roman"/>
              </w:rPr>
              <w:t>dH</w:t>
            </w:r>
            <w:r w:rsidRPr="0076399D">
              <w:rPr>
                <w:rFonts w:ascii="Times New Roman" w:hAnsi="Times New Roman" w:cs="Times New Roman"/>
                <w:vertAlign w:val="subscript"/>
              </w:rPr>
              <w:t>2</w:t>
            </w:r>
            <w:r w:rsidRPr="0076399D">
              <w:rPr>
                <w:rFonts w:ascii="Times New Roman" w:hAnsi="Times New Roman" w:cs="Times New Roman"/>
              </w:rPr>
              <w:t>O</w:t>
            </w:r>
          </w:p>
        </w:tc>
        <w:tc>
          <w:tcPr>
            <w:tcW w:w="1417" w:type="dxa"/>
            <w:tcBorders>
              <w:top w:val="nil"/>
              <w:left w:val="nil"/>
              <w:bottom w:val="nil"/>
              <w:right w:val="nil"/>
            </w:tcBorders>
            <w:tcMar>
              <w:top w:w="57" w:type="dxa"/>
              <w:bottom w:w="85" w:type="dxa"/>
            </w:tcMar>
          </w:tcPr>
          <w:p w:rsidR="002D7C9B" w:rsidRPr="0076399D" w:rsidRDefault="002D7C9B" w:rsidP="002D7C9B">
            <w:pPr>
              <w:spacing w:after="120"/>
              <w:jc w:val="both"/>
              <w:rPr>
                <w:rFonts w:ascii="Times New Roman" w:hAnsi="Times New Roman" w:cs="Times New Roman"/>
              </w:rPr>
            </w:pPr>
            <w:r w:rsidRPr="0076399D">
              <w:rPr>
                <w:rFonts w:ascii="Times New Roman" w:hAnsi="Times New Roman" w:cs="Times New Roman"/>
              </w:rPr>
              <w:t xml:space="preserve">100 </w:t>
            </w:r>
            <w:r>
              <w:rPr>
                <w:rFonts w:ascii="Times New Roman" w:hAnsi="Times New Roman" w:cs="Times New Roman"/>
              </w:rPr>
              <w:t>µg ml</w:t>
            </w:r>
            <w:r w:rsidRPr="00A77109">
              <w:rPr>
                <w:rFonts w:ascii="Times New Roman" w:hAnsi="Times New Roman" w:cs="Times New Roman"/>
                <w:vertAlign w:val="superscript"/>
              </w:rPr>
              <w:t>-1</w:t>
            </w:r>
          </w:p>
        </w:tc>
        <w:tc>
          <w:tcPr>
            <w:tcW w:w="1474" w:type="dxa"/>
            <w:tcBorders>
              <w:top w:val="nil"/>
              <w:left w:val="nil"/>
              <w:bottom w:val="nil"/>
              <w:right w:val="nil"/>
            </w:tcBorders>
            <w:tcMar>
              <w:top w:w="57" w:type="dxa"/>
              <w:left w:w="0" w:type="dxa"/>
              <w:bottom w:w="85" w:type="dxa"/>
              <w:right w:w="0" w:type="dxa"/>
            </w:tcMar>
          </w:tcPr>
          <w:p w:rsidR="002D7C9B" w:rsidRPr="0076399D" w:rsidRDefault="002D7C9B" w:rsidP="002D7C9B">
            <w:pPr>
              <w:spacing w:after="120"/>
              <w:jc w:val="both"/>
              <w:rPr>
                <w:rFonts w:ascii="Times New Roman" w:hAnsi="Times New Roman" w:cs="Times New Roman"/>
              </w:rPr>
            </w:pPr>
            <w:r w:rsidRPr="0076399D">
              <w:rPr>
                <w:rFonts w:ascii="Times New Roman" w:hAnsi="Times New Roman" w:cs="Times New Roman"/>
              </w:rPr>
              <w:t>-20 °C in dark</w:t>
            </w:r>
          </w:p>
        </w:tc>
      </w:tr>
      <w:tr w:rsidR="002D7C9B" w:rsidRPr="0076399D" w:rsidTr="002D7C9B">
        <w:tc>
          <w:tcPr>
            <w:tcW w:w="3794" w:type="dxa"/>
            <w:tcBorders>
              <w:top w:val="nil"/>
              <w:left w:val="nil"/>
              <w:bottom w:val="nil"/>
              <w:right w:val="nil"/>
            </w:tcBorders>
            <w:tcMar>
              <w:top w:w="57" w:type="dxa"/>
              <w:left w:w="0" w:type="dxa"/>
              <w:bottom w:w="85" w:type="dxa"/>
              <w:right w:w="284" w:type="dxa"/>
            </w:tcMar>
          </w:tcPr>
          <w:p w:rsidR="002D7C9B" w:rsidRPr="0076399D" w:rsidRDefault="002D7C9B" w:rsidP="002D7C9B">
            <w:pPr>
              <w:spacing w:after="120"/>
              <w:jc w:val="both"/>
              <w:rPr>
                <w:rFonts w:ascii="Times New Roman" w:hAnsi="Times New Roman" w:cs="Times New Roman"/>
              </w:rPr>
            </w:pPr>
            <w:r w:rsidRPr="0076399D">
              <w:rPr>
                <w:rFonts w:ascii="Times New Roman" w:hAnsi="Times New Roman" w:cs="Times New Roman"/>
              </w:rPr>
              <w:t>Wheat germ agglutinin, Alexa Fluor® 350 conjugate</w:t>
            </w:r>
          </w:p>
        </w:tc>
        <w:tc>
          <w:tcPr>
            <w:tcW w:w="1843" w:type="dxa"/>
            <w:tcBorders>
              <w:top w:val="nil"/>
              <w:left w:val="nil"/>
              <w:bottom w:val="nil"/>
              <w:right w:val="nil"/>
            </w:tcBorders>
            <w:tcMar>
              <w:top w:w="57" w:type="dxa"/>
              <w:bottom w:w="85" w:type="dxa"/>
            </w:tcMar>
          </w:tcPr>
          <w:p w:rsidR="002D7C9B" w:rsidRPr="0076399D" w:rsidRDefault="002D7C9B" w:rsidP="002D7C9B">
            <w:pPr>
              <w:spacing w:after="120"/>
              <w:jc w:val="both"/>
              <w:rPr>
                <w:rFonts w:ascii="Times New Roman" w:hAnsi="Times New Roman" w:cs="Times New Roman"/>
              </w:rPr>
            </w:pPr>
            <w:r w:rsidRPr="0076399D">
              <w:rPr>
                <w:rFonts w:ascii="Times New Roman" w:hAnsi="Times New Roman" w:cs="Times New Roman"/>
              </w:rPr>
              <w:t>PBS pH 7.4</w:t>
            </w:r>
          </w:p>
        </w:tc>
        <w:tc>
          <w:tcPr>
            <w:tcW w:w="1417" w:type="dxa"/>
            <w:tcBorders>
              <w:top w:val="nil"/>
              <w:left w:val="nil"/>
              <w:bottom w:val="nil"/>
              <w:right w:val="nil"/>
            </w:tcBorders>
            <w:tcMar>
              <w:top w:w="57" w:type="dxa"/>
              <w:bottom w:w="85" w:type="dxa"/>
            </w:tcMar>
          </w:tcPr>
          <w:p w:rsidR="002D7C9B" w:rsidRPr="0076399D" w:rsidRDefault="002D7C9B" w:rsidP="002D7C9B">
            <w:pPr>
              <w:spacing w:after="120"/>
              <w:jc w:val="both"/>
              <w:rPr>
                <w:rFonts w:ascii="Times New Roman" w:hAnsi="Times New Roman" w:cs="Times New Roman"/>
              </w:rPr>
            </w:pPr>
            <w:r>
              <w:rPr>
                <w:rFonts w:ascii="Times New Roman" w:hAnsi="Times New Roman" w:cs="Times New Roman"/>
              </w:rPr>
              <w:t xml:space="preserve">1 </w:t>
            </w:r>
            <w:r w:rsidRPr="00A77109">
              <w:rPr>
                <w:rFonts w:ascii="Times New Roman" w:hAnsi="Times New Roman" w:cs="Times New Roman"/>
              </w:rPr>
              <w:t>mg ml</w:t>
            </w:r>
            <w:r w:rsidRPr="00A77109">
              <w:rPr>
                <w:rFonts w:ascii="Times New Roman" w:hAnsi="Times New Roman" w:cs="Times New Roman"/>
                <w:vertAlign w:val="superscript"/>
              </w:rPr>
              <w:t>-1</w:t>
            </w:r>
          </w:p>
        </w:tc>
        <w:tc>
          <w:tcPr>
            <w:tcW w:w="1474" w:type="dxa"/>
            <w:tcBorders>
              <w:top w:val="nil"/>
              <w:left w:val="nil"/>
              <w:bottom w:val="nil"/>
              <w:right w:val="nil"/>
            </w:tcBorders>
            <w:tcMar>
              <w:top w:w="57" w:type="dxa"/>
              <w:left w:w="0" w:type="dxa"/>
              <w:bottom w:w="85" w:type="dxa"/>
              <w:right w:w="0" w:type="dxa"/>
            </w:tcMar>
          </w:tcPr>
          <w:p w:rsidR="002D7C9B" w:rsidRPr="0076399D" w:rsidRDefault="002D7C9B" w:rsidP="002D7C9B">
            <w:pPr>
              <w:spacing w:after="120"/>
              <w:jc w:val="both"/>
              <w:rPr>
                <w:rFonts w:ascii="Times New Roman" w:hAnsi="Times New Roman" w:cs="Times New Roman"/>
              </w:rPr>
            </w:pPr>
            <w:r w:rsidRPr="0076399D">
              <w:rPr>
                <w:rFonts w:ascii="Times New Roman" w:hAnsi="Times New Roman" w:cs="Times New Roman"/>
              </w:rPr>
              <w:t>-20 °C in dark</w:t>
            </w:r>
          </w:p>
        </w:tc>
      </w:tr>
      <w:tr w:rsidR="002D7C9B" w:rsidRPr="0076399D" w:rsidTr="002D7C9B">
        <w:tc>
          <w:tcPr>
            <w:tcW w:w="3794" w:type="dxa"/>
            <w:tcBorders>
              <w:top w:val="nil"/>
              <w:left w:val="nil"/>
              <w:bottom w:val="nil"/>
              <w:right w:val="nil"/>
            </w:tcBorders>
            <w:tcMar>
              <w:top w:w="57" w:type="dxa"/>
              <w:left w:w="0" w:type="dxa"/>
              <w:bottom w:w="85" w:type="dxa"/>
              <w:right w:w="284" w:type="dxa"/>
            </w:tcMar>
          </w:tcPr>
          <w:p w:rsidR="002D7C9B" w:rsidRPr="0076399D" w:rsidRDefault="002D7C9B" w:rsidP="002D7C9B">
            <w:pPr>
              <w:spacing w:after="120"/>
              <w:jc w:val="both"/>
              <w:rPr>
                <w:rFonts w:ascii="Times New Roman" w:hAnsi="Times New Roman" w:cs="Times New Roman"/>
              </w:rPr>
            </w:pPr>
            <w:r w:rsidRPr="0076399D">
              <w:rPr>
                <w:rFonts w:ascii="Times New Roman" w:hAnsi="Times New Roman" w:cs="Times New Roman"/>
              </w:rPr>
              <w:t>Wheat germ agglutinin, Alexa Fluor® 488 conjugate</w:t>
            </w:r>
          </w:p>
        </w:tc>
        <w:tc>
          <w:tcPr>
            <w:tcW w:w="1843" w:type="dxa"/>
            <w:tcBorders>
              <w:top w:val="nil"/>
              <w:left w:val="nil"/>
              <w:bottom w:val="nil"/>
              <w:right w:val="nil"/>
            </w:tcBorders>
            <w:tcMar>
              <w:top w:w="57" w:type="dxa"/>
              <w:bottom w:w="85" w:type="dxa"/>
            </w:tcMar>
          </w:tcPr>
          <w:p w:rsidR="002D7C9B" w:rsidRPr="0076399D" w:rsidRDefault="002D7C9B" w:rsidP="002D7C9B">
            <w:pPr>
              <w:spacing w:after="120"/>
              <w:jc w:val="both"/>
              <w:rPr>
                <w:rFonts w:ascii="Times New Roman" w:hAnsi="Times New Roman" w:cs="Times New Roman"/>
              </w:rPr>
            </w:pPr>
            <w:r w:rsidRPr="0076399D">
              <w:rPr>
                <w:rFonts w:ascii="Times New Roman" w:hAnsi="Times New Roman" w:cs="Times New Roman"/>
              </w:rPr>
              <w:t>PBS pH 7.4</w:t>
            </w:r>
          </w:p>
        </w:tc>
        <w:tc>
          <w:tcPr>
            <w:tcW w:w="1417" w:type="dxa"/>
            <w:tcBorders>
              <w:top w:val="nil"/>
              <w:left w:val="nil"/>
              <w:bottom w:val="nil"/>
              <w:right w:val="nil"/>
            </w:tcBorders>
            <w:tcMar>
              <w:top w:w="57" w:type="dxa"/>
              <w:bottom w:w="85" w:type="dxa"/>
            </w:tcMar>
          </w:tcPr>
          <w:p w:rsidR="002D7C9B" w:rsidRPr="0076399D" w:rsidRDefault="002D7C9B" w:rsidP="002D7C9B">
            <w:pPr>
              <w:spacing w:after="120"/>
              <w:jc w:val="both"/>
              <w:rPr>
                <w:rFonts w:ascii="Times New Roman" w:hAnsi="Times New Roman" w:cs="Times New Roman"/>
              </w:rPr>
            </w:pPr>
            <w:r w:rsidRPr="0076399D">
              <w:rPr>
                <w:rFonts w:ascii="Times New Roman" w:hAnsi="Times New Roman" w:cs="Times New Roman"/>
              </w:rPr>
              <w:t xml:space="preserve">1 </w:t>
            </w:r>
            <w:r w:rsidRPr="00A77109">
              <w:rPr>
                <w:rFonts w:ascii="Times New Roman" w:hAnsi="Times New Roman" w:cs="Times New Roman"/>
              </w:rPr>
              <w:t>mg ml</w:t>
            </w:r>
            <w:r w:rsidRPr="00A77109">
              <w:rPr>
                <w:rFonts w:ascii="Times New Roman" w:hAnsi="Times New Roman" w:cs="Times New Roman"/>
                <w:vertAlign w:val="superscript"/>
              </w:rPr>
              <w:t>-1</w:t>
            </w:r>
          </w:p>
        </w:tc>
        <w:tc>
          <w:tcPr>
            <w:tcW w:w="1474" w:type="dxa"/>
            <w:tcBorders>
              <w:top w:val="nil"/>
              <w:left w:val="nil"/>
              <w:bottom w:val="nil"/>
              <w:right w:val="nil"/>
            </w:tcBorders>
            <w:tcMar>
              <w:top w:w="57" w:type="dxa"/>
              <w:left w:w="0" w:type="dxa"/>
              <w:bottom w:w="85" w:type="dxa"/>
              <w:right w:w="0" w:type="dxa"/>
            </w:tcMar>
          </w:tcPr>
          <w:p w:rsidR="002D7C9B" w:rsidRPr="0076399D" w:rsidRDefault="002D7C9B" w:rsidP="002D7C9B">
            <w:pPr>
              <w:spacing w:after="120"/>
              <w:jc w:val="both"/>
              <w:rPr>
                <w:rFonts w:ascii="Times New Roman" w:hAnsi="Times New Roman" w:cs="Times New Roman"/>
              </w:rPr>
            </w:pPr>
            <w:r w:rsidRPr="0076399D">
              <w:rPr>
                <w:rFonts w:ascii="Times New Roman" w:hAnsi="Times New Roman" w:cs="Times New Roman"/>
              </w:rPr>
              <w:t>-20 °C in dark</w:t>
            </w:r>
          </w:p>
        </w:tc>
      </w:tr>
      <w:tr w:rsidR="002D7C9B" w:rsidRPr="0076399D" w:rsidTr="002D7C9B">
        <w:tc>
          <w:tcPr>
            <w:tcW w:w="3794" w:type="dxa"/>
            <w:tcBorders>
              <w:top w:val="nil"/>
              <w:left w:val="nil"/>
              <w:bottom w:val="single" w:sz="4" w:space="0" w:color="auto"/>
              <w:right w:val="nil"/>
            </w:tcBorders>
            <w:tcMar>
              <w:top w:w="57" w:type="dxa"/>
              <w:left w:w="0" w:type="dxa"/>
              <w:bottom w:w="85" w:type="dxa"/>
              <w:right w:w="284" w:type="dxa"/>
            </w:tcMar>
          </w:tcPr>
          <w:p w:rsidR="002D7C9B" w:rsidRPr="007F1F0D" w:rsidRDefault="002D7C9B" w:rsidP="002D7C9B">
            <w:pPr>
              <w:spacing w:after="120"/>
              <w:jc w:val="both"/>
              <w:rPr>
                <w:rFonts w:ascii="Times New Roman" w:hAnsi="Times New Roman" w:cs="Times New Roman"/>
              </w:rPr>
            </w:pPr>
            <w:r w:rsidRPr="007F1F0D">
              <w:rPr>
                <w:rFonts w:ascii="Times New Roman" w:hAnsi="Times New Roman" w:cs="Times New Roman"/>
              </w:rPr>
              <w:t>X-Gal</w:t>
            </w:r>
            <w:r w:rsidRPr="007F1F0D">
              <w:rPr>
                <w:rFonts w:ascii="Times New Roman" w:hAnsi="Times New Roman" w:cs="Times New Roman"/>
                <w:b/>
              </w:rPr>
              <w:t xml:space="preserve"> </w:t>
            </w:r>
            <w:r w:rsidRPr="007F1F0D">
              <w:rPr>
                <w:rFonts w:ascii="Times New Roman" w:hAnsi="Times New Roman" w:cs="Times New Roman"/>
              </w:rPr>
              <w:t>(5-bromo-4-chloro-3-indolyl-</w:t>
            </w:r>
            <w:r w:rsidRPr="007F1F0D">
              <w:rPr>
                <w:rFonts w:ascii="Times New Roman" w:hAnsi="Times New Roman" w:cs="Times New Roman"/>
              </w:rPr>
              <w:sym w:font="Symbol" w:char="F062"/>
            </w:r>
            <w:r w:rsidRPr="007F1F0D">
              <w:rPr>
                <w:rFonts w:ascii="Times New Roman" w:hAnsi="Times New Roman" w:cs="Times New Roman"/>
              </w:rPr>
              <w:t>-D-galactopyranoside)</w:t>
            </w:r>
          </w:p>
        </w:tc>
        <w:tc>
          <w:tcPr>
            <w:tcW w:w="1843" w:type="dxa"/>
            <w:tcBorders>
              <w:top w:val="nil"/>
              <w:left w:val="nil"/>
              <w:bottom w:val="single" w:sz="4" w:space="0" w:color="auto"/>
              <w:right w:val="nil"/>
            </w:tcBorders>
            <w:tcMar>
              <w:top w:w="57" w:type="dxa"/>
              <w:bottom w:w="85" w:type="dxa"/>
            </w:tcMar>
          </w:tcPr>
          <w:p w:rsidR="002D7C9B" w:rsidRPr="0076399D" w:rsidRDefault="002D7C9B" w:rsidP="002D7C9B">
            <w:pPr>
              <w:spacing w:after="120"/>
              <w:jc w:val="both"/>
              <w:rPr>
                <w:rFonts w:ascii="Times New Roman" w:hAnsi="Times New Roman" w:cs="Times New Roman"/>
              </w:rPr>
            </w:pPr>
            <w:r>
              <w:rPr>
                <w:rFonts w:ascii="Times New Roman" w:hAnsi="Times New Roman" w:cs="Times New Roman"/>
              </w:rPr>
              <w:t>DMF</w:t>
            </w:r>
          </w:p>
        </w:tc>
        <w:tc>
          <w:tcPr>
            <w:tcW w:w="1417" w:type="dxa"/>
            <w:tcBorders>
              <w:top w:val="nil"/>
              <w:left w:val="nil"/>
              <w:bottom w:val="single" w:sz="4" w:space="0" w:color="auto"/>
              <w:right w:val="nil"/>
            </w:tcBorders>
            <w:tcMar>
              <w:top w:w="57" w:type="dxa"/>
              <w:bottom w:w="85" w:type="dxa"/>
            </w:tcMar>
          </w:tcPr>
          <w:p w:rsidR="002D7C9B" w:rsidRPr="0076399D" w:rsidRDefault="002D7C9B" w:rsidP="002D7C9B">
            <w:pPr>
              <w:spacing w:after="120"/>
              <w:jc w:val="both"/>
              <w:rPr>
                <w:rFonts w:ascii="Times New Roman" w:hAnsi="Times New Roman" w:cs="Times New Roman"/>
              </w:rPr>
            </w:pPr>
            <w:r>
              <w:rPr>
                <w:rFonts w:ascii="Times New Roman" w:hAnsi="Times New Roman" w:cs="Times New Roman"/>
              </w:rPr>
              <w:t xml:space="preserve">40 </w:t>
            </w:r>
            <w:r w:rsidRPr="00A77109">
              <w:rPr>
                <w:rFonts w:ascii="Times New Roman" w:hAnsi="Times New Roman" w:cs="Times New Roman"/>
              </w:rPr>
              <w:t>mg ml</w:t>
            </w:r>
            <w:r w:rsidRPr="00A77109">
              <w:rPr>
                <w:rFonts w:ascii="Times New Roman" w:hAnsi="Times New Roman" w:cs="Times New Roman"/>
                <w:vertAlign w:val="superscript"/>
              </w:rPr>
              <w:t>-1</w:t>
            </w:r>
          </w:p>
        </w:tc>
        <w:tc>
          <w:tcPr>
            <w:tcW w:w="1474" w:type="dxa"/>
            <w:tcBorders>
              <w:top w:val="nil"/>
              <w:left w:val="nil"/>
              <w:bottom w:val="single" w:sz="4" w:space="0" w:color="auto"/>
              <w:right w:val="nil"/>
            </w:tcBorders>
            <w:tcMar>
              <w:top w:w="57" w:type="dxa"/>
              <w:left w:w="0" w:type="dxa"/>
              <w:bottom w:w="85" w:type="dxa"/>
              <w:right w:w="0" w:type="dxa"/>
            </w:tcMar>
          </w:tcPr>
          <w:p w:rsidR="002D7C9B" w:rsidRPr="0076399D" w:rsidRDefault="002D7C9B" w:rsidP="002D7C9B">
            <w:pPr>
              <w:spacing w:after="120"/>
              <w:jc w:val="both"/>
              <w:rPr>
                <w:rFonts w:ascii="Times New Roman" w:hAnsi="Times New Roman" w:cs="Times New Roman"/>
              </w:rPr>
            </w:pPr>
            <w:r w:rsidRPr="0076399D">
              <w:rPr>
                <w:rFonts w:ascii="Times New Roman" w:hAnsi="Times New Roman" w:cs="Times New Roman"/>
              </w:rPr>
              <w:t>-20 °C in dark</w:t>
            </w:r>
          </w:p>
        </w:tc>
      </w:tr>
    </w:tbl>
    <w:p w:rsidR="002D7C9B" w:rsidRDefault="002D7C9B" w:rsidP="002D7C9B">
      <w:pPr>
        <w:spacing w:line="360" w:lineRule="auto"/>
        <w:jc w:val="both"/>
        <w:rPr>
          <w:rFonts w:ascii="Times New Roman" w:hAnsi="Times New Roman" w:cs="Times New Roman"/>
          <w:sz w:val="24"/>
          <w:szCs w:val="24"/>
        </w:rPr>
      </w:pPr>
    </w:p>
    <w:p w:rsidR="002D7C9B" w:rsidRPr="005B5CB4" w:rsidRDefault="002D7C9B" w:rsidP="002D7C9B">
      <w:pPr>
        <w:spacing w:line="360" w:lineRule="auto"/>
        <w:jc w:val="both"/>
        <w:rPr>
          <w:rFonts w:ascii="Times New Roman" w:hAnsi="Times New Roman" w:cs="Times New Roman"/>
          <w:sz w:val="24"/>
          <w:szCs w:val="24"/>
        </w:rPr>
      </w:pPr>
      <w:r>
        <w:rPr>
          <w:rFonts w:ascii="Times New Roman" w:hAnsi="Times New Roman" w:cs="Times New Roman"/>
          <w:sz w:val="24"/>
          <w:szCs w:val="24"/>
        </w:rPr>
        <w:br w:type="page"/>
      </w:r>
      <w:r w:rsidRPr="007C25EF">
        <w:rPr>
          <w:rFonts w:ascii="Times New Roman" w:hAnsi="Times New Roman" w:cs="Times New Roman"/>
          <w:b/>
          <w:sz w:val="24"/>
          <w:szCs w:val="24"/>
        </w:rPr>
        <w:lastRenderedPageBreak/>
        <w:t>Table 2.7 Autolysin digest conditions.</w:t>
      </w:r>
      <w:r>
        <w:rPr>
          <w:rFonts w:ascii="Times New Roman" w:hAnsi="Times New Roman" w:cs="Times New Roman"/>
          <w:sz w:val="24"/>
          <w:szCs w:val="24"/>
        </w:rPr>
        <w:t xml:space="preserve"> Enzyme was typically incubated with 1-2 mg ml</w:t>
      </w:r>
      <w:r w:rsidRPr="005B5CB4">
        <w:rPr>
          <w:rFonts w:ascii="Times New Roman" w:hAnsi="Times New Roman" w:cs="Times New Roman"/>
          <w:sz w:val="24"/>
          <w:szCs w:val="24"/>
          <w:vertAlign w:val="superscript"/>
        </w:rPr>
        <w:t>-1</w:t>
      </w:r>
      <w:r>
        <w:rPr>
          <w:rFonts w:ascii="Times New Roman" w:hAnsi="Times New Roman" w:cs="Times New Roman"/>
          <w:sz w:val="24"/>
          <w:szCs w:val="24"/>
        </w:rPr>
        <w:t xml:space="preserve"> purified peptidoglycan </w:t>
      </w:r>
    </w:p>
    <w:tbl>
      <w:tblPr>
        <w:tblStyle w:val="TableGrid"/>
        <w:tblW w:w="5043" w:type="pct"/>
        <w:tblLook w:val="04A0"/>
      </w:tblPr>
      <w:tblGrid>
        <w:gridCol w:w="2175"/>
        <w:gridCol w:w="1942"/>
        <w:gridCol w:w="4569"/>
      </w:tblGrid>
      <w:tr w:rsidR="002D7C9B" w:rsidTr="002D7C9B">
        <w:tc>
          <w:tcPr>
            <w:tcW w:w="1252" w:type="pct"/>
            <w:tcBorders>
              <w:left w:val="nil"/>
              <w:bottom w:val="single" w:sz="4" w:space="0" w:color="auto"/>
              <w:right w:val="nil"/>
            </w:tcBorders>
            <w:tcMar>
              <w:top w:w="57" w:type="dxa"/>
              <w:left w:w="0" w:type="dxa"/>
              <w:right w:w="0" w:type="dxa"/>
            </w:tcMar>
          </w:tcPr>
          <w:p w:rsidR="002D7C9B" w:rsidRPr="00A54238" w:rsidRDefault="002D7C9B" w:rsidP="002D7C9B">
            <w:pPr>
              <w:spacing w:line="360" w:lineRule="auto"/>
              <w:jc w:val="center"/>
              <w:rPr>
                <w:rFonts w:ascii="Times New Roman" w:hAnsi="Times New Roman" w:cs="Times New Roman"/>
                <w:b/>
                <w:sz w:val="24"/>
                <w:szCs w:val="24"/>
              </w:rPr>
            </w:pPr>
            <w:r w:rsidRPr="00A54238">
              <w:rPr>
                <w:rFonts w:ascii="Times New Roman" w:hAnsi="Times New Roman" w:cs="Times New Roman"/>
                <w:b/>
                <w:sz w:val="24"/>
                <w:szCs w:val="24"/>
              </w:rPr>
              <w:t>Enzyme</w:t>
            </w:r>
          </w:p>
        </w:tc>
        <w:tc>
          <w:tcPr>
            <w:tcW w:w="1118" w:type="pct"/>
            <w:tcBorders>
              <w:left w:val="nil"/>
              <w:bottom w:val="single" w:sz="4" w:space="0" w:color="auto"/>
              <w:right w:val="nil"/>
            </w:tcBorders>
            <w:tcMar>
              <w:top w:w="57" w:type="dxa"/>
            </w:tcMar>
          </w:tcPr>
          <w:p w:rsidR="002D7C9B" w:rsidRDefault="002D7C9B" w:rsidP="002D7C9B">
            <w:pPr>
              <w:spacing w:line="360" w:lineRule="auto"/>
              <w:jc w:val="center"/>
              <w:rPr>
                <w:rFonts w:ascii="Times New Roman" w:hAnsi="Times New Roman" w:cs="Times New Roman"/>
                <w:b/>
                <w:sz w:val="24"/>
                <w:szCs w:val="24"/>
              </w:rPr>
            </w:pPr>
            <w:r w:rsidRPr="00A54238">
              <w:rPr>
                <w:rFonts w:ascii="Times New Roman" w:hAnsi="Times New Roman" w:cs="Times New Roman"/>
                <w:b/>
                <w:sz w:val="24"/>
                <w:szCs w:val="24"/>
              </w:rPr>
              <w:t>Concentration</w:t>
            </w:r>
          </w:p>
          <w:p w:rsidR="002D7C9B" w:rsidRPr="00A54238" w:rsidRDefault="002D7C9B" w:rsidP="002D7C9B">
            <w:pPr>
              <w:spacing w:line="360" w:lineRule="auto"/>
              <w:jc w:val="center"/>
              <w:rPr>
                <w:rFonts w:ascii="Times New Roman" w:hAnsi="Times New Roman" w:cs="Times New Roman"/>
                <w:b/>
                <w:sz w:val="24"/>
                <w:szCs w:val="24"/>
              </w:rPr>
            </w:pPr>
            <w:r>
              <w:rPr>
                <w:rFonts w:ascii="Times New Roman" w:hAnsi="Times New Roman" w:cs="Times New Roman"/>
                <w:sz w:val="24"/>
                <w:szCs w:val="24"/>
              </w:rPr>
              <w:t>µg ml</w:t>
            </w:r>
            <w:r w:rsidRPr="00B94B56">
              <w:rPr>
                <w:rFonts w:ascii="Times New Roman" w:hAnsi="Times New Roman" w:cs="Times New Roman"/>
                <w:sz w:val="24"/>
                <w:szCs w:val="24"/>
                <w:vertAlign w:val="superscript"/>
              </w:rPr>
              <w:t>-1</w:t>
            </w:r>
          </w:p>
        </w:tc>
        <w:tc>
          <w:tcPr>
            <w:tcW w:w="2630" w:type="pct"/>
            <w:tcBorders>
              <w:left w:val="nil"/>
              <w:bottom w:val="single" w:sz="4" w:space="0" w:color="auto"/>
              <w:right w:val="nil"/>
            </w:tcBorders>
            <w:tcMar>
              <w:top w:w="57" w:type="dxa"/>
            </w:tcMar>
          </w:tcPr>
          <w:p w:rsidR="002D7C9B" w:rsidRPr="00A54238" w:rsidRDefault="002D7C9B" w:rsidP="002D7C9B">
            <w:pPr>
              <w:spacing w:line="360" w:lineRule="auto"/>
              <w:jc w:val="center"/>
              <w:rPr>
                <w:rFonts w:ascii="Times New Roman" w:hAnsi="Times New Roman" w:cs="Times New Roman"/>
                <w:b/>
                <w:sz w:val="24"/>
                <w:szCs w:val="24"/>
              </w:rPr>
            </w:pPr>
            <w:r w:rsidRPr="00A54238">
              <w:rPr>
                <w:rFonts w:ascii="Times New Roman" w:hAnsi="Times New Roman" w:cs="Times New Roman"/>
                <w:b/>
                <w:sz w:val="24"/>
                <w:szCs w:val="24"/>
              </w:rPr>
              <w:t>Buffer</w:t>
            </w:r>
          </w:p>
        </w:tc>
      </w:tr>
      <w:tr w:rsidR="002D7C9B" w:rsidTr="002D7C9B">
        <w:tc>
          <w:tcPr>
            <w:tcW w:w="1252" w:type="pct"/>
            <w:tcBorders>
              <w:left w:val="nil"/>
              <w:bottom w:val="nil"/>
              <w:right w:val="nil"/>
            </w:tcBorders>
            <w:tcMar>
              <w:top w:w="284" w:type="dxa"/>
              <w:left w:w="0" w:type="dxa"/>
              <w:right w:w="0" w:type="dxa"/>
            </w:tcMar>
          </w:tcPr>
          <w:p w:rsidR="002D7C9B" w:rsidRDefault="002D7C9B" w:rsidP="002D7C9B">
            <w:pPr>
              <w:spacing w:line="360" w:lineRule="auto"/>
              <w:jc w:val="both"/>
              <w:rPr>
                <w:rFonts w:ascii="Times New Roman" w:hAnsi="Times New Roman" w:cs="Times New Roman"/>
                <w:sz w:val="24"/>
                <w:szCs w:val="24"/>
              </w:rPr>
            </w:pPr>
            <w:r>
              <w:rPr>
                <w:rFonts w:ascii="Times New Roman" w:hAnsi="Times New Roman" w:cs="Times New Roman"/>
                <w:sz w:val="24"/>
                <w:szCs w:val="24"/>
              </w:rPr>
              <w:t>rAtl amidase</w:t>
            </w:r>
          </w:p>
        </w:tc>
        <w:tc>
          <w:tcPr>
            <w:tcW w:w="1118" w:type="pct"/>
            <w:tcBorders>
              <w:left w:val="nil"/>
              <w:bottom w:val="nil"/>
              <w:right w:val="nil"/>
            </w:tcBorders>
            <w:tcMar>
              <w:top w:w="284" w:type="dxa"/>
            </w:tcMar>
          </w:tcPr>
          <w:p w:rsidR="002D7C9B" w:rsidRDefault="002D7C9B" w:rsidP="002D7C9B">
            <w:pPr>
              <w:spacing w:line="36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2630" w:type="pct"/>
            <w:tcBorders>
              <w:left w:val="nil"/>
              <w:bottom w:val="nil"/>
              <w:right w:val="nil"/>
            </w:tcBorders>
            <w:tcMar>
              <w:top w:w="284" w:type="dxa"/>
            </w:tcMar>
          </w:tcPr>
          <w:p w:rsidR="002D7C9B" w:rsidRDefault="002D7C9B" w:rsidP="002D7C9B">
            <w:pPr>
              <w:spacing w:line="360" w:lineRule="auto"/>
              <w:jc w:val="both"/>
              <w:rPr>
                <w:rFonts w:ascii="Times New Roman" w:hAnsi="Times New Roman" w:cs="Times New Roman"/>
                <w:sz w:val="24"/>
                <w:szCs w:val="24"/>
              </w:rPr>
            </w:pPr>
            <w:r>
              <w:rPr>
                <w:rFonts w:ascii="Times New Roman" w:hAnsi="Times New Roman" w:cs="Times New Roman"/>
                <w:sz w:val="24"/>
                <w:szCs w:val="24"/>
              </w:rPr>
              <w:t>10 mM Tris-HCl, pH 7.5; 0.1 mM CaCl</w:t>
            </w:r>
            <w:r w:rsidRPr="005B5CB4">
              <w:rPr>
                <w:rFonts w:ascii="Times New Roman" w:hAnsi="Times New Roman" w:cs="Times New Roman"/>
                <w:sz w:val="24"/>
                <w:szCs w:val="24"/>
                <w:vertAlign w:val="subscript"/>
              </w:rPr>
              <w:t>2</w:t>
            </w:r>
          </w:p>
        </w:tc>
      </w:tr>
      <w:tr w:rsidR="002D7C9B" w:rsidTr="002D7C9B">
        <w:tc>
          <w:tcPr>
            <w:tcW w:w="1252" w:type="pct"/>
            <w:tcBorders>
              <w:top w:val="nil"/>
              <w:left w:val="nil"/>
              <w:bottom w:val="nil"/>
              <w:right w:val="nil"/>
            </w:tcBorders>
            <w:tcMar>
              <w:left w:w="0" w:type="dxa"/>
              <w:right w:w="0" w:type="dxa"/>
            </w:tcMar>
          </w:tcPr>
          <w:p w:rsidR="002D7C9B" w:rsidRDefault="002D7C9B" w:rsidP="002D7C9B">
            <w:pPr>
              <w:spacing w:line="360" w:lineRule="auto"/>
              <w:jc w:val="both"/>
              <w:rPr>
                <w:rFonts w:ascii="Times New Roman" w:hAnsi="Times New Roman" w:cs="Times New Roman"/>
                <w:sz w:val="24"/>
                <w:szCs w:val="24"/>
              </w:rPr>
            </w:pPr>
            <w:r>
              <w:rPr>
                <w:rFonts w:ascii="Times New Roman" w:hAnsi="Times New Roman" w:cs="Times New Roman"/>
                <w:sz w:val="24"/>
                <w:szCs w:val="24"/>
              </w:rPr>
              <w:t>rAtl glucosaminidase</w:t>
            </w:r>
          </w:p>
        </w:tc>
        <w:tc>
          <w:tcPr>
            <w:tcW w:w="1118" w:type="pct"/>
            <w:tcBorders>
              <w:top w:val="nil"/>
              <w:left w:val="nil"/>
              <w:bottom w:val="nil"/>
              <w:right w:val="nil"/>
            </w:tcBorders>
          </w:tcPr>
          <w:p w:rsidR="002D7C9B" w:rsidRDefault="002D7C9B" w:rsidP="002D7C9B">
            <w:pPr>
              <w:spacing w:line="36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2630" w:type="pct"/>
            <w:tcBorders>
              <w:top w:val="nil"/>
              <w:left w:val="nil"/>
              <w:bottom w:val="nil"/>
              <w:right w:val="nil"/>
            </w:tcBorders>
          </w:tcPr>
          <w:p w:rsidR="002D7C9B" w:rsidRDefault="002D7C9B" w:rsidP="002D7C9B">
            <w:pPr>
              <w:spacing w:line="360" w:lineRule="auto"/>
              <w:jc w:val="both"/>
              <w:rPr>
                <w:rFonts w:ascii="Times New Roman" w:hAnsi="Times New Roman" w:cs="Times New Roman"/>
                <w:sz w:val="24"/>
                <w:szCs w:val="24"/>
              </w:rPr>
            </w:pPr>
            <w:r>
              <w:rPr>
                <w:rFonts w:ascii="Times New Roman" w:hAnsi="Times New Roman" w:cs="Times New Roman"/>
                <w:sz w:val="24"/>
                <w:szCs w:val="24"/>
              </w:rPr>
              <w:t>25 mM sodium phosphate buffer, pH 5.6</w:t>
            </w:r>
          </w:p>
        </w:tc>
      </w:tr>
      <w:tr w:rsidR="002D7C9B" w:rsidTr="002D7C9B">
        <w:tc>
          <w:tcPr>
            <w:tcW w:w="1252" w:type="pct"/>
            <w:tcBorders>
              <w:top w:val="nil"/>
              <w:left w:val="nil"/>
              <w:bottom w:val="nil"/>
              <w:right w:val="nil"/>
            </w:tcBorders>
            <w:tcMar>
              <w:left w:w="0" w:type="dxa"/>
              <w:right w:w="0" w:type="dxa"/>
            </w:tcMar>
          </w:tcPr>
          <w:p w:rsidR="002D7C9B" w:rsidRDefault="002D7C9B" w:rsidP="002D7C9B">
            <w:pPr>
              <w:spacing w:line="360" w:lineRule="auto"/>
              <w:jc w:val="both"/>
              <w:rPr>
                <w:rFonts w:ascii="Times New Roman" w:hAnsi="Times New Roman" w:cs="Times New Roman"/>
                <w:sz w:val="24"/>
                <w:szCs w:val="24"/>
              </w:rPr>
            </w:pPr>
            <w:r>
              <w:rPr>
                <w:rFonts w:ascii="Times New Roman" w:hAnsi="Times New Roman" w:cs="Times New Roman"/>
                <w:sz w:val="24"/>
                <w:szCs w:val="24"/>
              </w:rPr>
              <w:t>Mutanolysin</w:t>
            </w:r>
          </w:p>
        </w:tc>
        <w:tc>
          <w:tcPr>
            <w:tcW w:w="1118" w:type="pct"/>
            <w:tcBorders>
              <w:top w:val="nil"/>
              <w:left w:val="nil"/>
              <w:bottom w:val="nil"/>
              <w:right w:val="nil"/>
            </w:tcBorders>
          </w:tcPr>
          <w:p w:rsidR="002D7C9B" w:rsidRDefault="002D7C9B" w:rsidP="002D7C9B">
            <w:pPr>
              <w:spacing w:line="360" w:lineRule="auto"/>
              <w:jc w:val="center"/>
              <w:rPr>
                <w:rFonts w:ascii="Times New Roman" w:hAnsi="Times New Roman" w:cs="Times New Roman"/>
                <w:sz w:val="24"/>
                <w:szCs w:val="24"/>
              </w:rPr>
            </w:pPr>
            <w:r>
              <w:rPr>
                <w:rFonts w:ascii="Times New Roman" w:hAnsi="Times New Roman" w:cs="Times New Roman"/>
                <w:sz w:val="24"/>
                <w:szCs w:val="24"/>
              </w:rPr>
              <w:t>250</w:t>
            </w:r>
          </w:p>
        </w:tc>
        <w:tc>
          <w:tcPr>
            <w:tcW w:w="2630" w:type="pct"/>
            <w:tcBorders>
              <w:top w:val="nil"/>
              <w:left w:val="nil"/>
              <w:bottom w:val="nil"/>
              <w:right w:val="nil"/>
            </w:tcBorders>
          </w:tcPr>
          <w:p w:rsidR="002D7C9B" w:rsidRDefault="002D7C9B" w:rsidP="002D7C9B">
            <w:pPr>
              <w:spacing w:line="360" w:lineRule="auto"/>
              <w:jc w:val="both"/>
              <w:rPr>
                <w:rFonts w:ascii="Times New Roman" w:hAnsi="Times New Roman" w:cs="Times New Roman"/>
                <w:sz w:val="24"/>
                <w:szCs w:val="24"/>
              </w:rPr>
            </w:pPr>
            <w:r>
              <w:rPr>
                <w:rFonts w:ascii="Times New Roman" w:hAnsi="Times New Roman" w:cs="Times New Roman"/>
                <w:sz w:val="24"/>
                <w:szCs w:val="24"/>
              </w:rPr>
              <w:t>50 mM sodium phosphate buffer, pH 5.5</w:t>
            </w:r>
          </w:p>
        </w:tc>
      </w:tr>
      <w:tr w:rsidR="002D7C9B" w:rsidTr="002D7C9B">
        <w:tc>
          <w:tcPr>
            <w:tcW w:w="1252" w:type="pct"/>
            <w:tcBorders>
              <w:top w:val="nil"/>
              <w:left w:val="nil"/>
              <w:bottom w:val="nil"/>
              <w:right w:val="nil"/>
            </w:tcBorders>
            <w:tcMar>
              <w:left w:w="0" w:type="dxa"/>
              <w:right w:w="0" w:type="dxa"/>
            </w:tcMar>
          </w:tcPr>
          <w:p w:rsidR="002D7C9B" w:rsidRDefault="002D7C9B" w:rsidP="002D7C9B">
            <w:pPr>
              <w:spacing w:line="360" w:lineRule="auto"/>
              <w:jc w:val="both"/>
              <w:rPr>
                <w:rFonts w:ascii="Times New Roman" w:hAnsi="Times New Roman" w:cs="Times New Roman"/>
                <w:sz w:val="24"/>
                <w:szCs w:val="24"/>
              </w:rPr>
            </w:pPr>
            <w:r>
              <w:rPr>
                <w:rFonts w:ascii="Times New Roman" w:hAnsi="Times New Roman" w:cs="Times New Roman"/>
                <w:sz w:val="24"/>
                <w:szCs w:val="24"/>
              </w:rPr>
              <w:t>rSagB</w:t>
            </w:r>
          </w:p>
        </w:tc>
        <w:tc>
          <w:tcPr>
            <w:tcW w:w="1118" w:type="pct"/>
            <w:tcBorders>
              <w:top w:val="nil"/>
              <w:left w:val="nil"/>
              <w:bottom w:val="nil"/>
              <w:right w:val="nil"/>
            </w:tcBorders>
          </w:tcPr>
          <w:p w:rsidR="002D7C9B" w:rsidRDefault="002D7C9B" w:rsidP="002D7C9B">
            <w:pPr>
              <w:spacing w:line="360" w:lineRule="auto"/>
              <w:jc w:val="center"/>
              <w:rPr>
                <w:rFonts w:ascii="Times New Roman" w:hAnsi="Times New Roman" w:cs="Times New Roman"/>
                <w:sz w:val="24"/>
                <w:szCs w:val="24"/>
              </w:rPr>
            </w:pPr>
            <w:r>
              <w:rPr>
                <w:rFonts w:ascii="Times New Roman" w:hAnsi="Times New Roman" w:cs="Times New Roman"/>
                <w:sz w:val="24"/>
                <w:szCs w:val="24"/>
              </w:rPr>
              <w:t>250</w:t>
            </w:r>
          </w:p>
        </w:tc>
        <w:tc>
          <w:tcPr>
            <w:tcW w:w="2630" w:type="pct"/>
            <w:tcBorders>
              <w:top w:val="nil"/>
              <w:left w:val="nil"/>
              <w:bottom w:val="nil"/>
              <w:right w:val="nil"/>
            </w:tcBorders>
          </w:tcPr>
          <w:p w:rsidR="002D7C9B" w:rsidRDefault="002D7C9B" w:rsidP="002D7C9B">
            <w:pPr>
              <w:spacing w:line="360" w:lineRule="auto"/>
              <w:jc w:val="both"/>
              <w:rPr>
                <w:rFonts w:ascii="Times New Roman" w:hAnsi="Times New Roman" w:cs="Times New Roman"/>
                <w:sz w:val="24"/>
                <w:szCs w:val="24"/>
              </w:rPr>
            </w:pPr>
            <w:r>
              <w:rPr>
                <w:rFonts w:ascii="Times New Roman" w:hAnsi="Times New Roman" w:cs="Times New Roman"/>
                <w:sz w:val="24"/>
                <w:szCs w:val="24"/>
              </w:rPr>
              <w:t>50 mM Sodium citrate buffer, pH 6.0; 0.1 mM MgCl</w:t>
            </w:r>
            <w:r w:rsidRPr="003F77AE">
              <w:rPr>
                <w:rFonts w:ascii="Times New Roman" w:hAnsi="Times New Roman" w:cs="Times New Roman"/>
                <w:sz w:val="24"/>
                <w:szCs w:val="24"/>
                <w:vertAlign w:val="subscript"/>
              </w:rPr>
              <w:t>2</w:t>
            </w:r>
          </w:p>
        </w:tc>
      </w:tr>
      <w:tr w:rsidR="002D7C9B" w:rsidTr="002D7C9B">
        <w:tc>
          <w:tcPr>
            <w:tcW w:w="1252" w:type="pct"/>
            <w:tcBorders>
              <w:top w:val="nil"/>
              <w:left w:val="nil"/>
              <w:bottom w:val="nil"/>
              <w:right w:val="nil"/>
            </w:tcBorders>
            <w:tcMar>
              <w:left w:w="0" w:type="dxa"/>
              <w:right w:w="0" w:type="dxa"/>
            </w:tcMar>
          </w:tcPr>
          <w:p w:rsidR="002D7C9B" w:rsidRDefault="002D7C9B" w:rsidP="002D7C9B">
            <w:pPr>
              <w:spacing w:line="360" w:lineRule="auto"/>
              <w:jc w:val="both"/>
              <w:rPr>
                <w:rFonts w:ascii="Times New Roman" w:hAnsi="Times New Roman" w:cs="Times New Roman"/>
                <w:sz w:val="24"/>
                <w:szCs w:val="24"/>
              </w:rPr>
            </w:pPr>
            <w:r>
              <w:rPr>
                <w:rFonts w:ascii="Times New Roman" w:hAnsi="Times New Roman" w:cs="Times New Roman"/>
                <w:sz w:val="24"/>
                <w:szCs w:val="24"/>
              </w:rPr>
              <w:t>Lysostaphin</w:t>
            </w:r>
          </w:p>
        </w:tc>
        <w:tc>
          <w:tcPr>
            <w:tcW w:w="1118" w:type="pct"/>
            <w:tcBorders>
              <w:top w:val="nil"/>
              <w:left w:val="nil"/>
              <w:bottom w:val="nil"/>
              <w:right w:val="nil"/>
            </w:tcBorders>
          </w:tcPr>
          <w:p w:rsidR="002D7C9B" w:rsidRDefault="002D7C9B" w:rsidP="002D7C9B">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250 </w:t>
            </w:r>
          </w:p>
        </w:tc>
        <w:tc>
          <w:tcPr>
            <w:tcW w:w="2630" w:type="pct"/>
            <w:tcBorders>
              <w:top w:val="nil"/>
              <w:left w:val="nil"/>
              <w:bottom w:val="nil"/>
              <w:right w:val="nil"/>
            </w:tcBorders>
          </w:tcPr>
          <w:p w:rsidR="002D7C9B" w:rsidRDefault="002D7C9B" w:rsidP="002D7C9B">
            <w:pPr>
              <w:spacing w:line="360" w:lineRule="auto"/>
              <w:jc w:val="both"/>
              <w:rPr>
                <w:rFonts w:ascii="Times New Roman" w:hAnsi="Times New Roman" w:cs="Times New Roman"/>
                <w:sz w:val="24"/>
                <w:szCs w:val="24"/>
              </w:rPr>
            </w:pPr>
            <w:r>
              <w:rPr>
                <w:rFonts w:ascii="Times New Roman" w:hAnsi="Times New Roman" w:cs="Times New Roman"/>
                <w:sz w:val="24"/>
                <w:szCs w:val="24"/>
              </w:rPr>
              <w:t>50 mM Tris-HCl, pH 7.0</w:t>
            </w:r>
          </w:p>
        </w:tc>
      </w:tr>
      <w:tr w:rsidR="002D7C9B" w:rsidTr="002D7C9B">
        <w:tc>
          <w:tcPr>
            <w:tcW w:w="1252" w:type="pct"/>
            <w:tcBorders>
              <w:top w:val="nil"/>
              <w:left w:val="nil"/>
              <w:right w:val="nil"/>
            </w:tcBorders>
            <w:tcMar>
              <w:left w:w="0" w:type="dxa"/>
              <w:right w:w="0" w:type="dxa"/>
            </w:tcMar>
          </w:tcPr>
          <w:p w:rsidR="002D7C9B" w:rsidRDefault="002D7C9B" w:rsidP="002D7C9B">
            <w:pPr>
              <w:spacing w:line="360" w:lineRule="auto"/>
              <w:jc w:val="both"/>
              <w:rPr>
                <w:rFonts w:ascii="Times New Roman" w:hAnsi="Times New Roman" w:cs="Times New Roman"/>
                <w:sz w:val="24"/>
                <w:szCs w:val="24"/>
              </w:rPr>
            </w:pPr>
          </w:p>
        </w:tc>
        <w:tc>
          <w:tcPr>
            <w:tcW w:w="1118" w:type="pct"/>
            <w:tcBorders>
              <w:top w:val="nil"/>
              <w:left w:val="nil"/>
              <w:right w:val="nil"/>
            </w:tcBorders>
          </w:tcPr>
          <w:p w:rsidR="002D7C9B" w:rsidRDefault="002D7C9B" w:rsidP="002D7C9B">
            <w:pPr>
              <w:spacing w:line="360" w:lineRule="auto"/>
              <w:jc w:val="center"/>
              <w:rPr>
                <w:rFonts w:ascii="Times New Roman" w:hAnsi="Times New Roman" w:cs="Times New Roman"/>
                <w:sz w:val="24"/>
                <w:szCs w:val="24"/>
              </w:rPr>
            </w:pPr>
          </w:p>
        </w:tc>
        <w:tc>
          <w:tcPr>
            <w:tcW w:w="2630" w:type="pct"/>
            <w:tcBorders>
              <w:top w:val="nil"/>
              <w:left w:val="nil"/>
              <w:right w:val="nil"/>
            </w:tcBorders>
          </w:tcPr>
          <w:p w:rsidR="002D7C9B" w:rsidRDefault="002D7C9B" w:rsidP="002D7C9B">
            <w:pPr>
              <w:spacing w:line="360" w:lineRule="auto"/>
              <w:jc w:val="both"/>
              <w:rPr>
                <w:rFonts w:ascii="Times New Roman" w:hAnsi="Times New Roman" w:cs="Times New Roman"/>
                <w:sz w:val="24"/>
                <w:szCs w:val="24"/>
              </w:rPr>
            </w:pPr>
          </w:p>
        </w:tc>
      </w:tr>
    </w:tbl>
    <w:p w:rsidR="002D7C9B" w:rsidRDefault="002D7C9B" w:rsidP="002D7C9B">
      <w:pPr>
        <w:rPr>
          <w:rFonts w:ascii="Times New Roman" w:hAnsi="Times New Roman" w:cs="Times New Roman"/>
          <w:sz w:val="24"/>
          <w:szCs w:val="24"/>
        </w:rPr>
      </w:pPr>
      <w:r>
        <w:rPr>
          <w:rFonts w:ascii="Times New Roman" w:hAnsi="Times New Roman" w:cs="Times New Roman"/>
          <w:sz w:val="24"/>
          <w:szCs w:val="24"/>
        </w:rPr>
        <w:br w:type="page"/>
      </w:r>
    </w:p>
    <w:p w:rsidR="002D7C9B" w:rsidRPr="0076399D" w:rsidRDefault="002D7C9B" w:rsidP="002D7C9B">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lastRenderedPageBreak/>
        <w:t>2.7</w:t>
      </w:r>
      <w:r w:rsidRPr="0076399D">
        <w:rPr>
          <w:rFonts w:ascii="Times New Roman" w:hAnsi="Times New Roman" w:cs="Times New Roman"/>
          <w:sz w:val="28"/>
          <w:szCs w:val="28"/>
        </w:rPr>
        <w:tab/>
      </w:r>
      <w:r w:rsidRPr="0076399D">
        <w:rPr>
          <w:rFonts w:ascii="Times New Roman" w:hAnsi="Times New Roman" w:cs="Times New Roman"/>
          <w:sz w:val="28"/>
          <w:szCs w:val="28"/>
        </w:rPr>
        <w:tab/>
        <w:t>Determination of bacterial cell density</w:t>
      </w:r>
    </w:p>
    <w:p w:rsidR="002D7C9B" w:rsidRPr="0076399D" w:rsidRDefault="002D7C9B" w:rsidP="002D7C9B">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t>2.7.1</w:t>
      </w:r>
      <w:r w:rsidRPr="0076399D">
        <w:rPr>
          <w:rFonts w:ascii="Times New Roman" w:hAnsi="Times New Roman" w:cs="Times New Roman"/>
          <w:sz w:val="28"/>
          <w:szCs w:val="28"/>
        </w:rPr>
        <w:tab/>
      </w:r>
      <w:r w:rsidRPr="0076399D">
        <w:rPr>
          <w:rFonts w:ascii="Times New Roman" w:hAnsi="Times New Roman" w:cs="Times New Roman"/>
          <w:sz w:val="28"/>
          <w:szCs w:val="28"/>
        </w:rPr>
        <w:tab/>
        <w:t>Measurement by spectrophotometry (OD</w:t>
      </w:r>
      <w:r w:rsidRPr="0076399D">
        <w:rPr>
          <w:rFonts w:ascii="Times New Roman" w:hAnsi="Times New Roman" w:cs="Times New Roman"/>
          <w:sz w:val="28"/>
          <w:szCs w:val="28"/>
          <w:vertAlign w:val="subscript"/>
        </w:rPr>
        <w:t>600</w:t>
      </w:r>
      <w:r w:rsidRPr="0076399D">
        <w:rPr>
          <w:rFonts w:ascii="Times New Roman" w:hAnsi="Times New Roman" w:cs="Times New Roman"/>
          <w:sz w:val="28"/>
          <w:szCs w:val="28"/>
        </w:rPr>
        <w:t>)</w:t>
      </w:r>
    </w:p>
    <w:p w:rsidR="002D7C9B" w:rsidRDefault="002D7C9B" w:rsidP="002D7C9B">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Spectrophotometric measurement at 600 nm wavelength (OD</w:t>
      </w:r>
      <w:r w:rsidRPr="0076399D">
        <w:rPr>
          <w:rFonts w:ascii="Times New Roman" w:hAnsi="Times New Roman" w:cs="Times New Roman"/>
          <w:sz w:val="24"/>
          <w:szCs w:val="24"/>
          <w:vertAlign w:val="subscript"/>
        </w:rPr>
        <w:t>600</w:t>
      </w:r>
      <w:r w:rsidRPr="0076399D">
        <w:rPr>
          <w:rFonts w:ascii="Times New Roman" w:hAnsi="Times New Roman" w:cs="Times New Roman"/>
          <w:sz w:val="24"/>
          <w:szCs w:val="24"/>
        </w:rPr>
        <w:t xml:space="preserve">) was conducted for quantification of the bacterial yield of a liquid culture. Measurements were taken using a </w:t>
      </w:r>
      <w:r>
        <w:rPr>
          <w:rFonts w:ascii="Times New Roman" w:hAnsi="Times New Roman" w:cs="Times New Roman"/>
          <w:sz w:val="24"/>
          <w:szCs w:val="24"/>
        </w:rPr>
        <w:t>Biochrom WPA Biowave DNA Life Science</w:t>
      </w:r>
      <w:r w:rsidRPr="0076399D">
        <w:rPr>
          <w:rFonts w:ascii="Times New Roman" w:hAnsi="Times New Roman" w:cs="Times New Roman"/>
          <w:sz w:val="24"/>
          <w:szCs w:val="24"/>
        </w:rPr>
        <w:t xml:space="preserve"> spectrophotometer</w:t>
      </w:r>
      <w:r>
        <w:rPr>
          <w:rFonts w:ascii="Times New Roman" w:hAnsi="Times New Roman" w:cs="Times New Roman"/>
          <w:sz w:val="24"/>
          <w:szCs w:val="24"/>
        </w:rPr>
        <w:t>.</w:t>
      </w:r>
      <w:r w:rsidRPr="0076399D">
        <w:rPr>
          <w:rFonts w:ascii="Times New Roman" w:hAnsi="Times New Roman" w:cs="Times New Roman"/>
          <w:sz w:val="24"/>
          <w:szCs w:val="24"/>
        </w:rPr>
        <w:t xml:space="preserve"> Culture samples were diluted in sterile culture medium or buffer as appropriate, to provide readings within the optimum accuracy range (below 0.6).</w:t>
      </w:r>
      <w:r>
        <w:rPr>
          <w:rFonts w:ascii="Times New Roman" w:hAnsi="Times New Roman" w:cs="Times New Roman"/>
          <w:sz w:val="24"/>
          <w:szCs w:val="24"/>
        </w:rPr>
        <w:t xml:space="preserve"> For growth experiments involving mutants with clumping phenotypes, cells were first sonicated gently using a Sanyo Soniprep 150, until cell aggregates were visibly dispersed (~30 s), which was verified by microscopy.</w:t>
      </w:r>
    </w:p>
    <w:p w:rsidR="002D7C9B" w:rsidRDefault="002D7C9B" w:rsidP="002D7C9B">
      <w:pPr>
        <w:rPr>
          <w:rFonts w:ascii="Times New Roman" w:hAnsi="Times New Roman" w:cs="Times New Roman"/>
          <w:sz w:val="24"/>
          <w:szCs w:val="24"/>
        </w:rPr>
      </w:pPr>
    </w:p>
    <w:p w:rsidR="002D7C9B" w:rsidRPr="0076399D" w:rsidRDefault="002D7C9B" w:rsidP="002D7C9B">
      <w:pPr>
        <w:spacing w:after="120" w:line="480" w:lineRule="auto"/>
        <w:jc w:val="both"/>
        <w:rPr>
          <w:rFonts w:ascii="Times New Roman" w:hAnsi="Times New Roman" w:cs="Times New Roman"/>
          <w:sz w:val="24"/>
          <w:szCs w:val="24"/>
        </w:rPr>
      </w:pPr>
      <w:r w:rsidRPr="0076399D">
        <w:rPr>
          <w:rFonts w:ascii="Times New Roman" w:hAnsi="Times New Roman" w:cs="Times New Roman"/>
          <w:sz w:val="28"/>
          <w:szCs w:val="28"/>
        </w:rPr>
        <w:t>2.7.2</w:t>
      </w:r>
      <w:r w:rsidRPr="0076399D">
        <w:rPr>
          <w:rFonts w:ascii="Times New Roman" w:hAnsi="Times New Roman" w:cs="Times New Roman"/>
          <w:sz w:val="28"/>
          <w:szCs w:val="28"/>
        </w:rPr>
        <w:tab/>
      </w:r>
      <w:r w:rsidRPr="0076399D">
        <w:rPr>
          <w:rFonts w:ascii="Times New Roman" w:hAnsi="Times New Roman" w:cs="Times New Roman"/>
          <w:sz w:val="28"/>
          <w:szCs w:val="28"/>
        </w:rPr>
        <w:tab/>
        <w:t>Measurement by direct cell counts (cfu</w:t>
      </w:r>
      <w:r>
        <w:rPr>
          <w:rFonts w:ascii="Times New Roman" w:hAnsi="Times New Roman" w:cs="Times New Roman"/>
          <w:sz w:val="28"/>
          <w:szCs w:val="28"/>
        </w:rPr>
        <w:t xml:space="preserve"> </w:t>
      </w:r>
      <w:r w:rsidRPr="0076399D">
        <w:rPr>
          <w:rFonts w:ascii="Times New Roman" w:hAnsi="Times New Roman" w:cs="Times New Roman"/>
          <w:sz w:val="28"/>
          <w:szCs w:val="28"/>
        </w:rPr>
        <w:t>ml</w:t>
      </w:r>
      <w:r w:rsidRPr="007C25EF">
        <w:rPr>
          <w:rFonts w:ascii="Times New Roman" w:hAnsi="Times New Roman" w:cs="Times New Roman"/>
          <w:sz w:val="28"/>
          <w:szCs w:val="28"/>
          <w:vertAlign w:val="superscript"/>
        </w:rPr>
        <w:t>-1</w:t>
      </w:r>
      <w:r w:rsidRPr="0076399D">
        <w:rPr>
          <w:rFonts w:ascii="Times New Roman" w:hAnsi="Times New Roman" w:cs="Times New Roman"/>
          <w:sz w:val="28"/>
          <w:szCs w:val="28"/>
        </w:rPr>
        <w:t>)</w:t>
      </w:r>
    </w:p>
    <w:p w:rsidR="002D7C9B" w:rsidRPr="0076399D" w:rsidRDefault="002D7C9B" w:rsidP="002D7C9B">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Viable cell numbers of liquid cultures were quantified by direct cell counts. Bacterial samples were serial diluted 1:10 in PBS. 10 µl of each dilution was spotted onto TSB agar plates containing appropriate antibiotics or supplements as necessary. The number</w:t>
      </w:r>
      <w:r>
        <w:rPr>
          <w:rFonts w:ascii="Times New Roman" w:hAnsi="Times New Roman" w:cs="Times New Roman"/>
          <w:sz w:val="24"/>
          <w:szCs w:val="24"/>
        </w:rPr>
        <w:t xml:space="preserve"> of colony forming unit</w:t>
      </w:r>
      <w:r w:rsidRPr="0076399D">
        <w:rPr>
          <w:rFonts w:ascii="Times New Roman" w:hAnsi="Times New Roman" w:cs="Times New Roman"/>
          <w:sz w:val="24"/>
          <w:szCs w:val="24"/>
        </w:rPr>
        <w:t xml:space="preserve">s (cfu) was determined </w:t>
      </w:r>
      <w:r>
        <w:rPr>
          <w:rFonts w:ascii="Times New Roman" w:hAnsi="Times New Roman" w:cs="Times New Roman"/>
          <w:sz w:val="24"/>
          <w:szCs w:val="24"/>
        </w:rPr>
        <w:t>once individual colonies could easily be visualised for quantification (between 12 and 48 h growth)</w:t>
      </w:r>
      <w:r w:rsidRPr="0076399D">
        <w:rPr>
          <w:rFonts w:ascii="Times New Roman" w:hAnsi="Times New Roman" w:cs="Times New Roman"/>
          <w:sz w:val="24"/>
          <w:szCs w:val="24"/>
        </w:rPr>
        <w:t>.</w:t>
      </w:r>
      <w:r>
        <w:rPr>
          <w:rFonts w:ascii="Times New Roman" w:hAnsi="Times New Roman" w:cs="Times New Roman"/>
          <w:sz w:val="24"/>
          <w:szCs w:val="24"/>
        </w:rPr>
        <w:t xml:space="preserve"> For growth experiments involving mutants with clumping phenotypes, cells were first sonicated gently using a Sanyo Soniprep 150, until aggregates were visibly dispersed (~30 s), which was verified by microscopy.</w:t>
      </w:r>
    </w:p>
    <w:p w:rsidR="002D7C9B" w:rsidRDefault="002D7C9B" w:rsidP="002D7C9B">
      <w:pPr>
        <w:rPr>
          <w:rFonts w:ascii="Times New Roman" w:hAnsi="Times New Roman" w:cs="Times New Roman"/>
          <w:sz w:val="24"/>
          <w:szCs w:val="24"/>
        </w:rPr>
      </w:pPr>
      <w:r>
        <w:rPr>
          <w:rFonts w:ascii="Times New Roman" w:hAnsi="Times New Roman" w:cs="Times New Roman"/>
          <w:sz w:val="24"/>
          <w:szCs w:val="24"/>
        </w:rPr>
        <w:br w:type="page"/>
      </w:r>
    </w:p>
    <w:p w:rsidR="002D7C9B" w:rsidRPr="0076399D" w:rsidRDefault="002D7C9B" w:rsidP="002D7C9B">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lastRenderedPageBreak/>
        <w:t>2.8</w:t>
      </w:r>
      <w:r w:rsidRPr="0076399D">
        <w:rPr>
          <w:rFonts w:ascii="Times New Roman" w:hAnsi="Times New Roman" w:cs="Times New Roman"/>
          <w:sz w:val="28"/>
          <w:szCs w:val="28"/>
        </w:rPr>
        <w:tab/>
      </w:r>
      <w:r w:rsidRPr="0076399D">
        <w:rPr>
          <w:rFonts w:ascii="Times New Roman" w:hAnsi="Times New Roman" w:cs="Times New Roman"/>
          <w:sz w:val="28"/>
          <w:szCs w:val="28"/>
        </w:rPr>
        <w:tab/>
        <w:t>DNA purification techniques</w:t>
      </w:r>
    </w:p>
    <w:p w:rsidR="002D7C9B" w:rsidRPr="0076399D" w:rsidRDefault="002D7C9B" w:rsidP="002D7C9B">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t>2.8.1</w:t>
      </w:r>
      <w:r w:rsidRPr="0076399D">
        <w:rPr>
          <w:rFonts w:ascii="Times New Roman" w:hAnsi="Times New Roman" w:cs="Times New Roman"/>
          <w:sz w:val="28"/>
          <w:szCs w:val="28"/>
        </w:rPr>
        <w:tab/>
      </w:r>
      <w:r w:rsidRPr="0076399D">
        <w:rPr>
          <w:rFonts w:ascii="Times New Roman" w:hAnsi="Times New Roman" w:cs="Times New Roman"/>
          <w:sz w:val="28"/>
          <w:szCs w:val="28"/>
        </w:rPr>
        <w:tab/>
        <w:t>Genomic DNA extraction</w:t>
      </w:r>
    </w:p>
    <w:p w:rsidR="002D7C9B" w:rsidRPr="0076399D" w:rsidRDefault="002D7C9B" w:rsidP="002D7C9B">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 xml:space="preserve">Genomic DNA </w:t>
      </w:r>
      <w:r>
        <w:rPr>
          <w:rFonts w:ascii="Times New Roman" w:hAnsi="Times New Roman" w:cs="Times New Roman"/>
          <w:sz w:val="24"/>
          <w:szCs w:val="24"/>
        </w:rPr>
        <w:t xml:space="preserve">of </w:t>
      </w:r>
      <w:r w:rsidRPr="0076399D">
        <w:rPr>
          <w:rFonts w:ascii="Times New Roman" w:hAnsi="Times New Roman" w:cs="Times New Roman"/>
          <w:i/>
          <w:sz w:val="24"/>
          <w:szCs w:val="24"/>
        </w:rPr>
        <w:t>S. aureus</w:t>
      </w:r>
      <w:r w:rsidRPr="0076399D">
        <w:rPr>
          <w:rFonts w:ascii="Times New Roman" w:hAnsi="Times New Roman" w:cs="Times New Roman"/>
          <w:sz w:val="24"/>
          <w:szCs w:val="24"/>
        </w:rPr>
        <w:t xml:space="preserve"> was isolated and purified with a QIAGEN DNeasy</w:t>
      </w:r>
      <w:r w:rsidRPr="0076399D">
        <w:rPr>
          <w:rFonts w:ascii="Times New Roman" w:hAnsi="Times New Roman" w:cs="Times New Roman"/>
          <w:sz w:val="24"/>
          <w:szCs w:val="24"/>
          <w:vertAlign w:val="superscript"/>
        </w:rPr>
        <w:t>TM</w:t>
      </w:r>
      <w:r w:rsidRPr="0076399D">
        <w:rPr>
          <w:rFonts w:ascii="Times New Roman" w:hAnsi="Times New Roman" w:cs="Times New Roman"/>
          <w:sz w:val="24"/>
          <w:szCs w:val="24"/>
        </w:rPr>
        <w:t xml:space="preserve"> kit using a method based on the manufacturer’s instructions. A 1 ml aliquot of an overnight culture (</w:t>
      </w:r>
      <w:r>
        <w:rPr>
          <w:rFonts w:ascii="Times New Roman" w:hAnsi="Times New Roman" w:cs="Times New Roman"/>
          <w:sz w:val="24"/>
          <w:szCs w:val="24"/>
        </w:rPr>
        <w:t>~</w:t>
      </w:r>
      <w:r w:rsidRPr="0076399D">
        <w:rPr>
          <w:rFonts w:ascii="Times New Roman" w:hAnsi="Times New Roman" w:cs="Times New Roman"/>
          <w:sz w:val="24"/>
          <w:szCs w:val="24"/>
        </w:rPr>
        <w:t>1 x10</w:t>
      </w:r>
      <w:r w:rsidRPr="0076399D">
        <w:rPr>
          <w:rFonts w:ascii="Times New Roman" w:hAnsi="Times New Roman" w:cs="Times New Roman"/>
          <w:sz w:val="24"/>
          <w:szCs w:val="24"/>
          <w:vertAlign w:val="superscript"/>
        </w:rPr>
        <w:t>8</w:t>
      </w:r>
      <w:r w:rsidRPr="0076399D">
        <w:rPr>
          <w:rFonts w:ascii="Times New Roman" w:hAnsi="Times New Roman" w:cs="Times New Roman"/>
          <w:sz w:val="24"/>
          <w:szCs w:val="24"/>
        </w:rPr>
        <w:t xml:space="preserve"> cells) was </w:t>
      </w:r>
      <w:r>
        <w:rPr>
          <w:rFonts w:ascii="Times New Roman" w:hAnsi="Times New Roman" w:cs="Times New Roman"/>
          <w:sz w:val="24"/>
          <w:szCs w:val="24"/>
        </w:rPr>
        <w:t>centrifuged</w:t>
      </w:r>
      <w:r w:rsidRPr="0076399D">
        <w:rPr>
          <w:rFonts w:ascii="Times New Roman" w:hAnsi="Times New Roman" w:cs="Times New Roman"/>
          <w:sz w:val="24"/>
          <w:szCs w:val="24"/>
        </w:rPr>
        <w:t xml:space="preserve"> in a microcentrifuge tube at 14,000 rpm for 2 min. </w:t>
      </w:r>
      <w:r>
        <w:rPr>
          <w:rFonts w:ascii="Times New Roman" w:hAnsi="Times New Roman" w:cs="Times New Roman"/>
          <w:sz w:val="24"/>
          <w:szCs w:val="24"/>
        </w:rPr>
        <w:t>T</w:t>
      </w:r>
      <w:r w:rsidRPr="0076399D">
        <w:rPr>
          <w:rFonts w:ascii="Times New Roman" w:hAnsi="Times New Roman" w:cs="Times New Roman"/>
          <w:sz w:val="24"/>
          <w:szCs w:val="24"/>
        </w:rPr>
        <w:t xml:space="preserve">he supernatant was discarded, and the pellet resuspended in 180 µl of PBS with </w:t>
      </w:r>
      <w:r>
        <w:rPr>
          <w:rFonts w:ascii="Times New Roman" w:hAnsi="Times New Roman" w:cs="Times New Roman"/>
          <w:sz w:val="24"/>
          <w:szCs w:val="24"/>
        </w:rPr>
        <w:t>500</w:t>
      </w:r>
      <w:r w:rsidRPr="0076399D">
        <w:rPr>
          <w:rFonts w:ascii="Times New Roman" w:hAnsi="Times New Roman" w:cs="Times New Roman"/>
          <w:sz w:val="24"/>
          <w:szCs w:val="24"/>
        </w:rPr>
        <w:t xml:space="preserve"> </w:t>
      </w:r>
      <w:r>
        <w:rPr>
          <w:rFonts w:ascii="Times New Roman" w:hAnsi="Times New Roman" w:cs="Times New Roman"/>
          <w:sz w:val="24"/>
          <w:szCs w:val="24"/>
        </w:rPr>
        <w:t>µ</w:t>
      </w:r>
      <w:r w:rsidRPr="00A77109">
        <w:rPr>
          <w:rFonts w:ascii="Times New Roman" w:hAnsi="Times New Roman" w:cs="Times New Roman"/>
          <w:sz w:val="24"/>
          <w:szCs w:val="24"/>
        </w:rPr>
        <w:t>g ml</w:t>
      </w:r>
      <w:r w:rsidRPr="00A77109">
        <w:rPr>
          <w:rFonts w:ascii="Times New Roman" w:hAnsi="Times New Roman" w:cs="Times New Roman"/>
          <w:sz w:val="24"/>
          <w:szCs w:val="24"/>
          <w:vertAlign w:val="superscript"/>
        </w:rPr>
        <w:t>-1</w:t>
      </w:r>
      <w:r w:rsidRPr="0076399D">
        <w:rPr>
          <w:rFonts w:ascii="Times New Roman" w:hAnsi="Times New Roman" w:cs="Times New Roman"/>
          <w:sz w:val="24"/>
          <w:szCs w:val="24"/>
        </w:rPr>
        <w:t xml:space="preserve"> lysostaphin and incubated at 37 °C for 30 minutes. The resulting lysed culture was combined with 25 µl proteinase K</w:t>
      </w:r>
      <w:r>
        <w:rPr>
          <w:rFonts w:ascii="Times New Roman" w:hAnsi="Times New Roman" w:cs="Times New Roman"/>
          <w:sz w:val="24"/>
          <w:szCs w:val="24"/>
        </w:rPr>
        <w:t xml:space="preserve"> (20 mg ml</w:t>
      </w:r>
      <w:r w:rsidRPr="008F688C">
        <w:rPr>
          <w:rFonts w:ascii="Times New Roman" w:hAnsi="Times New Roman" w:cs="Times New Roman"/>
          <w:sz w:val="24"/>
          <w:szCs w:val="24"/>
          <w:vertAlign w:val="superscript"/>
        </w:rPr>
        <w:t>-1</w:t>
      </w:r>
      <w:r>
        <w:rPr>
          <w:rFonts w:ascii="Times New Roman" w:hAnsi="Times New Roman" w:cs="Times New Roman"/>
          <w:sz w:val="24"/>
          <w:szCs w:val="24"/>
        </w:rPr>
        <w:t>)</w:t>
      </w:r>
      <w:r w:rsidRPr="0076399D">
        <w:rPr>
          <w:rFonts w:ascii="Times New Roman" w:hAnsi="Times New Roman" w:cs="Times New Roman"/>
          <w:sz w:val="24"/>
          <w:szCs w:val="24"/>
        </w:rPr>
        <w:t xml:space="preserve"> and 200 </w:t>
      </w:r>
      <w:r>
        <w:rPr>
          <w:rFonts w:ascii="Times New Roman" w:hAnsi="Times New Roman" w:cs="Times New Roman"/>
          <w:sz w:val="24"/>
          <w:szCs w:val="24"/>
        </w:rPr>
        <w:t>µl buffer AL, mixed by vortex</w:t>
      </w:r>
      <w:r w:rsidRPr="0076399D">
        <w:rPr>
          <w:rFonts w:ascii="Times New Roman" w:hAnsi="Times New Roman" w:cs="Times New Roman"/>
          <w:sz w:val="24"/>
          <w:szCs w:val="24"/>
        </w:rPr>
        <w:t xml:space="preserve"> and incubated at 56 °C for 25 min. Following incubation, 200 µl of 100% (v/v) ethanol was added and mixed thoroughly by vortex. The entire mixture was transferred by pipette to a DNeasy</w:t>
      </w:r>
      <w:r w:rsidRPr="0076399D">
        <w:rPr>
          <w:rFonts w:ascii="Times New Roman" w:hAnsi="Times New Roman" w:cs="Times New Roman"/>
          <w:sz w:val="24"/>
          <w:szCs w:val="24"/>
          <w:vertAlign w:val="superscript"/>
        </w:rPr>
        <w:t>TM</w:t>
      </w:r>
      <w:r w:rsidRPr="0076399D">
        <w:rPr>
          <w:rFonts w:ascii="Times New Roman" w:hAnsi="Times New Roman" w:cs="Times New Roman"/>
          <w:sz w:val="24"/>
          <w:szCs w:val="24"/>
        </w:rPr>
        <w:t xml:space="preserve"> Mini Spin Column and</w:t>
      </w:r>
      <w:r>
        <w:rPr>
          <w:rFonts w:ascii="Times New Roman" w:hAnsi="Times New Roman" w:cs="Times New Roman"/>
          <w:sz w:val="24"/>
          <w:szCs w:val="24"/>
        </w:rPr>
        <w:t xml:space="preserve"> centrifuged at 8000 rpm for </w:t>
      </w:r>
      <w:r w:rsidRPr="0076399D">
        <w:rPr>
          <w:rFonts w:ascii="Times New Roman" w:hAnsi="Times New Roman" w:cs="Times New Roman"/>
          <w:sz w:val="24"/>
          <w:szCs w:val="24"/>
        </w:rPr>
        <w:t xml:space="preserve">1 min. The flow-through and collection tube were discarded and the column placed in a new collection tube before addition of 500 µl of AW1 buffer. Following centrifugation at 8000 rpm for 1 min and transfer of the column to a fresh collection tube, 500 µl of buffer AW2 was added. The column was </w:t>
      </w:r>
      <w:r>
        <w:rPr>
          <w:rFonts w:ascii="Times New Roman" w:hAnsi="Times New Roman" w:cs="Times New Roman"/>
          <w:sz w:val="24"/>
          <w:szCs w:val="24"/>
        </w:rPr>
        <w:t>centrifuged</w:t>
      </w:r>
      <w:r w:rsidRPr="0076399D">
        <w:rPr>
          <w:rFonts w:ascii="Times New Roman" w:hAnsi="Times New Roman" w:cs="Times New Roman"/>
          <w:sz w:val="24"/>
          <w:szCs w:val="24"/>
        </w:rPr>
        <w:t xml:space="preserve"> at 14,000 rpm for 3 min to ensure that the column was dry. The column was carefully transferred to a fresh microcentrifuge tube, ensuring that the column did not come into contact with the flow-through</w:t>
      </w:r>
      <w:r>
        <w:rPr>
          <w:rFonts w:ascii="Times New Roman" w:hAnsi="Times New Roman" w:cs="Times New Roman"/>
          <w:sz w:val="24"/>
          <w:szCs w:val="24"/>
        </w:rPr>
        <w:t>.</w:t>
      </w:r>
      <w:r w:rsidRPr="0076399D">
        <w:rPr>
          <w:rFonts w:ascii="Times New Roman" w:hAnsi="Times New Roman" w:cs="Times New Roman"/>
          <w:sz w:val="24"/>
          <w:szCs w:val="24"/>
        </w:rPr>
        <w:t xml:space="preserve"> DNA was eluted by addition of 200 µl of AE buffer directly to the filter, incubation at room temperature for 1 min, and centrifugation at 8000 rpm for 1 min. Long term storage for genomic DNA was at -20 °C.</w:t>
      </w:r>
    </w:p>
    <w:p w:rsidR="002D7C9B" w:rsidRDefault="002D7C9B" w:rsidP="002D7C9B">
      <w:pPr>
        <w:rPr>
          <w:rFonts w:ascii="Times New Roman" w:hAnsi="Times New Roman" w:cs="Times New Roman"/>
          <w:sz w:val="24"/>
          <w:szCs w:val="24"/>
        </w:rPr>
      </w:pPr>
    </w:p>
    <w:p w:rsidR="002D7C9B" w:rsidRPr="0076399D" w:rsidRDefault="002D7C9B" w:rsidP="002D7C9B">
      <w:pPr>
        <w:spacing w:after="120" w:line="480" w:lineRule="auto"/>
        <w:jc w:val="both"/>
        <w:rPr>
          <w:rFonts w:ascii="Times New Roman" w:hAnsi="Times New Roman" w:cs="Times New Roman"/>
          <w:i/>
          <w:sz w:val="28"/>
          <w:szCs w:val="28"/>
        </w:rPr>
      </w:pPr>
      <w:r w:rsidRPr="0076399D">
        <w:rPr>
          <w:rFonts w:ascii="Times New Roman" w:hAnsi="Times New Roman" w:cs="Times New Roman"/>
          <w:sz w:val="28"/>
          <w:szCs w:val="28"/>
        </w:rPr>
        <w:t>2.8.2</w:t>
      </w:r>
      <w:r w:rsidRPr="0076399D">
        <w:rPr>
          <w:rFonts w:ascii="Times New Roman" w:hAnsi="Times New Roman" w:cs="Times New Roman"/>
          <w:sz w:val="28"/>
          <w:szCs w:val="28"/>
        </w:rPr>
        <w:tab/>
      </w:r>
      <w:r w:rsidRPr="0076399D">
        <w:rPr>
          <w:rFonts w:ascii="Times New Roman" w:hAnsi="Times New Roman" w:cs="Times New Roman"/>
          <w:sz w:val="28"/>
          <w:szCs w:val="28"/>
        </w:rPr>
        <w:tab/>
        <w:t xml:space="preserve">Small scale plasmid preparation from </w:t>
      </w:r>
      <w:r w:rsidRPr="0076399D">
        <w:rPr>
          <w:rFonts w:ascii="Times New Roman" w:hAnsi="Times New Roman" w:cs="Times New Roman"/>
          <w:i/>
          <w:sz w:val="28"/>
          <w:szCs w:val="28"/>
        </w:rPr>
        <w:t>E. coli</w:t>
      </w:r>
    </w:p>
    <w:p w:rsidR="002D7C9B" w:rsidRDefault="002D7C9B" w:rsidP="002D7C9B">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 xml:space="preserve">Small-scale plasmid purification from </w:t>
      </w:r>
      <w:r w:rsidRPr="0076399D">
        <w:rPr>
          <w:rFonts w:ascii="Times New Roman" w:hAnsi="Times New Roman" w:cs="Times New Roman"/>
          <w:i/>
          <w:sz w:val="24"/>
          <w:szCs w:val="24"/>
        </w:rPr>
        <w:t xml:space="preserve">E. coli </w:t>
      </w:r>
      <w:r w:rsidRPr="0076399D">
        <w:rPr>
          <w:rFonts w:ascii="Times New Roman" w:hAnsi="Times New Roman" w:cs="Times New Roman"/>
          <w:sz w:val="24"/>
          <w:szCs w:val="24"/>
        </w:rPr>
        <w:t>cells was carried out using the QIAGEN QIAprep</w:t>
      </w:r>
      <w:r w:rsidRPr="0076399D">
        <w:rPr>
          <w:rFonts w:ascii="Times New Roman" w:hAnsi="Times New Roman" w:cs="Times New Roman"/>
          <w:sz w:val="24"/>
          <w:szCs w:val="24"/>
          <w:vertAlign w:val="superscript"/>
        </w:rPr>
        <w:t>TM</w:t>
      </w:r>
      <w:r w:rsidRPr="0076399D">
        <w:rPr>
          <w:rFonts w:ascii="Times New Roman" w:hAnsi="Times New Roman" w:cs="Times New Roman"/>
          <w:sz w:val="24"/>
          <w:szCs w:val="24"/>
        </w:rPr>
        <w:t xml:space="preserve"> Spin column kit. One millilitre of </w:t>
      </w:r>
      <w:r w:rsidRPr="0076399D">
        <w:rPr>
          <w:rFonts w:ascii="Times New Roman" w:hAnsi="Times New Roman" w:cs="Times New Roman"/>
          <w:i/>
          <w:sz w:val="24"/>
          <w:szCs w:val="24"/>
        </w:rPr>
        <w:t>E.</w:t>
      </w:r>
      <w:r>
        <w:rPr>
          <w:rFonts w:ascii="Times New Roman" w:hAnsi="Times New Roman" w:cs="Times New Roman"/>
          <w:i/>
          <w:sz w:val="24"/>
          <w:szCs w:val="24"/>
        </w:rPr>
        <w:t xml:space="preserve"> </w:t>
      </w:r>
      <w:r w:rsidRPr="0076399D">
        <w:rPr>
          <w:rFonts w:ascii="Times New Roman" w:hAnsi="Times New Roman" w:cs="Times New Roman"/>
          <w:i/>
          <w:sz w:val="24"/>
          <w:szCs w:val="24"/>
        </w:rPr>
        <w:t xml:space="preserve">coli </w:t>
      </w:r>
      <w:r w:rsidRPr="0076399D">
        <w:rPr>
          <w:rFonts w:ascii="Times New Roman" w:hAnsi="Times New Roman" w:cs="Times New Roman"/>
          <w:sz w:val="24"/>
          <w:szCs w:val="24"/>
        </w:rPr>
        <w:t>cells</w:t>
      </w:r>
      <w:r>
        <w:rPr>
          <w:rFonts w:ascii="Times New Roman" w:hAnsi="Times New Roman" w:cs="Times New Roman"/>
          <w:sz w:val="24"/>
          <w:szCs w:val="24"/>
        </w:rPr>
        <w:t xml:space="preserve"> from an overnight culture </w:t>
      </w:r>
      <w:r>
        <w:rPr>
          <w:rFonts w:ascii="Times New Roman" w:hAnsi="Times New Roman" w:cs="Times New Roman"/>
          <w:sz w:val="24"/>
          <w:szCs w:val="24"/>
        </w:rPr>
        <w:lastRenderedPageBreak/>
        <w:t>was centrifuged</w:t>
      </w:r>
      <w:r w:rsidRPr="0076399D">
        <w:rPr>
          <w:rFonts w:ascii="Times New Roman" w:hAnsi="Times New Roman" w:cs="Times New Roman"/>
          <w:sz w:val="24"/>
          <w:szCs w:val="24"/>
        </w:rPr>
        <w:t xml:space="preserve"> for 2 min at 10,000 rpm, and </w:t>
      </w:r>
      <w:r>
        <w:rPr>
          <w:rFonts w:ascii="Times New Roman" w:hAnsi="Times New Roman" w:cs="Times New Roman"/>
          <w:sz w:val="24"/>
          <w:szCs w:val="24"/>
        </w:rPr>
        <w:t xml:space="preserve">the pellet </w:t>
      </w:r>
      <w:r w:rsidRPr="0076399D">
        <w:rPr>
          <w:rFonts w:ascii="Times New Roman" w:hAnsi="Times New Roman" w:cs="Times New Roman"/>
          <w:sz w:val="24"/>
          <w:szCs w:val="24"/>
        </w:rPr>
        <w:t xml:space="preserve">resuspended in 250 µl buffer P1 with RNase A. Lysis reagent (250 µl buffer P2) was added, and the cell suspension inverted six times then incubated for 1 min. Prolonged incubation (&gt;5 min) can cause the plasmid DNA to become denatured. Lysis was stopped by addition of neutralisation buffer (350 µl buffer N3), and the sample was immediately inverted six times to prevent localised precipitation. Cell debris was </w:t>
      </w:r>
      <w:r>
        <w:rPr>
          <w:rFonts w:ascii="Times New Roman" w:hAnsi="Times New Roman" w:cs="Times New Roman"/>
          <w:sz w:val="24"/>
          <w:szCs w:val="24"/>
        </w:rPr>
        <w:t>removed</w:t>
      </w:r>
      <w:r w:rsidRPr="0076399D">
        <w:rPr>
          <w:rFonts w:ascii="Times New Roman" w:hAnsi="Times New Roman" w:cs="Times New Roman"/>
          <w:sz w:val="24"/>
          <w:szCs w:val="24"/>
        </w:rPr>
        <w:t xml:space="preserve"> by centrifug</w:t>
      </w:r>
      <w:r>
        <w:rPr>
          <w:rFonts w:ascii="Times New Roman" w:hAnsi="Times New Roman" w:cs="Times New Roman"/>
          <w:sz w:val="24"/>
          <w:szCs w:val="24"/>
        </w:rPr>
        <w:t>ation</w:t>
      </w:r>
      <w:r w:rsidRPr="0076399D">
        <w:rPr>
          <w:rFonts w:ascii="Times New Roman" w:hAnsi="Times New Roman" w:cs="Times New Roman"/>
          <w:sz w:val="24"/>
          <w:szCs w:val="24"/>
        </w:rPr>
        <w:t xml:space="preserve"> for 10 min at 13,000 rpm</w:t>
      </w:r>
      <w:r>
        <w:rPr>
          <w:rFonts w:ascii="Times New Roman" w:hAnsi="Times New Roman" w:cs="Times New Roman"/>
          <w:sz w:val="24"/>
          <w:szCs w:val="24"/>
        </w:rPr>
        <w:t>, and the</w:t>
      </w:r>
      <w:r w:rsidRPr="0076399D">
        <w:rPr>
          <w:rFonts w:ascii="Times New Roman" w:hAnsi="Times New Roman" w:cs="Times New Roman"/>
          <w:sz w:val="24"/>
          <w:szCs w:val="24"/>
        </w:rPr>
        <w:t xml:space="preserve"> supernatant was transferred to a clean QIAprep spin column</w:t>
      </w:r>
      <w:r>
        <w:rPr>
          <w:rFonts w:ascii="Times New Roman" w:hAnsi="Times New Roman" w:cs="Times New Roman"/>
          <w:sz w:val="24"/>
          <w:szCs w:val="24"/>
        </w:rPr>
        <w:t>. The supernatant was centrifuged</w:t>
      </w:r>
      <w:r w:rsidRPr="0076399D">
        <w:rPr>
          <w:rFonts w:ascii="Times New Roman" w:hAnsi="Times New Roman" w:cs="Times New Roman"/>
          <w:sz w:val="24"/>
          <w:szCs w:val="24"/>
        </w:rPr>
        <w:t xml:space="preserve"> for 60 s. The flow-through was discarded and the column washed with 750 µl wash buffer PE by centrifugation (1 min at 13,000 rpm). Residual wash buffer may interfere with future reactions, therefore the flow-through was discarded and the column dried by centrifugation for 1 min at 13,000 rpm. The column was placed in a clean 1.5 ml mi</w:t>
      </w:r>
      <w:r>
        <w:rPr>
          <w:rFonts w:ascii="Times New Roman" w:hAnsi="Times New Roman" w:cs="Times New Roman"/>
          <w:sz w:val="24"/>
          <w:szCs w:val="24"/>
        </w:rPr>
        <w:t xml:space="preserve">crofuge tube. To elute DNA, 50 µl </w:t>
      </w:r>
      <w:r w:rsidRPr="0076399D">
        <w:rPr>
          <w:rFonts w:ascii="Times New Roman" w:hAnsi="Times New Roman" w:cs="Times New Roman"/>
          <w:sz w:val="24"/>
          <w:szCs w:val="24"/>
        </w:rPr>
        <w:t xml:space="preserve">TE buffer was added to the column, incubated for 1 min then </w:t>
      </w:r>
      <w:r>
        <w:rPr>
          <w:rFonts w:ascii="Times New Roman" w:hAnsi="Times New Roman" w:cs="Times New Roman"/>
          <w:sz w:val="24"/>
          <w:szCs w:val="24"/>
        </w:rPr>
        <w:t>centrifuged</w:t>
      </w:r>
      <w:r w:rsidRPr="0076399D">
        <w:rPr>
          <w:rFonts w:ascii="Times New Roman" w:hAnsi="Times New Roman" w:cs="Times New Roman"/>
          <w:sz w:val="24"/>
          <w:szCs w:val="24"/>
        </w:rPr>
        <w:t xml:space="preserve"> for 1 min at 13,000 rpm</w:t>
      </w:r>
      <w:r>
        <w:rPr>
          <w:rFonts w:ascii="Times New Roman" w:hAnsi="Times New Roman" w:cs="Times New Roman"/>
          <w:sz w:val="24"/>
          <w:szCs w:val="24"/>
        </w:rPr>
        <w:t>.</w:t>
      </w:r>
    </w:p>
    <w:p w:rsidR="002D7C9B" w:rsidRDefault="002D7C9B" w:rsidP="002D7C9B">
      <w:pPr>
        <w:spacing w:after="120" w:line="480" w:lineRule="auto"/>
        <w:jc w:val="both"/>
        <w:rPr>
          <w:rFonts w:ascii="Times New Roman" w:hAnsi="Times New Roman" w:cs="Times New Roman"/>
          <w:sz w:val="24"/>
          <w:szCs w:val="24"/>
        </w:rPr>
      </w:pPr>
    </w:p>
    <w:p w:rsidR="002D7C9B" w:rsidRPr="0076399D" w:rsidRDefault="002D7C9B" w:rsidP="002D7C9B">
      <w:pPr>
        <w:spacing w:after="120" w:line="480" w:lineRule="auto"/>
        <w:jc w:val="both"/>
        <w:rPr>
          <w:rFonts w:ascii="Times New Roman" w:hAnsi="Times New Roman" w:cs="Times New Roman"/>
          <w:sz w:val="28"/>
          <w:szCs w:val="28"/>
        </w:rPr>
      </w:pPr>
      <w:r>
        <w:rPr>
          <w:rFonts w:ascii="Times New Roman" w:hAnsi="Times New Roman" w:cs="Times New Roman"/>
          <w:sz w:val="28"/>
          <w:szCs w:val="28"/>
        </w:rPr>
        <w:t>2.8.3</w:t>
      </w:r>
      <w:r>
        <w:rPr>
          <w:rFonts w:ascii="Times New Roman" w:hAnsi="Times New Roman" w:cs="Times New Roman"/>
          <w:sz w:val="28"/>
          <w:szCs w:val="28"/>
        </w:rPr>
        <w:tab/>
      </w:r>
      <w:r>
        <w:rPr>
          <w:rFonts w:ascii="Times New Roman" w:hAnsi="Times New Roman" w:cs="Times New Roman"/>
          <w:sz w:val="28"/>
          <w:szCs w:val="28"/>
        </w:rPr>
        <w:tab/>
        <w:t xml:space="preserve">Gel extraction of DNA </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DNA was separated by electrophoresis using a 1% (w/v) TAE agarose gel, and the required band excised using a clean razor blade. DNA was extracted using a QIAGEN QIAquick gel extraction kit. The gel slice was weighed, suspended in 3× volume of buffer QG and incubated for approximately 10 min at 50 °C. Once the gel was completely dissolved, one gel volume of isopropanol was added. The sample was applied to a QIAquick spin column and centrifuged at 13,000 rpm for 1 min to bind DNA to the column membrane. The flow-through was discarded and the column washed once with 500 µl buffer QG by centrifugation at 13,000 rpm for 1 min. The flow-through was discarded and the column washed as before using 750 µl buffer PE. </w:t>
      </w:r>
      <w:r>
        <w:rPr>
          <w:rFonts w:ascii="Times New Roman" w:hAnsi="Times New Roman" w:cs="Times New Roman"/>
          <w:sz w:val="24"/>
          <w:szCs w:val="24"/>
        </w:rPr>
        <w:lastRenderedPageBreak/>
        <w:t>As residual ethanol may interfere with future reactions, the flow-through was</w:t>
      </w:r>
      <w:r w:rsidRPr="0076399D">
        <w:rPr>
          <w:rFonts w:ascii="Times New Roman" w:hAnsi="Times New Roman" w:cs="Times New Roman"/>
          <w:sz w:val="24"/>
          <w:szCs w:val="24"/>
        </w:rPr>
        <w:t xml:space="preserve"> discarded and the column dried by centrifugation for 1 min at 13,000 rpm.</w:t>
      </w:r>
      <w:r w:rsidRPr="0014472A">
        <w:rPr>
          <w:rFonts w:ascii="Times New Roman" w:hAnsi="Times New Roman" w:cs="Times New Roman"/>
          <w:sz w:val="24"/>
          <w:szCs w:val="24"/>
        </w:rPr>
        <w:t xml:space="preserve"> </w:t>
      </w:r>
      <w:r w:rsidRPr="0076399D">
        <w:rPr>
          <w:rFonts w:ascii="Times New Roman" w:hAnsi="Times New Roman" w:cs="Times New Roman"/>
          <w:sz w:val="24"/>
          <w:szCs w:val="24"/>
        </w:rPr>
        <w:t>The column was placed in a clean 1.5 ml microfuge tube</w:t>
      </w:r>
      <w:r>
        <w:rPr>
          <w:rFonts w:ascii="Times New Roman" w:hAnsi="Times New Roman" w:cs="Times New Roman"/>
          <w:sz w:val="24"/>
          <w:szCs w:val="24"/>
        </w:rPr>
        <w:t xml:space="preserve"> and </w:t>
      </w:r>
      <w:r w:rsidRPr="0076399D">
        <w:rPr>
          <w:rFonts w:ascii="Times New Roman" w:hAnsi="Times New Roman" w:cs="Times New Roman"/>
          <w:sz w:val="24"/>
          <w:szCs w:val="24"/>
        </w:rPr>
        <w:t>DNA</w:t>
      </w:r>
      <w:r>
        <w:rPr>
          <w:rFonts w:ascii="Times New Roman" w:hAnsi="Times New Roman" w:cs="Times New Roman"/>
          <w:sz w:val="24"/>
          <w:szCs w:val="24"/>
        </w:rPr>
        <w:t xml:space="preserve"> eluted by</w:t>
      </w:r>
      <w:r w:rsidRPr="0076399D">
        <w:rPr>
          <w:rFonts w:ascii="Times New Roman" w:hAnsi="Times New Roman" w:cs="Times New Roman"/>
          <w:sz w:val="24"/>
          <w:szCs w:val="24"/>
        </w:rPr>
        <w:t xml:space="preserve"> incubat</w:t>
      </w:r>
      <w:r>
        <w:rPr>
          <w:rFonts w:ascii="Times New Roman" w:hAnsi="Times New Roman" w:cs="Times New Roman"/>
          <w:sz w:val="24"/>
          <w:szCs w:val="24"/>
        </w:rPr>
        <w:t>ion</w:t>
      </w:r>
      <w:r w:rsidRPr="0076399D">
        <w:rPr>
          <w:rFonts w:ascii="Times New Roman" w:hAnsi="Times New Roman" w:cs="Times New Roman"/>
          <w:sz w:val="24"/>
          <w:szCs w:val="24"/>
        </w:rPr>
        <w:t xml:space="preserve"> for 1 min </w:t>
      </w:r>
      <w:r>
        <w:rPr>
          <w:rFonts w:ascii="Times New Roman" w:hAnsi="Times New Roman" w:cs="Times New Roman"/>
          <w:sz w:val="24"/>
          <w:szCs w:val="24"/>
        </w:rPr>
        <w:t xml:space="preserve">with 50 µl buffer EB, followed by </w:t>
      </w:r>
      <w:r w:rsidRPr="0076399D">
        <w:rPr>
          <w:rFonts w:ascii="Times New Roman" w:hAnsi="Times New Roman" w:cs="Times New Roman"/>
          <w:sz w:val="24"/>
          <w:szCs w:val="24"/>
        </w:rPr>
        <w:t>centrifugat</w:t>
      </w:r>
      <w:r>
        <w:rPr>
          <w:rFonts w:ascii="Times New Roman" w:hAnsi="Times New Roman" w:cs="Times New Roman"/>
          <w:sz w:val="24"/>
          <w:szCs w:val="24"/>
        </w:rPr>
        <w:t>ion</w:t>
      </w:r>
      <w:r w:rsidRPr="0076399D">
        <w:rPr>
          <w:rFonts w:ascii="Times New Roman" w:hAnsi="Times New Roman" w:cs="Times New Roman"/>
          <w:sz w:val="24"/>
          <w:szCs w:val="24"/>
        </w:rPr>
        <w:t xml:space="preserve"> for 1 min at 13,000 rpm</w:t>
      </w:r>
      <w:r>
        <w:rPr>
          <w:rFonts w:ascii="Times New Roman" w:hAnsi="Times New Roman" w:cs="Times New Roman"/>
          <w:sz w:val="24"/>
          <w:szCs w:val="24"/>
        </w:rPr>
        <w:t>.</w:t>
      </w:r>
    </w:p>
    <w:p w:rsidR="002D7C9B" w:rsidRPr="0076399D" w:rsidRDefault="002D7C9B" w:rsidP="002D7C9B">
      <w:pPr>
        <w:spacing w:after="120" w:line="480" w:lineRule="auto"/>
        <w:jc w:val="both"/>
        <w:rPr>
          <w:rFonts w:ascii="Times New Roman" w:hAnsi="Times New Roman" w:cs="Times New Roman"/>
          <w:sz w:val="24"/>
          <w:szCs w:val="24"/>
        </w:rPr>
      </w:pPr>
    </w:p>
    <w:p w:rsidR="002D7C9B" w:rsidRPr="0076399D" w:rsidRDefault="002D7C9B" w:rsidP="002D7C9B">
      <w:pPr>
        <w:spacing w:after="120" w:line="480" w:lineRule="auto"/>
        <w:jc w:val="both"/>
        <w:rPr>
          <w:rFonts w:ascii="Times New Roman" w:hAnsi="Times New Roman" w:cs="Times New Roman"/>
          <w:sz w:val="28"/>
          <w:szCs w:val="28"/>
        </w:rPr>
      </w:pPr>
      <w:r>
        <w:rPr>
          <w:rFonts w:ascii="Times New Roman" w:hAnsi="Times New Roman" w:cs="Times New Roman"/>
          <w:sz w:val="28"/>
          <w:szCs w:val="28"/>
        </w:rPr>
        <w:t>2.8.4</w:t>
      </w:r>
      <w:r>
        <w:rPr>
          <w:rFonts w:ascii="Times New Roman" w:hAnsi="Times New Roman" w:cs="Times New Roman"/>
          <w:sz w:val="28"/>
          <w:szCs w:val="28"/>
        </w:rPr>
        <w:tab/>
      </w:r>
      <w:r>
        <w:rPr>
          <w:rFonts w:ascii="Times New Roman" w:hAnsi="Times New Roman" w:cs="Times New Roman"/>
          <w:sz w:val="28"/>
          <w:szCs w:val="28"/>
        </w:rPr>
        <w:tab/>
        <w:t>Purification of PCR products</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QIAGEN buffer PB was mixed with the PCR sample in a 5:1 ratio respectively. The solution was transferred to a QIAquick spin column and washed by centrifugation for 1 min at 13,000 rpm. The flow-through was discarded and residual ethanol removed by further centrifugation for 1 min at 13,000 rpm. The column was placed in a clean microcentrifuge tube and DNA eluted by incubation for 1 min with 30 µl elution buffer EB, followed by centrifugation for 1 min at 13,000 rpm.</w:t>
      </w:r>
    </w:p>
    <w:p w:rsidR="002D7C9B" w:rsidRDefault="002D7C9B" w:rsidP="002D7C9B">
      <w:pPr>
        <w:spacing w:after="120" w:line="480" w:lineRule="auto"/>
        <w:jc w:val="both"/>
        <w:rPr>
          <w:rFonts w:ascii="Times New Roman" w:hAnsi="Times New Roman" w:cs="Times New Roman"/>
          <w:sz w:val="24"/>
          <w:szCs w:val="24"/>
        </w:rPr>
      </w:pPr>
    </w:p>
    <w:p w:rsidR="002D7C9B" w:rsidRDefault="002D7C9B" w:rsidP="002D7C9B">
      <w:pPr>
        <w:spacing w:after="120" w:line="480" w:lineRule="auto"/>
        <w:jc w:val="both"/>
        <w:rPr>
          <w:rFonts w:ascii="Times New Roman" w:hAnsi="Times New Roman" w:cs="Times New Roman"/>
          <w:sz w:val="28"/>
          <w:szCs w:val="28"/>
        </w:rPr>
      </w:pPr>
      <w:r>
        <w:rPr>
          <w:rFonts w:ascii="Times New Roman" w:hAnsi="Times New Roman" w:cs="Times New Roman"/>
          <w:sz w:val="28"/>
          <w:szCs w:val="28"/>
        </w:rPr>
        <w:t>2.8.5</w:t>
      </w:r>
      <w:r>
        <w:rPr>
          <w:rFonts w:ascii="Times New Roman" w:hAnsi="Times New Roman" w:cs="Times New Roman"/>
          <w:sz w:val="28"/>
          <w:szCs w:val="28"/>
        </w:rPr>
        <w:tab/>
      </w:r>
      <w:r>
        <w:rPr>
          <w:rFonts w:ascii="Times New Roman" w:hAnsi="Times New Roman" w:cs="Times New Roman"/>
          <w:sz w:val="28"/>
          <w:szCs w:val="28"/>
        </w:rPr>
        <w:tab/>
        <w:t>Ethanol precipitation of DNA</w:t>
      </w:r>
    </w:p>
    <w:p w:rsidR="002D7C9B" w:rsidRPr="00B5640A"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The DNA sample was combined with 1.0 µl of 20 mg ml</w:t>
      </w:r>
      <w:r w:rsidRPr="008F688C">
        <w:rPr>
          <w:rFonts w:ascii="Times New Roman" w:hAnsi="Times New Roman" w:cs="Times New Roman"/>
          <w:sz w:val="24"/>
          <w:szCs w:val="24"/>
          <w:vertAlign w:val="superscript"/>
        </w:rPr>
        <w:t>-1</w:t>
      </w:r>
      <w:r w:rsidRPr="008F688C">
        <w:rPr>
          <w:rFonts w:ascii="Times New Roman" w:hAnsi="Times New Roman" w:cs="Times New Roman"/>
          <w:sz w:val="24"/>
          <w:szCs w:val="24"/>
        </w:rPr>
        <w:t xml:space="preserve"> </w:t>
      </w:r>
      <w:r>
        <w:rPr>
          <w:rFonts w:ascii="Times New Roman" w:hAnsi="Times New Roman" w:cs="Times New Roman"/>
          <w:sz w:val="24"/>
          <w:szCs w:val="24"/>
        </w:rPr>
        <w:t xml:space="preserve">glycogen (Roche) to aid visualisation of the DNA pellet, 0.1× volume of 3 M sodium acetate pH 5 and 3× volume of ice-cold absolute ethanol. The sample was incubated for 3 h at -20 °C. Precipitated DNA was recovered by centrifugation at 4 °C for 15 min at 13,000 rpm. The supernatant was discarded and the pellet was washed twice in 70% (v/v) ice-cold ethanol by pipette. The DNA pellet was air dried, then resuspended in sterile water to the required volume. </w:t>
      </w:r>
    </w:p>
    <w:p w:rsidR="002D7C9B" w:rsidRDefault="002D7C9B" w:rsidP="002D7C9B">
      <w:pPr>
        <w:rPr>
          <w:rFonts w:ascii="Times New Roman" w:hAnsi="Times New Roman" w:cs="Times New Roman"/>
          <w:sz w:val="24"/>
          <w:szCs w:val="24"/>
        </w:rPr>
      </w:pPr>
      <w:r>
        <w:rPr>
          <w:rFonts w:ascii="Times New Roman" w:hAnsi="Times New Roman" w:cs="Times New Roman"/>
          <w:sz w:val="24"/>
          <w:szCs w:val="24"/>
        </w:rPr>
        <w:br w:type="page"/>
      </w:r>
    </w:p>
    <w:p w:rsidR="002D7C9B" w:rsidRDefault="002D7C9B" w:rsidP="002D7C9B">
      <w:pPr>
        <w:spacing w:after="120" w:line="480" w:lineRule="auto"/>
        <w:jc w:val="both"/>
        <w:rPr>
          <w:rFonts w:ascii="Times New Roman" w:hAnsi="Times New Roman" w:cs="Times New Roman"/>
          <w:sz w:val="28"/>
          <w:szCs w:val="28"/>
        </w:rPr>
      </w:pPr>
      <w:r>
        <w:rPr>
          <w:rFonts w:ascii="Times New Roman" w:hAnsi="Times New Roman" w:cs="Times New Roman"/>
          <w:sz w:val="28"/>
          <w:szCs w:val="28"/>
        </w:rPr>
        <w:lastRenderedPageBreak/>
        <w:t>2.9</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i/>
          <w:sz w:val="28"/>
          <w:szCs w:val="28"/>
        </w:rPr>
        <w:t xml:space="preserve">In vitro </w:t>
      </w:r>
      <w:r>
        <w:rPr>
          <w:rFonts w:ascii="Times New Roman" w:hAnsi="Times New Roman" w:cs="Times New Roman"/>
          <w:sz w:val="28"/>
          <w:szCs w:val="28"/>
        </w:rPr>
        <w:t>DNA manipulation techniques</w:t>
      </w:r>
    </w:p>
    <w:p w:rsidR="002D7C9B" w:rsidRDefault="002D7C9B" w:rsidP="002D7C9B">
      <w:pPr>
        <w:spacing w:after="120" w:line="480" w:lineRule="auto"/>
        <w:jc w:val="both"/>
        <w:rPr>
          <w:rFonts w:ascii="Times New Roman" w:hAnsi="Times New Roman" w:cs="Times New Roman"/>
          <w:sz w:val="28"/>
          <w:szCs w:val="28"/>
        </w:rPr>
      </w:pPr>
      <w:r>
        <w:rPr>
          <w:rFonts w:ascii="Times New Roman" w:hAnsi="Times New Roman" w:cs="Times New Roman"/>
          <w:sz w:val="28"/>
          <w:szCs w:val="28"/>
        </w:rPr>
        <w:t>2.9.1</w:t>
      </w:r>
      <w:r>
        <w:rPr>
          <w:rFonts w:ascii="Times New Roman" w:hAnsi="Times New Roman" w:cs="Times New Roman"/>
          <w:sz w:val="28"/>
          <w:szCs w:val="28"/>
        </w:rPr>
        <w:tab/>
      </w:r>
      <w:r>
        <w:rPr>
          <w:rFonts w:ascii="Times New Roman" w:hAnsi="Times New Roman" w:cs="Times New Roman"/>
          <w:sz w:val="28"/>
          <w:szCs w:val="28"/>
        </w:rPr>
        <w:tab/>
        <w:t>Polymerase chain reaction (PCR) techniques</w:t>
      </w:r>
    </w:p>
    <w:p w:rsidR="002D7C9B" w:rsidRDefault="002D7C9B" w:rsidP="002D7C9B">
      <w:pPr>
        <w:spacing w:after="120" w:line="480" w:lineRule="auto"/>
        <w:jc w:val="both"/>
        <w:rPr>
          <w:rFonts w:ascii="Times New Roman" w:hAnsi="Times New Roman" w:cs="Times New Roman"/>
          <w:sz w:val="28"/>
          <w:szCs w:val="28"/>
        </w:rPr>
      </w:pPr>
      <w:r>
        <w:rPr>
          <w:rFonts w:ascii="Times New Roman" w:hAnsi="Times New Roman" w:cs="Times New Roman"/>
          <w:sz w:val="28"/>
          <w:szCs w:val="28"/>
        </w:rPr>
        <w:t>2.9.1.1</w:t>
      </w:r>
      <w:r>
        <w:rPr>
          <w:rFonts w:ascii="Times New Roman" w:hAnsi="Times New Roman" w:cs="Times New Roman"/>
          <w:sz w:val="28"/>
          <w:szCs w:val="28"/>
        </w:rPr>
        <w:tab/>
        <w:t>Primer design</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Primers used for PCR amplification were short oligonucleotides (20-40 bp). Details are provided in Table 2.8. Primer designs were based on gene sequences of </w:t>
      </w:r>
      <w:r>
        <w:rPr>
          <w:rFonts w:ascii="Times New Roman" w:hAnsi="Times New Roman" w:cs="Times New Roman"/>
          <w:i/>
          <w:sz w:val="24"/>
          <w:szCs w:val="24"/>
        </w:rPr>
        <w:t xml:space="preserve">S. aureus </w:t>
      </w:r>
      <w:r>
        <w:rPr>
          <w:rFonts w:ascii="Times New Roman" w:hAnsi="Times New Roman" w:cs="Times New Roman"/>
          <w:sz w:val="24"/>
          <w:szCs w:val="24"/>
        </w:rPr>
        <w:t xml:space="preserve">8325 or COL. Optimum primer binding sites were identified using Primer 3.0 </w:t>
      </w:r>
      <w:r w:rsidRPr="008E1D1B">
        <w:rPr>
          <w:rFonts w:ascii="Times New Roman" w:hAnsi="Times New Roman" w:cs="Times New Roman"/>
          <w:sz w:val="24"/>
          <w:szCs w:val="24"/>
        </w:rPr>
        <w:t>(http://frodo.wi.mit.edu)</w:t>
      </w:r>
      <w:r>
        <w:rPr>
          <w:rFonts w:ascii="Times New Roman" w:hAnsi="Times New Roman" w:cs="Times New Roman"/>
          <w:sz w:val="24"/>
          <w:szCs w:val="24"/>
        </w:rPr>
        <w:t>. Restriction sites were introduced as necessary to the 5’ end of primers, and a thymine hexamer tail added to facilitate efficient restriction digest. Primers were synthesised by Eurofins MWG Operon and were stored as a 100 µM solution at -20 °C.</w:t>
      </w:r>
    </w:p>
    <w:p w:rsidR="002D7C9B" w:rsidRDefault="002D7C9B" w:rsidP="002D7C9B">
      <w:pPr>
        <w:spacing w:after="120" w:line="480" w:lineRule="auto"/>
        <w:jc w:val="both"/>
        <w:rPr>
          <w:rFonts w:ascii="Times New Roman" w:hAnsi="Times New Roman" w:cs="Times New Roman"/>
          <w:sz w:val="24"/>
          <w:szCs w:val="24"/>
        </w:rPr>
      </w:pPr>
    </w:p>
    <w:p w:rsidR="002D7C9B" w:rsidRDefault="002D7C9B" w:rsidP="002D7C9B">
      <w:pPr>
        <w:spacing w:after="120" w:line="480" w:lineRule="auto"/>
        <w:jc w:val="both"/>
        <w:rPr>
          <w:rFonts w:ascii="Times New Roman" w:hAnsi="Times New Roman" w:cs="Times New Roman"/>
          <w:sz w:val="28"/>
          <w:szCs w:val="28"/>
        </w:rPr>
      </w:pPr>
      <w:r>
        <w:rPr>
          <w:rFonts w:ascii="Times New Roman" w:hAnsi="Times New Roman" w:cs="Times New Roman"/>
          <w:sz w:val="28"/>
          <w:szCs w:val="28"/>
        </w:rPr>
        <w:t>2.9.1.2</w:t>
      </w:r>
      <w:r>
        <w:rPr>
          <w:rFonts w:ascii="Times New Roman" w:hAnsi="Times New Roman" w:cs="Times New Roman"/>
          <w:sz w:val="28"/>
          <w:szCs w:val="28"/>
        </w:rPr>
        <w:tab/>
        <w:t>PCR amplification</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Standard PCR amplification reactions were performed using DreamTaq</w:t>
      </w:r>
      <w:r w:rsidRPr="005E2432">
        <w:rPr>
          <w:rFonts w:ascii="Times New Roman" w:hAnsi="Times New Roman" w:cs="Times New Roman"/>
          <w:sz w:val="24"/>
          <w:szCs w:val="24"/>
          <w:vertAlign w:val="superscript"/>
        </w:rPr>
        <w:t>TM</w:t>
      </w:r>
      <w:r>
        <w:rPr>
          <w:rFonts w:ascii="Times New Roman" w:hAnsi="Times New Roman" w:cs="Times New Roman"/>
          <w:sz w:val="24"/>
          <w:szCs w:val="24"/>
        </w:rPr>
        <w:t xml:space="preserve"> Green PCR Master Mix (Fermentas).</w:t>
      </w:r>
      <w:r w:rsidRPr="005E2432">
        <w:rPr>
          <w:rFonts w:ascii="Times New Roman" w:hAnsi="Times New Roman" w:cs="Times New Roman"/>
          <w:sz w:val="24"/>
          <w:szCs w:val="24"/>
        </w:rPr>
        <w:t xml:space="preserve"> Cloning reactions were performed using high-fidelity Extensor PCR ReddyMix™ (ThermoScientific).</w:t>
      </w:r>
      <w:r>
        <w:rPr>
          <w:rFonts w:ascii="Times New Roman" w:hAnsi="Times New Roman" w:cs="Times New Roman"/>
          <w:sz w:val="24"/>
          <w:szCs w:val="24"/>
        </w:rPr>
        <w:t xml:space="preserve"> Both master mix solutions are supplied at 2× concentration.</w:t>
      </w:r>
    </w:p>
    <w:p w:rsidR="002D7C9B" w:rsidRDefault="002D7C9B" w:rsidP="002D7C9B">
      <w:pPr>
        <w:spacing w:after="120" w:line="480" w:lineRule="auto"/>
        <w:jc w:val="both"/>
        <w:rPr>
          <w:rFonts w:ascii="Times New Roman" w:hAnsi="Times New Roman" w:cs="Times New Roman"/>
          <w:sz w:val="24"/>
          <w:szCs w:val="24"/>
        </w:rPr>
      </w:pP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PCR samples were prepared as follows, using sterile 0.2 ml thin-walled PCR tubes (total reaction mix 25 µl):</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ab/>
        <w:t>Master mix</w:t>
      </w:r>
      <w:r>
        <w:rPr>
          <w:rFonts w:ascii="Times New Roman" w:hAnsi="Times New Roman" w:cs="Times New Roman"/>
          <w:sz w:val="24"/>
          <w:szCs w:val="24"/>
        </w:rPr>
        <w:tab/>
        <w:t xml:space="preserve"> (DreamTaq/Extensor)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12.5 µl</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ab/>
        <w:t>Template DNA (~100 ng)</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 µl</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ab/>
        <w:t>Forward primer (100 µM)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 µl</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b/>
        <w:t>Reverse primer (100 µM)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 µl</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ab/>
      </w:r>
      <w:proofErr w:type="gramStart"/>
      <w:r>
        <w:rPr>
          <w:rFonts w:ascii="Times New Roman" w:hAnsi="Times New Roman" w:cs="Times New Roman"/>
          <w:sz w:val="24"/>
          <w:szCs w:val="24"/>
        </w:rPr>
        <w:t>dH</w:t>
      </w:r>
      <w:r w:rsidRPr="00F90AC7">
        <w:rPr>
          <w:rFonts w:ascii="Times New Roman" w:hAnsi="Times New Roman" w:cs="Times New Roman"/>
          <w:sz w:val="24"/>
          <w:szCs w:val="24"/>
          <w:vertAlign w:val="subscript"/>
        </w:rPr>
        <w:t>2</w:t>
      </w:r>
      <w:r>
        <w:rPr>
          <w:rFonts w:ascii="Times New Roman" w:hAnsi="Times New Roman" w:cs="Times New Roman"/>
          <w:sz w:val="24"/>
          <w:szCs w:val="24"/>
        </w:rPr>
        <w:t>O</w:t>
      </w:r>
      <w:proofErr w:type="gramEnd"/>
      <w:r>
        <w:rPr>
          <w:rFonts w:ascii="Times New Roman" w:hAnsi="Times New Roman" w:cs="Times New Roman"/>
          <w:sz w:val="24"/>
          <w:szCs w:val="24"/>
        </w:rPr>
        <w:t xml:space="preserve"> to total 25 µl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9.5 µl</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PCR reactions were performed using a </w:t>
      </w:r>
      <w:r w:rsidRPr="00795C38">
        <w:rPr>
          <w:rFonts w:ascii="Times New Roman" w:hAnsi="Times New Roman" w:cs="Times New Roman"/>
          <w:sz w:val="24"/>
          <w:szCs w:val="24"/>
        </w:rPr>
        <w:t>Techne TC-5000</w:t>
      </w:r>
      <w:r>
        <w:rPr>
          <w:rFonts w:ascii="Times New Roman" w:hAnsi="Times New Roman" w:cs="Times New Roman"/>
          <w:sz w:val="24"/>
          <w:szCs w:val="24"/>
        </w:rPr>
        <w:t xml:space="preserve"> thermal cycler (</w:t>
      </w:r>
      <w:r w:rsidRPr="00795C38">
        <w:rPr>
          <w:rFonts w:ascii="Times New Roman" w:hAnsi="Times New Roman" w:cs="Times New Roman"/>
          <w:sz w:val="24"/>
          <w:szCs w:val="24"/>
        </w:rPr>
        <w:t>Bibby Scientific</w:t>
      </w:r>
      <w:r>
        <w:rPr>
          <w:rFonts w:ascii="Times New Roman" w:hAnsi="Times New Roman" w:cs="Times New Roman"/>
          <w:sz w:val="24"/>
          <w:szCs w:val="24"/>
        </w:rPr>
        <w:t>) according to the following program:</w:t>
      </w:r>
    </w:p>
    <w:p w:rsidR="002D7C9B" w:rsidRPr="008E1D1B" w:rsidRDefault="002D7C9B" w:rsidP="002D7C9B">
      <w:pPr>
        <w:spacing w:after="120" w:line="480" w:lineRule="auto"/>
        <w:jc w:val="both"/>
        <w:rPr>
          <w:rFonts w:ascii="Times New Roman" w:hAnsi="Times New Roman" w:cs="Times New Roman"/>
          <w:sz w:val="24"/>
          <w:szCs w:val="24"/>
        </w:rPr>
      </w:pPr>
    </w:p>
    <w:p w:rsidR="002D7C9B" w:rsidRPr="00D07BD8"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1 cycle</w:t>
      </w:r>
      <w:r>
        <w:rPr>
          <w:rFonts w:ascii="Times New Roman" w:hAnsi="Times New Roman" w:cs="Times New Roman"/>
          <w:sz w:val="24"/>
          <w:szCs w:val="24"/>
        </w:rPr>
        <w:tab/>
      </w:r>
      <w:r>
        <w:rPr>
          <w:rFonts w:ascii="Times New Roman" w:hAnsi="Times New Roman" w:cs="Times New Roman"/>
          <w:sz w:val="24"/>
          <w:szCs w:val="24"/>
        </w:rPr>
        <w:tab/>
        <w:t>Initial denatur</w:t>
      </w:r>
      <w:r w:rsidRPr="00D07BD8">
        <w:rPr>
          <w:rFonts w:ascii="Times New Roman" w:hAnsi="Times New Roman" w:cs="Times New Roman"/>
          <w:sz w:val="24"/>
          <w:szCs w:val="24"/>
        </w:rPr>
        <w:t>ing</w:t>
      </w:r>
      <w:r w:rsidRPr="00D07BD8">
        <w:rPr>
          <w:rFonts w:ascii="Times New Roman" w:hAnsi="Times New Roman" w:cs="Times New Roman"/>
          <w:sz w:val="24"/>
          <w:szCs w:val="24"/>
        </w:rPr>
        <w:tab/>
      </w:r>
      <w:r w:rsidRPr="00D07BD8">
        <w:rPr>
          <w:rFonts w:ascii="Times New Roman" w:hAnsi="Times New Roman" w:cs="Times New Roman"/>
          <w:sz w:val="24"/>
          <w:szCs w:val="24"/>
        </w:rPr>
        <w:tab/>
        <w:t>94 °C</w:t>
      </w:r>
      <w:r w:rsidRPr="00D07BD8">
        <w:rPr>
          <w:rFonts w:ascii="Times New Roman" w:hAnsi="Times New Roman" w:cs="Times New Roman"/>
          <w:sz w:val="24"/>
          <w:szCs w:val="24"/>
        </w:rPr>
        <w:tab/>
      </w:r>
      <w:r w:rsidRPr="00D07BD8">
        <w:rPr>
          <w:rFonts w:ascii="Times New Roman" w:hAnsi="Times New Roman" w:cs="Times New Roman"/>
          <w:sz w:val="24"/>
          <w:szCs w:val="24"/>
        </w:rPr>
        <w:tab/>
      </w:r>
      <w:r w:rsidRPr="00D07BD8">
        <w:rPr>
          <w:rFonts w:ascii="Times New Roman" w:hAnsi="Times New Roman" w:cs="Times New Roman"/>
          <w:sz w:val="24"/>
          <w:szCs w:val="24"/>
        </w:rPr>
        <w:tab/>
        <w:t>5 min</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30 cycles</w:t>
      </w:r>
      <w:r>
        <w:rPr>
          <w:rFonts w:ascii="Times New Roman" w:hAnsi="Times New Roman" w:cs="Times New Roman"/>
          <w:sz w:val="24"/>
          <w:szCs w:val="24"/>
        </w:rPr>
        <w:tab/>
        <w:t>Denaturing</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94 °C</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30 s</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Annealing</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54-58 °C</w:t>
      </w:r>
      <w:r>
        <w:rPr>
          <w:rFonts w:ascii="Times New Roman" w:hAnsi="Times New Roman" w:cs="Times New Roman"/>
          <w:sz w:val="24"/>
          <w:szCs w:val="24"/>
        </w:rPr>
        <w:tab/>
      </w:r>
      <w:r>
        <w:rPr>
          <w:rFonts w:ascii="Times New Roman" w:hAnsi="Times New Roman" w:cs="Times New Roman"/>
          <w:sz w:val="24"/>
          <w:szCs w:val="24"/>
        </w:rPr>
        <w:tab/>
        <w:t>30 s</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Extension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68 °C</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 min per kb</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1 cycle</w:t>
      </w:r>
      <w:r>
        <w:rPr>
          <w:rFonts w:ascii="Times New Roman" w:hAnsi="Times New Roman" w:cs="Times New Roman"/>
          <w:sz w:val="24"/>
          <w:szCs w:val="24"/>
        </w:rPr>
        <w:tab/>
      </w:r>
      <w:r>
        <w:rPr>
          <w:rFonts w:ascii="Times New Roman" w:hAnsi="Times New Roman" w:cs="Times New Roman"/>
          <w:sz w:val="24"/>
          <w:szCs w:val="24"/>
        </w:rPr>
        <w:tab/>
        <w:t>Final extension</w:t>
      </w:r>
      <w:r>
        <w:rPr>
          <w:rFonts w:ascii="Times New Roman" w:hAnsi="Times New Roman" w:cs="Times New Roman"/>
          <w:sz w:val="24"/>
          <w:szCs w:val="24"/>
        </w:rPr>
        <w:tab/>
      </w:r>
      <w:r>
        <w:rPr>
          <w:rFonts w:ascii="Times New Roman" w:hAnsi="Times New Roman" w:cs="Times New Roman"/>
          <w:sz w:val="24"/>
          <w:szCs w:val="24"/>
        </w:rPr>
        <w:tab/>
        <w:t>68 °C</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5 min</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Reaction products were stored at -20 °C.</w:t>
      </w:r>
    </w:p>
    <w:p w:rsidR="002D7C9B" w:rsidRDefault="002D7C9B" w:rsidP="002D7C9B">
      <w:pPr>
        <w:spacing w:after="120" w:line="480" w:lineRule="auto"/>
        <w:jc w:val="both"/>
        <w:rPr>
          <w:rFonts w:ascii="Times New Roman" w:hAnsi="Times New Roman" w:cs="Times New Roman"/>
          <w:sz w:val="24"/>
          <w:szCs w:val="24"/>
        </w:rPr>
      </w:pPr>
    </w:p>
    <w:p w:rsidR="002D7C9B" w:rsidRPr="00596BC2" w:rsidRDefault="002D7C9B" w:rsidP="002D7C9B">
      <w:pPr>
        <w:spacing w:after="120" w:line="480" w:lineRule="auto"/>
        <w:jc w:val="both"/>
        <w:rPr>
          <w:rFonts w:ascii="Times New Roman" w:hAnsi="Times New Roman" w:cs="Times New Roman"/>
          <w:i/>
          <w:sz w:val="28"/>
          <w:szCs w:val="28"/>
        </w:rPr>
      </w:pPr>
      <w:r>
        <w:rPr>
          <w:rFonts w:ascii="Times New Roman" w:hAnsi="Times New Roman" w:cs="Times New Roman"/>
          <w:sz w:val="28"/>
          <w:szCs w:val="28"/>
        </w:rPr>
        <w:t>2.9.1.3</w:t>
      </w:r>
      <w:r>
        <w:rPr>
          <w:rFonts w:ascii="Times New Roman" w:hAnsi="Times New Roman" w:cs="Times New Roman"/>
          <w:sz w:val="28"/>
          <w:szCs w:val="28"/>
        </w:rPr>
        <w:tab/>
      </w:r>
      <w:r>
        <w:rPr>
          <w:rFonts w:ascii="Times New Roman" w:hAnsi="Times New Roman" w:cs="Times New Roman"/>
          <w:sz w:val="28"/>
          <w:szCs w:val="28"/>
        </w:rPr>
        <w:tab/>
      </w:r>
      <w:r w:rsidRPr="00596BC2">
        <w:rPr>
          <w:rFonts w:ascii="Times New Roman" w:hAnsi="Times New Roman" w:cs="Times New Roman"/>
          <w:sz w:val="28"/>
          <w:szCs w:val="28"/>
        </w:rPr>
        <w:t xml:space="preserve">Colony PCR screening of </w:t>
      </w:r>
      <w:r w:rsidRPr="00596BC2">
        <w:rPr>
          <w:rFonts w:ascii="Times New Roman" w:hAnsi="Times New Roman" w:cs="Times New Roman"/>
          <w:i/>
          <w:sz w:val="28"/>
          <w:szCs w:val="28"/>
        </w:rPr>
        <w:t>E.</w:t>
      </w:r>
      <w:r>
        <w:rPr>
          <w:rFonts w:ascii="Times New Roman" w:hAnsi="Times New Roman" w:cs="Times New Roman"/>
          <w:i/>
          <w:sz w:val="28"/>
          <w:szCs w:val="28"/>
        </w:rPr>
        <w:t xml:space="preserve"> </w:t>
      </w:r>
      <w:r w:rsidRPr="00596BC2">
        <w:rPr>
          <w:rFonts w:ascii="Times New Roman" w:hAnsi="Times New Roman" w:cs="Times New Roman"/>
          <w:i/>
          <w:sz w:val="28"/>
          <w:szCs w:val="28"/>
        </w:rPr>
        <w:t>coli</w:t>
      </w:r>
    </w:p>
    <w:p w:rsidR="002D7C9B" w:rsidRPr="00596BC2" w:rsidRDefault="002D7C9B" w:rsidP="002D7C9B">
      <w:pPr>
        <w:spacing w:after="120" w:line="480" w:lineRule="auto"/>
        <w:jc w:val="both"/>
        <w:rPr>
          <w:rFonts w:ascii="Times New Roman" w:hAnsi="Times New Roman" w:cs="Times New Roman"/>
          <w:sz w:val="24"/>
          <w:szCs w:val="24"/>
        </w:rPr>
      </w:pPr>
      <w:r w:rsidRPr="00596BC2">
        <w:rPr>
          <w:rFonts w:ascii="Times New Roman" w:hAnsi="Times New Roman" w:cs="Times New Roman"/>
          <w:sz w:val="24"/>
          <w:szCs w:val="24"/>
        </w:rPr>
        <w:t>PCR</w:t>
      </w:r>
      <w:r>
        <w:rPr>
          <w:rFonts w:ascii="Times New Roman" w:hAnsi="Times New Roman" w:cs="Times New Roman"/>
          <w:sz w:val="24"/>
          <w:szCs w:val="24"/>
        </w:rPr>
        <w:t xml:space="preserve"> reactions were performed as above, except that in place of template DNA, a single colony was patched onto an appropriate selective agar plate, </w:t>
      </w:r>
      <w:proofErr w:type="gramStart"/>
      <w:r>
        <w:rPr>
          <w:rFonts w:ascii="Times New Roman" w:hAnsi="Times New Roman" w:cs="Times New Roman"/>
          <w:sz w:val="24"/>
          <w:szCs w:val="24"/>
        </w:rPr>
        <w:t>then</w:t>
      </w:r>
      <w:proofErr w:type="gramEnd"/>
      <w:r>
        <w:rPr>
          <w:rFonts w:ascii="Times New Roman" w:hAnsi="Times New Roman" w:cs="Times New Roman"/>
          <w:sz w:val="24"/>
          <w:szCs w:val="24"/>
        </w:rPr>
        <w:t xml:space="preserve"> emulsified into the PCR reaction mix.</w:t>
      </w:r>
    </w:p>
    <w:p w:rsidR="002D7C9B" w:rsidRDefault="002D7C9B" w:rsidP="002D7C9B">
      <w:pPr>
        <w:spacing w:after="120" w:line="480" w:lineRule="auto"/>
        <w:jc w:val="both"/>
        <w:rPr>
          <w:rFonts w:ascii="Times New Roman" w:hAnsi="Times New Roman" w:cs="Times New Roman"/>
          <w:sz w:val="24"/>
          <w:szCs w:val="24"/>
        </w:rPr>
      </w:pPr>
    </w:p>
    <w:p w:rsidR="002D7C9B" w:rsidRDefault="002D7C9B" w:rsidP="002D7C9B">
      <w:pPr>
        <w:spacing w:after="120" w:line="480" w:lineRule="auto"/>
        <w:jc w:val="both"/>
        <w:rPr>
          <w:rFonts w:ascii="Times New Roman" w:hAnsi="Times New Roman" w:cs="Times New Roman"/>
          <w:sz w:val="28"/>
          <w:szCs w:val="28"/>
        </w:rPr>
      </w:pPr>
      <w:r>
        <w:rPr>
          <w:rFonts w:ascii="Times New Roman" w:hAnsi="Times New Roman" w:cs="Times New Roman"/>
          <w:sz w:val="28"/>
          <w:szCs w:val="28"/>
        </w:rPr>
        <w:t>2.9.1.4</w:t>
      </w:r>
      <w:r>
        <w:rPr>
          <w:rFonts w:ascii="Times New Roman" w:hAnsi="Times New Roman" w:cs="Times New Roman"/>
          <w:sz w:val="28"/>
          <w:szCs w:val="28"/>
        </w:rPr>
        <w:tab/>
        <w:t>Restriction endonuclease digestion</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Restriction enzymes were supplied by Promega or New England Biolabs. All DNA digests were carried out in accordance with manufacturer’s instructions, using the supplied buffers. Restriction digests were incubated for at least 4 h at 37 °C. When </w:t>
      </w:r>
      <w:r>
        <w:rPr>
          <w:rFonts w:ascii="Times New Roman" w:hAnsi="Times New Roman" w:cs="Times New Roman"/>
          <w:sz w:val="24"/>
          <w:szCs w:val="24"/>
        </w:rPr>
        <w:lastRenderedPageBreak/>
        <w:t>digest products were required for future reactions, the restriction enzymes were inactivated by incubation at 70 °C for 5 min.</w:t>
      </w:r>
    </w:p>
    <w:p w:rsidR="002D7C9B" w:rsidRDefault="002D7C9B" w:rsidP="002D7C9B">
      <w:pPr>
        <w:spacing w:after="120" w:line="480" w:lineRule="auto"/>
        <w:jc w:val="both"/>
        <w:rPr>
          <w:rFonts w:ascii="Times New Roman" w:hAnsi="Times New Roman" w:cs="Times New Roman"/>
          <w:sz w:val="24"/>
          <w:szCs w:val="24"/>
        </w:rPr>
      </w:pPr>
    </w:p>
    <w:p w:rsidR="002D7C9B" w:rsidRDefault="002D7C9B" w:rsidP="002D7C9B">
      <w:pPr>
        <w:spacing w:after="120" w:line="480" w:lineRule="auto"/>
        <w:jc w:val="both"/>
        <w:rPr>
          <w:rFonts w:ascii="Times New Roman" w:hAnsi="Times New Roman" w:cs="Times New Roman"/>
          <w:sz w:val="28"/>
          <w:szCs w:val="28"/>
        </w:rPr>
      </w:pPr>
      <w:r w:rsidRPr="00DF5FCB">
        <w:rPr>
          <w:rFonts w:ascii="Times New Roman" w:hAnsi="Times New Roman" w:cs="Times New Roman"/>
          <w:sz w:val="28"/>
          <w:szCs w:val="28"/>
        </w:rPr>
        <w:t>2.9.1.5</w:t>
      </w:r>
      <w:r>
        <w:rPr>
          <w:rFonts w:ascii="Times New Roman" w:hAnsi="Times New Roman" w:cs="Times New Roman"/>
          <w:sz w:val="28"/>
          <w:szCs w:val="28"/>
        </w:rPr>
        <w:tab/>
        <w:t>DNA ligation</w:t>
      </w:r>
    </w:p>
    <w:p w:rsidR="002D7C9B" w:rsidRDefault="002D7C9B" w:rsidP="002D7C9B">
      <w:pPr>
        <w:spacing w:after="120" w:line="480" w:lineRule="auto"/>
        <w:jc w:val="both"/>
        <w:rPr>
          <w:rFonts w:ascii="Times New Roman" w:hAnsi="Times New Roman" w:cs="Times New Roman"/>
          <w:sz w:val="24"/>
          <w:szCs w:val="24"/>
        </w:rPr>
      </w:pPr>
      <w:r w:rsidRPr="00EE2B8E">
        <w:rPr>
          <w:rFonts w:ascii="Times New Roman" w:hAnsi="Times New Roman" w:cs="Times New Roman"/>
          <w:sz w:val="24"/>
          <w:szCs w:val="24"/>
        </w:rPr>
        <w:t xml:space="preserve">The required DNA insert and plasmid vector were pre-digested with appropriate restriction enzymes. </w:t>
      </w:r>
      <w:r>
        <w:rPr>
          <w:rFonts w:ascii="Times New Roman" w:hAnsi="Times New Roman" w:cs="Times New Roman"/>
          <w:sz w:val="24"/>
          <w:szCs w:val="24"/>
        </w:rPr>
        <w:t>Each 15 µl ligation reaction comprised a 1:3 molar ratio of vector to insert, 1.5 µl of 10× T4 DNA ligase buffer and 1 µl T4 DNA ligase (3 U µl</w:t>
      </w:r>
      <w:r w:rsidRPr="00EE2B8E">
        <w:rPr>
          <w:rFonts w:ascii="Times New Roman" w:hAnsi="Times New Roman" w:cs="Times New Roman"/>
          <w:sz w:val="24"/>
          <w:szCs w:val="24"/>
          <w:vertAlign w:val="superscript"/>
        </w:rPr>
        <w:t>-1</w:t>
      </w:r>
      <w:r>
        <w:rPr>
          <w:rFonts w:ascii="Times New Roman" w:hAnsi="Times New Roman" w:cs="Times New Roman"/>
          <w:sz w:val="24"/>
          <w:szCs w:val="24"/>
        </w:rPr>
        <w:t xml:space="preserve">; Promega). The ligation mixture was incubated overnight at 16 °C, and transformed directly into competent cells. To determine the ligation efficiency, linearised vector was ligated in the absence of DNA insert and transformed into competent </w:t>
      </w:r>
      <w:r w:rsidRPr="00EE2B8E">
        <w:rPr>
          <w:rFonts w:ascii="Times New Roman" w:hAnsi="Times New Roman" w:cs="Times New Roman"/>
          <w:sz w:val="24"/>
          <w:szCs w:val="24"/>
        </w:rPr>
        <w:t>cells</w:t>
      </w:r>
      <w:r>
        <w:rPr>
          <w:rFonts w:ascii="Times New Roman" w:hAnsi="Times New Roman" w:cs="Times New Roman"/>
          <w:sz w:val="24"/>
          <w:szCs w:val="24"/>
        </w:rPr>
        <w:t xml:space="preserve"> in parallel.</w:t>
      </w:r>
    </w:p>
    <w:p w:rsidR="002D7C9B" w:rsidRDefault="002D7C9B" w:rsidP="002D7C9B">
      <w:pPr>
        <w:spacing w:after="120" w:line="480" w:lineRule="auto"/>
        <w:jc w:val="both"/>
        <w:rPr>
          <w:rFonts w:ascii="Times New Roman" w:hAnsi="Times New Roman" w:cs="Times New Roman"/>
          <w:sz w:val="24"/>
          <w:szCs w:val="24"/>
        </w:rPr>
      </w:pPr>
    </w:p>
    <w:p w:rsidR="002D7C9B" w:rsidRDefault="002D7C9B" w:rsidP="002D7C9B">
      <w:pPr>
        <w:spacing w:after="120" w:line="480" w:lineRule="auto"/>
        <w:jc w:val="both"/>
        <w:rPr>
          <w:rFonts w:ascii="Times New Roman" w:hAnsi="Times New Roman" w:cs="Times New Roman"/>
          <w:sz w:val="28"/>
          <w:szCs w:val="28"/>
        </w:rPr>
      </w:pPr>
      <w:r w:rsidRPr="00EE2B8E">
        <w:rPr>
          <w:rFonts w:ascii="Times New Roman" w:hAnsi="Times New Roman" w:cs="Times New Roman"/>
          <w:sz w:val="28"/>
          <w:szCs w:val="28"/>
        </w:rPr>
        <w:t>2.9.1.</w:t>
      </w:r>
      <w:r>
        <w:rPr>
          <w:rFonts w:ascii="Times New Roman" w:hAnsi="Times New Roman" w:cs="Times New Roman"/>
          <w:sz w:val="28"/>
          <w:szCs w:val="28"/>
        </w:rPr>
        <w:t>6</w:t>
      </w:r>
      <w:r>
        <w:rPr>
          <w:rFonts w:ascii="Times New Roman" w:hAnsi="Times New Roman" w:cs="Times New Roman"/>
          <w:sz w:val="28"/>
          <w:szCs w:val="28"/>
        </w:rPr>
        <w:tab/>
        <w:t>Agarose gel electrophoresis</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Routine separation of DNA fragments was carried out by electrophoresis using a 1% (w/v) agarose gel in TAE buffer. Gels were cast and run using an appropriate size of horizontal electrophoresis tank (Life Technologies). For visualisation of DNA, 4 µl of ethidium bromide (10 mg ml</w:t>
      </w:r>
      <w:r w:rsidRPr="00975714">
        <w:rPr>
          <w:rFonts w:ascii="Times New Roman" w:hAnsi="Times New Roman" w:cs="Times New Roman"/>
          <w:sz w:val="24"/>
          <w:szCs w:val="24"/>
          <w:vertAlign w:val="superscript"/>
        </w:rPr>
        <w:t>-1</w:t>
      </w:r>
      <w:r>
        <w:rPr>
          <w:rFonts w:ascii="Times New Roman" w:hAnsi="Times New Roman" w:cs="Times New Roman"/>
          <w:sz w:val="24"/>
          <w:szCs w:val="24"/>
        </w:rPr>
        <w:t>) was added to the molten agarose.</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For loading of samples, 6× loading dye (Promega) was mixed by pipette with DNA sample to a 1× final concentration, then the sample was loaded into the gel wells.</w:t>
      </w:r>
      <w:r w:rsidRPr="00C64945">
        <w:rPr>
          <w:rFonts w:ascii="Times New Roman" w:hAnsi="Times New Roman" w:cs="Times New Roman"/>
          <w:sz w:val="24"/>
          <w:szCs w:val="24"/>
        </w:rPr>
        <w:t xml:space="preserve"> </w:t>
      </w:r>
      <w:r>
        <w:rPr>
          <w:rFonts w:ascii="Times New Roman" w:hAnsi="Times New Roman" w:cs="Times New Roman"/>
          <w:sz w:val="24"/>
          <w:szCs w:val="24"/>
        </w:rPr>
        <w:t>A 1 kb DNA ladder (7 µl; ThermoScientific) was included in parallel for estimation of DNA fragment size and concentration. Electrophoresis was performed at 100-120 V for 30-60 min at room temperature. DNA bands were visualised with a UV transilluminator at 260 nm. Images were recorded using a UVP Tec Digital camera and UVP Doc Gel documentation system.</w:t>
      </w:r>
    </w:p>
    <w:p w:rsidR="002D7C9B" w:rsidRDefault="002D7C9B" w:rsidP="002D7C9B">
      <w:pPr>
        <w:jc w:val="both"/>
        <w:rPr>
          <w:rFonts w:ascii="Times New Roman" w:hAnsi="Times New Roman" w:cs="Times New Roman"/>
          <w:sz w:val="24"/>
          <w:szCs w:val="24"/>
        </w:rPr>
      </w:pPr>
      <w:r w:rsidRPr="0076399D">
        <w:rPr>
          <w:rFonts w:ascii="Times New Roman" w:hAnsi="Times New Roman" w:cs="Times New Roman"/>
          <w:b/>
          <w:sz w:val="24"/>
          <w:szCs w:val="24"/>
        </w:rPr>
        <w:lastRenderedPageBreak/>
        <w:t>Table 2.</w:t>
      </w:r>
      <w:r>
        <w:rPr>
          <w:rFonts w:ascii="Times New Roman" w:hAnsi="Times New Roman" w:cs="Times New Roman"/>
          <w:b/>
          <w:sz w:val="24"/>
          <w:szCs w:val="24"/>
        </w:rPr>
        <w:t>8</w:t>
      </w:r>
      <w:r w:rsidRPr="0076399D">
        <w:rPr>
          <w:rFonts w:ascii="Times New Roman" w:hAnsi="Times New Roman" w:cs="Times New Roman"/>
          <w:b/>
          <w:sz w:val="24"/>
          <w:szCs w:val="24"/>
        </w:rPr>
        <w:t xml:space="preserve"> </w:t>
      </w:r>
      <w:r w:rsidRPr="0076399D">
        <w:rPr>
          <w:rFonts w:ascii="Times New Roman" w:hAnsi="Times New Roman" w:cs="Times New Roman"/>
          <w:b/>
        </w:rPr>
        <w:t>Oligonucleotides used as primers</w:t>
      </w:r>
      <w:r>
        <w:rPr>
          <w:rFonts w:ascii="Times New Roman" w:hAnsi="Times New Roman" w:cs="Times New Roman"/>
          <w:b/>
        </w:rPr>
        <w:t>.</w:t>
      </w:r>
    </w:p>
    <w:tbl>
      <w:tblPr>
        <w:tblStyle w:val="TableGrid"/>
        <w:tblW w:w="9242" w:type="dxa"/>
        <w:tblLayout w:type="fixed"/>
        <w:tblCellMar>
          <w:top w:w="28" w:type="dxa"/>
          <w:bottom w:w="28" w:type="dxa"/>
        </w:tblCellMar>
        <w:tblLook w:val="04A0"/>
      </w:tblPr>
      <w:tblGrid>
        <w:gridCol w:w="1242"/>
        <w:gridCol w:w="5245"/>
        <w:gridCol w:w="1134"/>
        <w:gridCol w:w="1621"/>
      </w:tblGrid>
      <w:tr w:rsidR="002D7C9B" w:rsidTr="002D7C9B">
        <w:tc>
          <w:tcPr>
            <w:tcW w:w="1242" w:type="dxa"/>
            <w:tcBorders>
              <w:left w:val="nil"/>
              <w:bottom w:val="single" w:sz="4" w:space="0" w:color="auto"/>
              <w:right w:val="nil"/>
            </w:tcBorders>
            <w:tcMar>
              <w:top w:w="57" w:type="dxa"/>
              <w:bottom w:w="57" w:type="dxa"/>
            </w:tcMar>
          </w:tcPr>
          <w:p w:rsidR="002D7C9B" w:rsidRPr="004305FF" w:rsidRDefault="002D7C9B" w:rsidP="002D7C9B">
            <w:pPr>
              <w:jc w:val="center"/>
              <w:rPr>
                <w:rFonts w:ascii="Times New Roman" w:hAnsi="Times New Roman" w:cs="Times New Roman"/>
                <w:b/>
              </w:rPr>
            </w:pPr>
            <w:r w:rsidRPr="004305FF">
              <w:rPr>
                <w:rFonts w:ascii="Times New Roman" w:hAnsi="Times New Roman" w:cs="Times New Roman"/>
                <w:b/>
              </w:rPr>
              <w:t xml:space="preserve">Primer </w:t>
            </w:r>
          </w:p>
        </w:tc>
        <w:tc>
          <w:tcPr>
            <w:tcW w:w="5245" w:type="dxa"/>
            <w:tcBorders>
              <w:left w:val="nil"/>
              <w:bottom w:val="single" w:sz="4" w:space="0" w:color="auto"/>
              <w:right w:val="nil"/>
            </w:tcBorders>
            <w:tcMar>
              <w:top w:w="57" w:type="dxa"/>
              <w:left w:w="57" w:type="dxa"/>
              <w:bottom w:w="57" w:type="dxa"/>
              <w:right w:w="57" w:type="dxa"/>
            </w:tcMar>
          </w:tcPr>
          <w:p w:rsidR="002D7C9B" w:rsidRPr="004305FF" w:rsidRDefault="002D7C9B" w:rsidP="002D7C9B">
            <w:pPr>
              <w:jc w:val="center"/>
              <w:rPr>
                <w:rFonts w:ascii="Times New Roman" w:hAnsi="Times New Roman" w:cs="Times New Roman"/>
                <w:b/>
              </w:rPr>
            </w:pPr>
            <w:r w:rsidRPr="004305FF">
              <w:rPr>
                <w:rFonts w:ascii="Times New Roman" w:hAnsi="Times New Roman" w:cs="Times New Roman"/>
                <w:b/>
              </w:rPr>
              <w:t>Sequence</w:t>
            </w:r>
          </w:p>
        </w:tc>
        <w:tc>
          <w:tcPr>
            <w:tcW w:w="1134" w:type="dxa"/>
            <w:tcBorders>
              <w:left w:val="nil"/>
              <w:bottom w:val="single" w:sz="4" w:space="0" w:color="auto"/>
              <w:right w:val="nil"/>
            </w:tcBorders>
            <w:tcMar>
              <w:top w:w="57" w:type="dxa"/>
              <w:left w:w="0" w:type="dxa"/>
              <w:bottom w:w="57" w:type="dxa"/>
              <w:right w:w="0" w:type="dxa"/>
            </w:tcMar>
          </w:tcPr>
          <w:p w:rsidR="002D7C9B" w:rsidRPr="004305FF" w:rsidRDefault="002D7C9B" w:rsidP="002D7C9B">
            <w:pPr>
              <w:jc w:val="center"/>
              <w:rPr>
                <w:rFonts w:ascii="Times New Roman" w:hAnsi="Times New Roman" w:cs="Times New Roman"/>
                <w:b/>
              </w:rPr>
            </w:pPr>
            <w:r w:rsidRPr="004305FF">
              <w:rPr>
                <w:rFonts w:ascii="Times New Roman" w:hAnsi="Times New Roman" w:cs="Times New Roman"/>
                <w:b/>
              </w:rPr>
              <w:t>Restriction site</w:t>
            </w:r>
          </w:p>
        </w:tc>
        <w:tc>
          <w:tcPr>
            <w:tcW w:w="1621" w:type="dxa"/>
            <w:tcBorders>
              <w:left w:val="nil"/>
              <w:bottom w:val="single" w:sz="4" w:space="0" w:color="auto"/>
              <w:right w:val="nil"/>
            </w:tcBorders>
            <w:tcMar>
              <w:top w:w="57" w:type="dxa"/>
              <w:bottom w:w="57" w:type="dxa"/>
            </w:tcMar>
          </w:tcPr>
          <w:p w:rsidR="002D7C9B" w:rsidRPr="004305FF" w:rsidRDefault="002D7C9B" w:rsidP="002D7C9B">
            <w:pPr>
              <w:jc w:val="center"/>
              <w:rPr>
                <w:rFonts w:ascii="Times New Roman" w:hAnsi="Times New Roman" w:cs="Times New Roman"/>
                <w:b/>
              </w:rPr>
            </w:pPr>
            <w:r w:rsidRPr="004305FF">
              <w:rPr>
                <w:rFonts w:ascii="Times New Roman" w:hAnsi="Times New Roman" w:cs="Times New Roman"/>
                <w:b/>
              </w:rPr>
              <w:t>Source</w:t>
            </w:r>
          </w:p>
        </w:tc>
      </w:tr>
      <w:tr w:rsidR="002D7C9B" w:rsidTr="002D7C9B">
        <w:tc>
          <w:tcPr>
            <w:tcW w:w="1242" w:type="dxa"/>
            <w:tcBorders>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MM73</w:t>
            </w:r>
          </w:p>
        </w:tc>
        <w:tc>
          <w:tcPr>
            <w:tcW w:w="5245" w:type="dxa"/>
            <w:tcBorders>
              <w:left w:val="nil"/>
              <w:bottom w:val="nil"/>
              <w:right w:val="nil"/>
            </w:tcBorders>
            <w:tcMar>
              <w:top w:w="28" w:type="dxa"/>
              <w:left w:w="28" w:type="dxa"/>
              <w:bottom w:w="28" w:type="dxa"/>
              <w:right w:w="28" w:type="dxa"/>
            </w:tcMar>
          </w:tcPr>
          <w:p w:rsidR="002D7C9B" w:rsidRPr="0036447D" w:rsidRDefault="002D7C9B" w:rsidP="002D7C9B">
            <w:pPr>
              <w:spacing w:before="60" w:after="60"/>
              <w:rPr>
                <w:rFonts w:ascii="Times New Roman" w:hAnsi="Times New Roman" w:cs="Times New Roman"/>
              </w:rPr>
            </w:pPr>
            <w:r w:rsidRPr="0036447D">
              <w:rPr>
                <w:rFonts w:ascii="Times New Roman" w:eastAsia="SimSun" w:hAnsi="Times New Roman" w:cs="Times New Roman"/>
                <w:lang w:eastAsia="en-GB"/>
              </w:rPr>
              <w:t>CTCTAGAGCTGCCTGCCGCG</w:t>
            </w:r>
          </w:p>
        </w:tc>
        <w:tc>
          <w:tcPr>
            <w:tcW w:w="1134" w:type="dxa"/>
            <w:tcBorders>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sidRPr="0036447D">
              <w:rPr>
                <w:rFonts w:ascii="Times New Roman" w:hAnsi="Times New Roman" w:cs="Times New Roman"/>
              </w:rPr>
              <w:t>-</w:t>
            </w:r>
          </w:p>
        </w:tc>
        <w:tc>
          <w:tcPr>
            <w:tcW w:w="1621" w:type="dxa"/>
            <w:tcBorders>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sidRPr="0036447D">
              <w:rPr>
                <w:rFonts w:ascii="Times New Roman" w:hAnsi="Times New Roman" w:cs="Times New Roman"/>
              </w:rPr>
              <w:t>Masalha, unpublished</w:t>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RW01_F</w:t>
            </w:r>
          </w:p>
        </w:tc>
        <w:tc>
          <w:tcPr>
            <w:tcW w:w="5245" w:type="dxa"/>
            <w:tcBorders>
              <w:top w:val="nil"/>
              <w:left w:val="nil"/>
              <w:bottom w:val="nil"/>
              <w:right w:val="nil"/>
            </w:tcBorders>
            <w:tcMar>
              <w:top w:w="28" w:type="dxa"/>
              <w:left w:w="28" w:type="dxa"/>
              <w:bottom w:w="28" w:type="dxa"/>
              <w:right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TTTTTT</w:t>
            </w:r>
            <w:r w:rsidRPr="0036447D">
              <w:rPr>
                <w:rFonts w:ascii="Times New Roman" w:hAnsi="Times New Roman" w:cs="Times New Roman"/>
                <w:i/>
              </w:rPr>
              <w:t>GAATTC</w:t>
            </w:r>
            <w:r w:rsidRPr="0036447D">
              <w:rPr>
                <w:rFonts w:ascii="Times New Roman" w:hAnsi="Times New Roman" w:cs="Times New Roman"/>
              </w:rPr>
              <w:t>AACAATGACCTAAGAGGTGTGGA</w:t>
            </w:r>
          </w:p>
        </w:tc>
        <w:tc>
          <w:tcPr>
            <w:tcW w:w="1134"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i/>
              </w:rPr>
            </w:pPr>
            <w:r w:rsidRPr="0036447D">
              <w:rPr>
                <w:rFonts w:ascii="Times New Roman" w:hAnsi="Times New Roman" w:cs="Times New Roman"/>
                <w:i/>
              </w:rPr>
              <w:t>Eco</w:t>
            </w:r>
            <w:r w:rsidRPr="0036447D">
              <w:rPr>
                <w:rFonts w:ascii="Times New Roman" w:hAnsi="Times New Roman" w:cs="Times New Roman"/>
              </w:rPr>
              <w:t>RI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sidRPr="0036447D">
              <w:rPr>
                <w:rFonts w:ascii="Times New Roman" w:hAnsi="Times New Roman" w:cs="Times New Roman"/>
              </w:rPr>
              <w:t>This study</w:t>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RW01_R</w:t>
            </w:r>
          </w:p>
        </w:tc>
        <w:tc>
          <w:tcPr>
            <w:tcW w:w="5245" w:type="dxa"/>
            <w:tcBorders>
              <w:top w:val="nil"/>
              <w:left w:val="nil"/>
              <w:bottom w:val="nil"/>
              <w:right w:val="nil"/>
            </w:tcBorders>
            <w:tcMar>
              <w:top w:w="28" w:type="dxa"/>
              <w:left w:w="28" w:type="dxa"/>
              <w:bottom w:w="28" w:type="dxa"/>
              <w:right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TTTTTT</w:t>
            </w:r>
            <w:r w:rsidRPr="0036447D">
              <w:rPr>
                <w:rFonts w:ascii="Times New Roman" w:hAnsi="Times New Roman" w:cs="Times New Roman"/>
                <w:i/>
              </w:rPr>
              <w:t>GGATCC</w:t>
            </w:r>
            <w:r w:rsidRPr="0036447D">
              <w:rPr>
                <w:rFonts w:ascii="Times New Roman" w:hAnsi="Times New Roman" w:cs="Times New Roman"/>
              </w:rPr>
              <w:t>CAACCATGCTTTTTAGC</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i/>
              </w:rPr>
            </w:pPr>
            <w:r w:rsidRPr="0036447D">
              <w:rPr>
                <w:rFonts w:ascii="Times New Roman" w:hAnsi="Times New Roman" w:cs="Times New Roman"/>
                <w:i/>
              </w:rPr>
              <w:t>Bam</w:t>
            </w:r>
            <w:r w:rsidRPr="0036447D">
              <w:rPr>
                <w:rFonts w:ascii="Times New Roman" w:hAnsi="Times New Roman" w:cs="Times New Roman"/>
              </w:rPr>
              <w:t>HI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sidRPr="0036447D">
              <w:rPr>
                <w:rFonts w:ascii="Times New Roman" w:hAnsi="Times New Roman" w:cs="Times New Roman"/>
              </w:rPr>
              <w:t>This study</w:t>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SA1825_F</w:t>
            </w:r>
          </w:p>
        </w:tc>
        <w:tc>
          <w:tcPr>
            <w:tcW w:w="5245" w:type="dxa"/>
            <w:tcBorders>
              <w:top w:val="nil"/>
              <w:left w:val="nil"/>
              <w:bottom w:val="nil"/>
              <w:right w:val="nil"/>
            </w:tcBorders>
            <w:tcMar>
              <w:top w:w="28" w:type="dxa"/>
              <w:left w:w="28" w:type="dxa"/>
              <w:bottom w:w="28" w:type="dxa"/>
              <w:right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TTTTTT</w:t>
            </w:r>
            <w:r w:rsidRPr="0036447D">
              <w:rPr>
                <w:rFonts w:ascii="Times New Roman" w:hAnsi="Times New Roman" w:cs="Times New Roman"/>
                <w:i/>
              </w:rPr>
              <w:t>GAATTC</w:t>
            </w:r>
            <w:r w:rsidRPr="0036447D">
              <w:rPr>
                <w:rFonts w:ascii="Times New Roman" w:hAnsi="Times New Roman" w:cs="Times New Roman"/>
              </w:rPr>
              <w:t>AACAATGACCTAAGAGGTGTGGA</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rPr>
            </w:pPr>
            <w:r w:rsidRPr="0036447D">
              <w:rPr>
                <w:rFonts w:ascii="Times New Roman" w:hAnsi="Times New Roman" w:cs="Times New Roman"/>
                <w:i/>
              </w:rPr>
              <w:t>Eco</w:t>
            </w:r>
            <w:r w:rsidRPr="0036447D">
              <w:rPr>
                <w:rFonts w:ascii="Times New Roman" w:hAnsi="Times New Roman" w:cs="Times New Roman"/>
              </w:rPr>
              <w:t>RI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sidRPr="0036447D">
              <w:rPr>
                <w:rFonts w:ascii="Times New Roman" w:hAnsi="Times New Roman" w:cs="Times New Roman"/>
              </w:rPr>
              <w:t>This study</w:t>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SA8125_R</w:t>
            </w:r>
          </w:p>
        </w:tc>
        <w:tc>
          <w:tcPr>
            <w:tcW w:w="5245" w:type="dxa"/>
            <w:tcBorders>
              <w:top w:val="nil"/>
              <w:left w:val="nil"/>
              <w:bottom w:val="nil"/>
              <w:right w:val="nil"/>
            </w:tcBorders>
            <w:tcMar>
              <w:top w:w="28" w:type="dxa"/>
              <w:left w:w="28" w:type="dxa"/>
              <w:bottom w:w="28" w:type="dxa"/>
              <w:right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TTTTTT</w:t>
            </w:r>
            <w:r w:rsidRPr="0036447D">
              <w:rPr>
                <w:rFonts w:ascii="Times New Roman" w:hAnsi="Times New Roman" w:cs="Times New Roman"/>
                <w:i/>
              </w:rPr>
              <w:t>GGATCC</w:t>
            </w:r>
            <w:r w:rsidRPr="0036447D">
              <w:rPr>
                <w:rFonts w:ascii="Times New Roman" w:hAnsi="Times New Roman" w:cs="Times New Roman"/>
              </w:rPr>
              <w:t>CAACCATGCTTTTTAGC</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rPr>
            </w:pPr>
            <w:r w:rsidRPr="0036447D">
              <w:rPr>
                <w:rFonts w:ascii="Times New Roman" w:hAnsi="Times New Roman" w:cs="Times New Roman"/>
                <w:i/>
              </w:rPr>
              <w:t>Bam</w:t>
            </w:r>
            <w:r w:rsidRPr="0036447D">
              <w:rPr>
                <w:rFonts w:ascii="Times New Roman" w:hAnsi="Times New Roman" w:cs="Times New Roman"/>
              </w:rPr>
              <w:t>HI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sidRPr="0036447D">
              <w:rPr>
                <w:rFonts w:ascii="Times New Roman" w:hAnsi="Times New Roman" w:cs="Times New Roman"/>
              </w:rPr>
              <w:t>This study</w:t>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P1</w:t>
            </w:r>
          </w:p>
        </w:tc>
        <w:tc>
          <w:tcPr>
            <w:tcW w:w="5245" w:type="dxa"/>
            <w:tcBorders>
              <w:top w:val="nil"/>
              <w:left w:val="nil"/>
              <w:bottom w:val="nil"/>
              <w:right w:val="nil"/>
            </w:tcBorders>
            <w:tcMar>
              <w:top w:w="28" w:type="dxa"/>
              <w:left w:w="28" w:type="dxa"/>
              <w:bottom w:w="28" w:type="dxa"/>
              <w:right w:w="28" w:type="dxa"/>
            </w:tcMar>
          </w:tcPr>
          <w:p w:rsidR="002D7C9B" w:rsidRPr="0036447D" w:rsidRDefault="002D7C9B" w:rsidP="002D7C9B">
            <w:pPr>
              <w:spacing w:before="60" w:after="60"/>
              <w:rPr>
                <w:rFonts w:ascii="Times New Roman" w:hAnsi="Times New Roman" w:cs="Times New Roman"/>
                <w:caps/>
              </w:rPr>
            </w:pPr>
            <w:r w:rsidRPr="0036447D">
              <w:rPr>
                <w:rFonts w:ascii="Times New Roman" w:hAnsi="Times New Roman" w:cs="Times New Roman"/>
              </w:rPr>
              <w:t>CGGGC</w:t>
            </w:r>
            <w:r w:rsidRPr="0036447D">
              <w:rPr>
                <w:rFonts w:ascii="Times New Roman" w:hAnsi="Times New Roman" w:cs="Times New Roman"/>
                <w:i/>
              </w:rPr>
              <w:t>TCTAGA</w:t>
            </w:r>
            <w:r w:rsidRPr="0036447D">
              <w:rPr>
                <w:rFonts w:ascii="Times New Roman" w:hAnsi="Times New Roman" w:cs="Times New Roman"/>
              </w:rPr>
              <w:t>TAATCCACACAGCTGGCGTCTTAGC</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i/>
              </w:rPr>
            </w:pPr>
            <w:r w:rsidRPr="0036447D">
              <w:rPr>
                <w:rFonts w:ascii="Times New Roman" w:hAnsi="Times New Roman" w:cs="Times New Roman"/>
                <w:i/>
              </w:rPr>
              <w:t>Xba</w:t>
            </w:r>
            <w:r w:rsidRPr="0036447D">
              <w:rPr>
                <w:rFonts w:ascii="Times New Roman" w:hAnsi="Times New Roman" w:cs="Times New Roman"/>
              </w:rPr>
              <w:t>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{"citationID":"2fb0pbrur3","properties":{"formattedCitation":"(Mohamad,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854805">
              <w:rPr>
                <w:rFonts w:ascii="Times New Roman" w:hAnsi="Times New Roman" w:cs="Times New Roman"/>
              </w:rPr>
              <w:t>(Mohamad, 2007)</w:t>
            </w:r>
            <w:r>
              <w:rPr>
                <w:rFonts w:ascii="Times New Roman" w:hAnsi="Times New Roman" w:cs="Times New Roman"/>
              </w:rPr>
              <w:fldChar w:fldCharType="end"/>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P2</w:t>
            </w:r>
          </w:p>
        </w:tc>
        <w:tc>
          <w:tcPr>
            <w:tcW w:w="5245" w:type="dxa"/>
            <w:tcBorders>
              <w:top w:val="nil"/>
              <w:left w:val="nil"/>
              <w:bottom w:val="nil"/>
              <w:right w:val="nil"/>
            </w:tcBorders>
            <w:tcMar>
              <w:top w:w="28" w:type="dxa"/>
              <w:left w:w="28" w:type="dxa"/>
              <w:bottom w:w="28" w:type="dxa"/>
              <w:right w:w="28" w:type="dxa"/>
            </w:tcMar>
          </w:tcPr>
          <w:p w:rsidR="002D7C9B" w:rsidRPr="0036447D" w:rsidRDefault="002D7C9B" w:rsidP="002D7C9B">
            <w:pPr>
              <w:spacing w:before="60" w:after="60"/>
              <w:rPr>
                <w:rFonts w:ascii="Times New Roman" w:hAnsi="Times New Roman" w:cs="Times New Roman"/>
                <w:caps/>
              </w:rPr>
            </w:pPr>
            <w:r w:rsidRPr="0036447D">
              <w:rPr>
                <w:rFonts w:ascii="Times New Roman" w:hAnsi="Times New Roman" w:cs="Times New Roman"/>
              </w:rPr>
              <w:t>CGGCC</w:t>
            </w:r>
            <w:r w:rsidRPr="0036447D">
              <w:rPr>
                <w:rFonts w:ascii="Times New Roman" w:hAnsi="Times New Roman" w:cs="Times New Roman"/>
                <w:i/>
              </w:rPr>
              <w:t>GGTACC</w:t>
            </w:r>
            <w:r w:rsidRPr="0036447D">
              <w:rPr>
                <w:rFonts w:ascii="Times New Roman" w:hAnsi="Times New Roman" w:cs="Times New Roman"/>
              </w:rPr>
              <w:t>AGGATCTGTTTCGAATAATGATGTTGC</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i/>
              </w:rPr>
            </w:pPr>
            <w:r w:rsidRPr="0036447D">
              <w:rPr>
                <w:rFonts w:ascii="Times New Roman" w:hAnsi="Times New Roman" w:cs="Times New Roman"/>
                <w:i/>
              </w:rPr>
              <w:t>Kpn</w:t>
            </w:r>
            <w:r w:rsidRPr="0036447D">
              <w:rPr>
                <w:rFonts w:ascii="Times New Roman" w:hAnsi="Times New Roman" w:cs="Times New Roman"/>
              </w:rPr>
              <w:t>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{"citationID":"v7QIDC4Q","properties":{"formattedCitation":"(Mohamad,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854805">
              <w:rPr>
                <w:rFonts w:ascii="Times New Roman" w:hAnsi="Times New Roman" w:cs="Times New Roman"/>
              </w:rPr>
              <w:t>(Mohamad, 2007)</w:t>
            </w:r>
            <w:r>
              <w:rPr>
                <w:rFonts w:ascii="Times New Roman" w:hAnsi="Times New Roman" w:cs="Times New Roman"/>
              </w:rPr>
              <w:fldChar w:fldCharType="end"/>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FD2</w:t>
            </w:r>
          </w:p>
        </w:tc>
        <w:tc>
          <w:tcPr>
            <w:tcW w:w="5245" w:type="dxa"/>
            <w:tcBorders>
              <w:top w:val="nil"/>
              <w:left w:val="nil"/>
              <w:bottom w:val="nil"/>
              <w:right w:val="nil"/>
            </w:tcBorders>
            <w:tcMar>
              <w:top w:w="28" w:type="dxa"/>
              <w:left w:w="28" w:type="dxa"/>
              <w:bottom w:w="28" w:type="dxa"/>
              <w:right w:w="28" w:type="dxa"/>
            </w:tcMar>
            <w:vAlign w:val="center"/>
          </w:tcPr>
          <w:p w:rsidR="002D7C9B" w:rsidRPr="0036447D" w:rsidRDefault="002D7C9B" w:rsidP="002D7C9B">
            <w:pPr>
              <w:tabs>
                <w:tab w:val="left" w:pos="1440"/>
              </w:tabs>
              <w:spacing w:before="60" w:after="60"/>
              <w:rPr>
                <w:rFonts w:ascii="Times New Roman" w:hAnsi="Times New Roman" w:cs="Times New Roman"/>
              </w:rPr>
            </w:pPr>
            <w:r w:rsidRPr="0036447D">
              <w:rPr>
                <w:rFonts w:ascii="Times New Roman" w:hAnsi="Times New Roman" w:cs="Times New Roman"/>
              </w:rPr>
              <w:t>CGGCG</w:t>
            </w:r>
            <w:r w:rsidRPr="0036447D">
              <w:rPr>
                <w:rFonts w:ascii="Times New Roman" w:hAnsi="Times New Roman" w:cs="Times New Roman"/>
                <w:i/>
              </w:rPr>
              <w:t>GGTACC</w:t>
            </w:r>
            <w:r w:rsidRPr="0036447D">
              <w:rPr>
                <w:rFonts w:ascii="Times New Roman" w:hAnsi="Times New Roman" w:cs="Times New Roman"/>
              </w:rPr>
              <w:t>AACATCATTATTCGAAACAGATCCTAG</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i/>
              </w:rPr>
            </w:pPr>
            <w:r w:rsidRPr="0036447D">
              <w:rPr>
                <w:rFonts w:ascii="Times New Roman" w:hAnsi="Times New Roman" w:cs="Times New Roman"/>
                <w:i/>
              </w:rPr>
              <w:t>Kpn</w:t>
            </w:r>
            <w:r w:rsidRPr="0036447D">
              <w:rPr>
                <w:rFonts w:ascii="Times New Roman" w:hAnsi="Times New Roman" w:cs="Times New Roman"/>
              </w:rPr>
              <w:t>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{"citationID":"8DwAqPKZ","properties":{"formattedCitation":"(Mohamad,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854805">
              <w:rPr>
                <w:rFonts w:ascii="Times New Roman" w:hAnsi="Times New Roman" w:cs="Times New Roman"/>
              </w:rPr>
              <w:t>(Mohamad, 2007)</w:t>
            </w:r>
            <w:r>
              <w:rPr>
                <w:rFonts w:ascii="Times New Roman" w:hAnsi="Times New Roman" w:cs="Times New Roman"/>
              </w:rPr>
              <w:fldChar w:fldCharType="end"/>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RD2</w:t>
            </w:r>
          </w:p>
        </w:tc>
        <w:tc>
          <w:tcPr>
            <w:tcW w:w="5245" w:type="dxa"/>
            <w:tcBorders>
              <w:top w:val="nil"/>
              <w:left w:val="nil"/>
              <w:bottom w:val="nil"/>
              <w:right w:val="nil"/>
            </w:tcBorders>
            <w:tcMar>
              <w:top w:w="28" w:type="dxa"/>
              <w:left w:w="28" w:type="dxa"/>
              <w:bottom w:w="28" w:type="dxa"/>
              <w:right w:w="28" w:type="dxa"/>
            </w:tcMar>
          </w:tcPr>
          <w:p w:rsidR="002D7C9B" w:rsidRPr="0036447D" w:rsidRDefault="002D7C9B" w:rsidP="002D7C9B">
            <w:pPr>
              <w:spacing w:before="60" w:after="60"/>
              <w:rPr>
                <w:rFonts w:ascii="Times New Roman" w:hAnsi="Times New Roman" w:cs="Times New Roman"/>
                <w:caps/>
              </w:rPr>
            </w:pPr>
            <w:r w:rsidRPr="0036447D">
              <w:rPr>
                <w:rFonts w:ascii="Times New Roman" w:hAnsi="Times New Roman" w:cs="Times New Roman"/>
              </w:rPr>
              <w:t>CGGGC</w:t>
            </w:r>
            <w:r w:rsidRPr="0036447D">
              <w:rPr>
                <w:rFonts w:ascii="Times New Roman" w:hAnsi="Times New Roman" w:cs="Times New Roman"/>
                <w:i/>
              </w:rPr>
              <w:t>AAGCTT</w:t>
            </w:r>
            <w:r w:rsidRPr="0036447D">
              <w:rPr>
                <w:rFonts w:ascii="Times New Roman" w:hAnsi="Times New Roman" w:cs="Times New Roman"/>
              </w:rPr>
              <w:t>TATTTACGTGCAAATGATATTAATC</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i/>
              </w:rPr>
            </w:pPr>
            <w:r w:rsidRPr="0036447D">
              <w:rPr>
                <w:rFonts w:ascii="Times New Roman" w:hAnsi="Times New Roman" w:cs="Times New Roman"/>
                <w:i/>
              </w:rPr>
              <w:t>Hind</w:t>
            </w:r>
            <w:r w:rsidRPr="0036447D">
              <w:rPr>
                <w:rFonts w:ascii="Times New Roman" w:hAnsi="Times New Roman" w:cs="Times New Roman"/>
              </w:rPr>
              <w:t>III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{"citationID":"ENW2r5JN","properties":{"formattedCitation":"(Mohamad,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854805">
              <w:rPr>
                <w:rFonts w:ascii="Times New Roman" w:hAnsi="Times New Roman" w:cs="Times New Roman"/>
              </w:rPr>
              <w:t>(Mohamad, 2007)</w:t>
            </w:r>
            <w:r>
              <w:rPr>
                <w:rFonts w:ascii="Times New Roman" w:hAnsi="Times New Roman" w:cs="Times New Roman"/>
              </w:rPr>
              <w:fldChar w:fldCharType="end"/>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FKan</w:t>
            </w:r>
          </w:p>
        </w:tc>
        <w:tc>
          <w:tcPr>
            <w:tcW w:w="5245" w:type="dxa"/>
            <w:tcBorders>
              <w:top w:val="nil"/>
              <w:left w:val="nil"/>
              <w:bottom w:val="nil"/>
              <w:right w:val="nil"/>
            </w:tcBorders>
            <w:tcMar>
              <w:top w:w="28" w:type="dxa"/>
              <w:left w:w="28" w:type="dxa"/>
              <w:bottom w:w="28" w:type="dxa"/>
              <w:right w:w="28" w:type="dxa"/>
            </w:tcMar>
          </w:tcPr>
          <w:p w:rsidR="002D7C9B" w:rsidRPr="0036447D" w:rsidRDefault="002D7C9B" w:rsidP="002D7C9B">
            <w:pPr>
              <w:tabs>
                <w:tab w:val="left" w:pos="4169"/>
              </w:tabs>
              <w:spacing w:before="60" w:after="60"/>
              <w:rPr>
                <w:rFonts w:ascii="Times New Roman" w:hAnsi="Times New Roman" w:cs="Times New Roman"/>
                <w:caps/>
              </w:rPr>
            </w:pPr>
            <w:r w:rsidRPr="0036447D">
              <w:rPr>
                <w:rFonts w:ascii="Times New Roman" w:hAnsi="Times New Roman" w:cs="Times New Roman"/>
              </w:rPr>
              <w:t>GGCGG</w:t>
            </w:r>
            <w:r w:rsidRPr="0036447D">
              <w:rPr>
                <w:rFonts w:ascii="Times New Roman" w:hAnsi="Times New Roman" w:cs="Times New Roman"/>
                <w:i/>
              </w:rPr>
              <w:t>GGTACC</w:t>
            </w:r>
            <w:r w:rsidRPr="0036447D">
              <w:rPr>
                <w:rFonts w:ascii="Times New Roman" w:hAnsi="Times New Roman" w:cs="Times New Roman"/>
              </w:rPr>
              <w:t>CAGCGAACCATTTGAGG</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i/>
              </w:rPr>
            </w:pPr>
            <w:r w:rsidRPr="0036447D">
              <w:rPr>
                <w:rFonts w:ascii="Times New Roman" w:hAnsi="Times New Roman" w:cs="Times New Roman"/>
                <w:i/>
              </w:rPr>
              <w:t>Kpn</w:t>
            </w:r>
            <w:r w:rsidRPr="0036447D">
              <w:rPr>
                <w:rFonts w:ascii="Times New Roman" w:hAnsi="Times New Roman" w:cs="Times New Roman"/>
              </w:rPr>
              <w:t>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{"citationID":"64iWokuW","properties":{"formattedCitation":"(Mohamad,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854805">
              <w:rPr>
                <w:rFonts w:ascii="Times New Roman" w:hAnsi="Times New Roman" w:cs="Times New Roman"/>
              </w:rPr>
              <w:t>(Mohamad, 2007)</w:t>
            </w:r>
            <w:r>
              <w:rPr>
                <w:rFonts w:ascii="Times New Roman" w:hAnsi="Times New Roman" w:cs="Times New Roman"/>
              </w:rPr>
              <w:fldChar w:fldCharType="end"/>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RKan</w:t>
            </w:r>
          </w:p>
        </w:tc>
        <w:tc>
          <w:tcPr>
            <w:tcW w:w="5245" w:type="dxa"/>
            <w:tcBorders>
              <w:top w:val="nil"/>
              <w:left w:val="nil"/>
              <w:bottom w:val="nil"/>
              <w:right w:val="nil"/>
            </w:tcBorders>
            <w:tcMar>
              <w:top w:w="28" w:type="dxa"/>
              <w:left w:w="28" w:type="dxa"/>
              <w:bottom w:w="28" w:type="dxa"/>
              <w:right w:w="28" w:type="dxa"/>
            </w:tcMar>
          </w:tcPr>
          <w:p w:rsidR="002D7C9B" w:rsidRPr="0036447D" w:rsidRDefault="002D7C9B" w:rsidP="002D7C9B">
            <w:pPr>
              <w:spacing w:before="60" w:after="60"/>
              <w:rPr>
                <w:rFonts w:ascii="Times New Roman" w:hAnsi="Times New Roman" w:cs="Times New Roman"/>
                <w:caps/>
              </w:rPr>
            </w:pPr>
            <w:r w:rsidRPr="0036447D">
              <w:rPr>
                <w:rFonts w:ascii="Times New Roman" w:hAnsi="Times New Roman" w:cs="Times New Roman"/>
              </w:rPr>
              <w:t>GGGGC</w:t>
            </w:r>
            <w:r w:rsidRPr="0036447D">
              <w:rPr>
                <w:rFonts w:ascii="Times New Roman" w:hAnsi="Times New Roman" w:cs="Times New Roman"/>
                <w:i/>
              </w:rPr>
              <w:t>GGTACC</w:t>
            </w:r>
            <w:r w:rsidRPr="0036447D">
              <w:rPr>
                <w:rFonts w:ascii="Times New Roman" w:hAnsi="Times New Roman" w:cs="Times New Roman"/>
              </w:rPr>
              <w:t>AATTCCTCGTAGGCGCTCGG</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rPr>
            </w:pPr>
            <w:r w:rsidRPr="0036447D">
              <w:rPr>
                <w:rFonts w:ascii="Times New Roman" w:hAnsi="Times New Roman" w:cs="Times New Roman"/>
                <w:i/>
              </w:rPr>
              <w:t>Kpn</w:t>
            </w:r>
            <w:r w:rsidRPr="0036447D">
              <w:rPr>
                <w:rFonts w:ascii="Times New Roman" w:hAnsi="Times New Roman" w:cs="Times New Roman"/>
              </w:rPr>
              <w:t>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{"citationID":"sadPKDFk","properties":{"formattedCitation":"(Mohamad,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854805">
              <w:rPr>
                <w:rFonts w:ascii="Times New Roman" w:hAnsi="Times New Roman" w:cs="Times New Roman"/>
              </w:rPr>
              <w:t>(Mohamad, 2007)</w:t>
            </w:r>
            <w:r>
              <w:rPr>
                <w:rFonts w:ascii="Times New Roman" w:hAnsi="Times New Roman" w:cs="Times New Roman"/>
              </w:rPr>
              <w:fldChar w:fldCharType="end"/>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P1</w:t>
            </w:r>
          </w:p>
        </w:tc>
        <w:tc>
          <w:tcPr>
            <w:tcW w:w="5245" w:type="dxa"/>
            <w:tcBorders>
              <w:top w:val="nil"/>
              <w:left w:val="nil"/>
              <w:bottom w:val="nil"/>
              <w:right w:val="nil"/>
            </w:tcBorders>
            <w:tcMar>
              <w:top w:w="28" w:type="dxa"/>
              <w:left w:w="28" w:type="dxa"/>
              <w:bottom w:w="28" w:type="dxa"/>
              <w:right w:w="28" w:type="dxa"/>
            </w:tcMar>
          </w:tcPr>
          <w:p w:rsidR="002D7C9B" w:rsidRPr="0036447D" w:rsidRDefault="002D7C9B" w:rsidP="002D7C9B">
            <w:pPr>
              <w:spacing w:before="60" w:after="60"/>
              <w:rPr>
                <w:rFonts w:ascii="Times New Roman" w:hAnsi="Times New Roman" w:cs="Times New Roman"/>
                <w:caps/>
              </w:rPr>
            </w:pPr>
            <w:r w:rsidRPr="0036447D">
              <w:rPr>
                <w:rFonts w:ascii="Times New Roman" w:hAnsi="Times New Roman" w:cs="Times New Roman"/>
              </w:rPr>
              <w:t>CGGGC</w:t>
            </w:r>
            <w:r w:rsidRPr="0036447D">
              <w:rPr>
                <w:rFonts w:ascii="Times New Roman" w:hAnsi="Times New Roman" w:cs="Times New Roman"/>
                <w:i/>
              </w:rPr>
              <w:t>TCTAGA</w:t>
            </w:r>
            <w:r w:rsidRPr="0036447D">
              <w:rPr>
                <w:rFonts w:ascii="Times New Roman" w:hAnsi="Times New Roman" w:cs="Times New Roman"/>
              </w:rPr>
              <w:t>TAATCCACACAGCTGGCGTCTTAGC</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i/>
              </w:rPr>
            </w:pPr>
            <w:r w:rsidRPr="0036447D">
              <w:rPr>
                <w:rFonts w:ascii="Times New Roman" w:hAnsi="Times New Roman" w:cs="Times New Roman"/>
                <w:i/>
              </w:rPr>
              <w:t>Xba</w:t>
            </w:r>
            <w:r w:rsidRPr="0036447D">
              <w:rPr>
                <w:rFonts w:ascii="Times New Roman" w:hAnsi="Times New Roman" w:cs="Times New Roman"/>
              </w:rPr>
              <w:t>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{"citationID":"xc14oHMy","properties":{"formattedCitation":"(Mohamad,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854805">
              <w:rPr>
                <w:rFonts w:ascii="Times New Roman" w:hAnsi="Times New Roman" w:cs="Times New Roman"/>
              </w:rPr>
              <w:t>(Mohamad, 2007)</w:t>
            </w:r>
            <w:r>
              <w:rPr>
                <w:rFonts w:ascii="Times New Roman" w:hAnsi="Times New Roman" w:cs="Times New Roman"/>
              </w:rPr>
              <w:fldChar w:fldCharType="end"/>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P2</w:t>
            </w:r>
          </w:p>
        </w:tc>
        <w:tc>
          <w:tcPr>
            <w:tcW w:w="5245" w:type="dxa"/>
            <w:tcBorders>
              <w:top w:val="nil"/>
              <w:left w:val="nil"/>
              <w:bottom w:val="nil"/>
              <w:right w:val="nil"/>
            </w:tcBorders>
            <w:tcMar>
              <w:top w:w="28" w:type="dxa"/>
              <w:left w:w="28" w:type="dxa"/>
              <w:bottom w:w="28" w:type="dxa"/>
              <w:right w:w="28" w:type="dxa"/>
            </w:tcMar>
          </w:tcPr>
          <w:p w:rsidR="002D7C9B" w:rsidRPr="0036447D" w:rsidRDefault="002D7C9B" w:rsidP="002D7C9B">
            <w:pPr>
              <w:spacing w:before="60" w:after="60"/>
              <w:rPr>
                <w:rFonts w:ascii="Times New Roman" w:hAnsi="Times New Roman" w:cs="Times New Roman"/>
                <w:caps/>
              </w:rPr>
            </w:pPr>
            <w:r w:rsidRPr="0036447D">
              <w:rPr>
                <w:rFonts w:ascii="Times New Roman" w:hAnsi="Times New Roman" w:cs="Times New Roman"/>
              </w:rPr>
              <w:t>CGGCC</w:t>
            </w:r>
            <w:r w:rsidRPr="0036447D">
              <w:rPr>
                <w:rFonts w:ascii="Times New Roman" w:hAnsi="Times New Roman" w:cs="Times New Roman"/>
                <w:i/>
              </w:rPr>
              <w:t>GGTACC</w:t>
            </w:r>
            <w:r w:rsidRPr="0036447D">
              <w:rPr>
                <w:rFonts w:ascii="Times New Roman" w:hAnsi="Times New Roman" w:cs="Times New Roman"/>
              </w:rPr>
              <w:t>AGGATCTGTTTCGAATAATGATGTTGC</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i/>
              </w:rPr>
            </w:pPr>
            <w:r w:rsidRPr="0036447D">
              <w:rPr>
                <w:rFonts w:ascii="Times New Roman" w:hAnsi="Times New Roman" w:cs="Times New Roman"/>
                <w:i/>
              </w:rPr>
              <w:t>Kpn</w:t>
            </w:r>
            <w:r w:rsidRPr="0036447D">
              <w:rPr>
                <w:rFonts w:ascii="Times New Roman" w:hAnsi="Times New Roman" w:cs="Times New Roman"/>
              </w:rPr>
              <w:t>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{"citationID":"TJT24xDw","properties":{"formattedCitation":"(Mohamad,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854805">
              <w:rPr>
                <w:rFonts w:ascii="Times New Roman" w:hAnsi="Times New Roman" w:cs="Times New Roman"/>
              </w:rPr>
              <w:t>(Mohamad, 2007)</w:t>
            </w:r>
            <w:r>
              <w:rPr>
                <w:rFonts w:ascii="Times New Roman" w:hAnsi="Times New Roman" w:cs="Times New Roman"/>
              </w:rPr>
              <w:fldChar w:fldCharType="end"/>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P5C</w:t>
            </w:r>
          </w:p>
        </w:tc>
        <w:tc>
          <w:tcPr>
            <w:tcW w:w="5245" w:type="dxa"/>
            <w:tcBorders>
              <w:top w:val="nil"/>
              <w:left w:val="nil"/>
              <w:bottom w:val="nil"/>
              <w:right w:val="nil"/>
            </w:tcBorders>
            <w:tcMar>
              <w:top w:w="28" w:type="dxa"/>
              <w:left w:w="28" w:type="dxa"/>
              <w:bottom w:w="28" w:type="dxa"/>
              <w:right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caps/>
              </w:rPr>
              <w:t>GCCGGG</w:t>
            </w:r>
            <w:r w:rsidRPr="0036447D">
              <w:rPr>
                <w:rFonts w:ascii="Times New Roman" w:hAnsi="Times New Roman" w:cs="Times New Roman"/>
                <w:i/>
                <w:caps/>
              </w:rPr>
              <w:t>GTCGAC</w:t>
            </w:r>
            <w:r w:rsidRPr="0036447D">
              <w:rPr>
                <w:rFonts w:ascii="Times New Roman" w:hAnsi="Times New Roman" w:cs="Times New Roman"/>
                <w:caps/>
              </w:rPr>
              <w:t>TTTAGCACTATTTTGGGA</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rPr>
            </w:pPr>
            <w:r w:rsidRPr="0036447D">
              <w:rPr>
                <w:rFonts w:ascii="Times New Roman" w:hAnsi="Times New Roman" w:cs="Times New Roman"/>
                <w:i/>
              </w:rPr>
              <w:t>Sal</w:t>
            </w:r>
            <w:r w:rsidRPr="0036447D">
              <w:rPr>
                <w:rFonts w:ascii="Times New Roman" w:hAnsi="Times New Roman" w:cs="Times New Roman"/>
              </w:rPr>
              <w:t>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{"citationID":"HDQ0OS4N","properties":{"formattedCitation":"(Mohamad,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854805">
              <w:rPr>
                <w:rFonts w:ascii="Times New Roman" w:hAnsi="Times New Roman" w:cs="Times New Roman"/>
              </w:rPr>
              <w:t>(Mohamad, 2007)</w:t>
            </w:r>
            <w:r>
              <w:rPr>
                <w:rFonts w:ascii="Times New Roman" w:hAnsi="Times New Roman" w:cs="Times New Roman"/>
              </w:rPr>
              <w:fldChar w:fldCharType="end"/>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P6C</w:t>
            </w:r>
          </w:p>
        </w:tc>
        <w:tc>
          <w:tcPr>
            <w:tcW w:w="5245" w:type="dxa"/>
            <w:tcBorders>
              <w:top w:val="nil"/>
              <w:left w:val="nil"/>
              <w:bottom w:val="nil"/>
              <w:right w:val="nil"/>
            </w:tcBorders>
            <w:tcMar>
              <w:top w:w="28" w:type="dxa"/>
              <w:left w:w="28" w:type="dxa"/>
              <w:bottom w:w="28" w:type="dxa"/>
              <w:right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caps/>
              </w:rPr>
              <w:t>GGGCC</w:t>
            </w:r>
            <w:r w:rsidRPr="0036447D">
              <w:rPr>
                <w:rFonts w:ascii="Times New Roman" w:hAnsi="Times New Roman" w:cs="Times New Roman"/>
                <w:i/>
                <w:caps/>
              </w:rPr>
              <w:t>GGATCC</w:t>
            </w:r>
            <w:r w:rsidRPr="0036447D">
              <w:rPr>
                <w:rFonts w:ascii="Times New Roman" w:hAnsi="Times New Roman" w:cs="Times New Roman"/>
                <w:caps/>
              </w:rPr>
              <w:t>TTCAAGGTATAGTTTGAGC</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rPr>
            </w:pPr>
            <w:r w:rsidRPr="0036447D">
              <w:rPr>
                <w:rFonts w:ascii="Times New Roman" w:hAnsi="Times New Roman" w:cs="Times New Roman"/>
                <w:i/>
              </w:rPr>
              <w:t>Bam</w:t>
            </w:r>
            <w:r w:rsidRPr="0036447D">
              <w:rPr>
                <w:rFonts w:ascii="Times New Roman" w:hAnsi="Times New Roman" w:cs="Times New Roman"/>
              </w:rPr>
              <w:t>HI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{"citationID":"Kzmeq4Ul","properties":{"formattedCitation":"(Mohamad,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854805">
              <w:rPr>
                <w:rFonts w:ascii="Times New Roman" w:hAnsi="Times New Roman" w:cs="Times New Roman"/>
              </w:rPr>
              <w:t>(Mohamad, 2007)</w:t>
            </w:r>
            <w:r>
              <w:rPr>
                <w:rFonts w:ascii="Times New Roman" w:hAnsi="Times New Roman" w:cs="Times New Roman"/>
              </w:rPr>
              <w:fldChar w:fldCharType="end"/>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P6</w:t>
            </w:r>
          </w:p>
        </w:tc>
        <w:tc>
          <w:tcPr>
            <w:tcW w:w="5245" w:type="dxa"/>
            <w:tcBorders>
              <w:top w:val="nil"/>
              <w:left w:val="nil"/>
              <w:bottom w:val="nil"/>
              <w:right w:val="nil"/>
            </w:tcBorders>
            <w:tcMar>
              <w:top w:w="28" w:type="dxa"/>
              <w:left w:w="28" w:type="dxa"/>
              <w:bottom w:w="28" w:type="dxa"/>
              <w:right w:w="28" w:type="dxa"/>
            </w:tcMar>
          </w:tcPr>
          <w:p w:rsidR="002D7C9B" w:rsidRPr="0036447D" w:rsidRDefault="002D7C9B" w:rsidP="002D7C9B">
            <w:pPr>
              <w:spacing w:before="60" w:after="60"/>
              <w:rPr>
                <w:rFonts w:ascii="Times New Roman" w:hAnsi="Times New Roman" w:cs="Times New Roman"/>
                <w:caps/>
              </w:rPr>
            </w:pPr>
            <w:r w:rsidRPr="0036447D">
              <w:rPr>
                <w:rFonts w:ascii="Times New Roman" w:hAnsi="Times New Roman" w:cs="Times New Roman"/>
              </w:rPr>
              <w:t>GGGCC</w:t>
            </w:r>
            <w:r w:rsidRPr="0036447D">
              <w:rPr>
                <w:rFonts w:ascii="Times New Roman" w:hAnsi="Times New Roman" w:cs="Times New Roman"/>
                <w:i/>
              </w:rPr>
              <w:t>GGATCC</w:t>
            </w:r>
            <w:r w:rsidRPr="0036447D">
              <w:rPr>
                <w:rFonts w:ascii="Times New Roman" w:hAnsi="Times New Roman" w:cs="Times New Roman"/>
              </w:rPr>
              <w:t>TTCAAGGTATAGTTTGAGCC</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rPr>
            </w:pPr>
            <w:r w:rsidRPr="0036447D">
              <w:rPr>
                <w:rFonts w:ascii="Times New Roman" w:hAnsi="Times New Roman" w:cs="Times New Roman"/>
                <w:i/>
              </w:rPr>
              <w:t>Bam</w:t>
            </w:r>
            <w:r w:rsidRPr="0036447D">
              <w:rPr>
                <w:rFonts w:ascii="Times New Roman" w:hAnsi="Times New Roman" w:cs="Times New Roman"/>
              </w:rPr>
              <w:t>HI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{"citationID":"TqXKwo3O","properties":{"formattedCitation":"(Mohamad,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854805">
              <w:rPr>
                <w:rFonts w:ascii="Times New Roman" w:hAnsi="Times New Roman" w:cs="Times New Roman"/>
              </w:rPr>
              <w:t>(Mohamad, 2007)</w:t>
            </w:r>
            <w:r>
              <w:rPr>
                <w:rFonts w:ascii="Times New Roman" w:hAnsi="Times New Roman" w:cs="Times New Roman"/>
              </w:rPr>
              <w:fldChar w:fldCharType="end"/>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P7</w:t>
            </w:r>
          </w:p>
        </w:tc>
        <w:tc>
          <w:tcPr>
            <w:tcW w:w="5245" w:type="dxa"/>
            <w:tcBorders>
              <w:top w:val="nil"/>
              <w:left w:val="nil"/>
              <w:bottom w:val="nil"/>
              <w:right w:val="nil"/>
            </w:tcBorders>
            <w:tcMar>
              <w:top w:w="28" w:type="dxa"/>
              <w:left w:w="28" w:type="dxa"/>
              <w:bottom w:w="28" w:type="dxa"/>
              <w:right w:w="28" w:type="dxa"/>
            </w:tcMar>
          </w:tcPr>
          <w:p w:rsidR="002D7C9B" w:rsidRPr="0036447D" w:rsidRDefault="002D7C9B" w:rsidP="002D7C9B">
            <w:pPr>
              <w:spacing w:before="60" w:after="60"/>
              <w:rPr>
                <w:rFonts w:ascii="Times New Roman" w:hAnsi="Times New Roman" w:cs="Times New Roman"/>
                <w:caps/>
              </w:rPr>
            </w:pPr>
            <w:r w:rsidRPr="0036447D">
              <w:rPr>
                <w:rFonts w:ascii="Times New Roman" w:hAnsi="Times New Roman" w:cs="Times New Roman"/>
                <w:caps/>
              </w:rPr>
              <w:t>TATTAT</w:t>
            </w:r>
            <w:r w:rsidRPr="0036447D">
              <w:rPr>
                <w:rFonts w:ascii="Times New Roman" w:hAnsi="Times New Roman" w:cs="Times New Roman"/>
                <w:i/>
                <w:caps/>
              </w:rPr>
              <w:t>GAGCTC</w:t>
            </w:r>
            <w:r w:rsidRPr="0036447D">
              <w:rPr>
                <w:rFonts w:ascii="Times New Roman" w:hAnsi="Times New Roman" w:cs="Times New Roman"/>
                <w:caps/>
              </w:rPr>
              <w:t>TATCGTCGTATTCGGCTTAAG</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rPr>
            </w:pPr>
            <w:r w:rsidRPr="0036447D">
              <w:rPr>
                <w:rFonts w:ascii="Times New Roman" w:hAnsi="Times New Roman" w:cs="Times New Roman"/>
                <w:i/>
              </w:rPr>
              <w:t>Sac</w:t>
            </w:r>
            <w:r w:rsidRPr="0036447D">
              <w:rPr>
                <w:rFonts w:ascii="Times New Roman" w:hAnsi="Times New Roman" w:cs="Times New Roman"/>
              </w:rPr>
              <w:t>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{"citationID":"pkJW6Ud3","properties":{"formattedCitation":"(Mohamad,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854805">
              <w:rPr>
                <w:rFonts w:ascii="Times New Roman" w:hAnsi="Times New Roman" w:cs="Times New Roman"/>
              </w:rPr>
              <w:t>(Mohamad, 2007)</w:t>
            </w:r>
            <w:r>
              <w:rPr>
                <w:rFonts w:ascii="Times New Roman" w:hAnsi="Times New Roman" w:cs="Times New Roman"/>
              </w:rPr>
              <w:fldChar w:fldCharType="end"/>
            </w:r>
          </w:p>
        </w:tc>
      </w:tr>
      <w:tr w:rsidR="002D7C9B" w:rsidTr="002D7C9B">
        <w:trPr>
          <w:trHeight w:val="227"/>
        </w:trPr>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MinFK3</w:t>
            </w:r>
          </w:p>
        </w:tc>
        <w:tc>
          <w:tcPr>
            <w:tcW w:w="5245" w:type="dxa"/>
            <w:tcBorders>
              <w:top w:val="nil"/>
              <w:left w:val="nil"/>
              <w:bottom w:val="nil"/>
              <w:right w:val="nil"/>
            </w:tcBorders>
            <w:tcMar>
              <w:top w:w="28" w:type="dxa"/>
              <w:left w:w="28" w:type="dxa"/>
              <w:bottom w:w="28" w:type="dxa"/>
              <w:right w:w="28" w:type="dxa"/>
            </w:tcMar>
            <w:vAlign w:val="center"/>
          </w:tcPr>
          <w:p w:rsidR="002D7C9B" w:rsidRPr="0036447D" w:rsidRDefault="002D7C9B" w:rsidP="002D7C9B">
            <w:pPr>
              <w:tabs>
                <w:tab w:val="left" w:pos="1440"/>
              </w:tabs>
              <w:spacing w:before="60" w:after="60"/>
              <w:jc w:val="both"/>
              <w:rPr>
                <w:rFonts w:ascii="Times New Roman" w:hAnsi="Times New Roman" w:cs="Times New Roman"/>
              </w:rPr>
            </w:pPr>
            <w:r w:rsidRPr="0036447D">
              <w:rPr>
                <w:rFonts w:ascii="Times New Roman" w:hAnsi="Times New Roman" w:cs="Times New Roman"/>
              </w:rPr>
              <w:t>AACAA</w:t>
            </w:r>
            <w:r w:rsidRPr="0036447D">
              <w:rPr>
                <w:rFonts w:ascii="Times New Roman" w:hAnsi="Times New Roman" w:cs="Times New Roman"/>
                <w:i/>
              </w:rPr>
              <w:t>GGTACC</w:t>
            </w:r>
            <w:r w:rsidRPr="0036447D">
              <w:rPr>
                <w:rFonts w:ascii="Times New Roman" w:hAnsi="Times New Roman" w:cs="Times New Roman"/>
              </w:rPr>
              <w:t>AATATGCTCTTACGTGCT</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rPr>
            </w:pPr>
            <w:r w:rsidRPr="0036447D">
              <w:rPr>
                <w:rFonts w:ascii="Times New Roman" w:hAnsi="Times New Roman" w:cs="Times New Roman"/>
                <w:i/>
              </w:rPr>
              <w:t>Kpn</w:t>
            </w:r>
            <w:r w:rsidRPr="0036447D">
              <w:rPr>
                <w:rFonts w:ascii="Times New Roman" w:hAnsi="Times New Roman" w:cs="Times New Roman"/>
              </w:rPr>
              <w:t>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{"citationID":"w7bKDWIZ","properties":{"formattedCitation":"(Mohamad,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854805">
              <w:rPr>
                <w:rFonts w:ascii="Times New Roman" w:hAnsi="Times New Roman" w:cs="Times New Roman"/>
              </w:rPr>
              <w:t>(Mohamad, 2007)</w:t>
            </w:r>
            <w:r>
              <w:rPr>
                <w:rFonts w:ascii="Times New Roman" w:hAnsi="Times New Roman" w:cs="Times New Roman"/>
              </w:rPr>
              <w:fldChar w:fldCharType="end"/>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MinFK4</w:t>
            </w:r>
          </w:p>
        </w:tc>
        <w:tc>
          <w:tcPr>
            <w:tcW w:w="5245" w:type="dxa"/>
            <w:tcBorders>
              <w:top w:val="nil"/>
              <w:left w:val="nil"/>
              <w:bottom w:val="nil"/>
              <w:right w:val="nil"/>
            </w:tcBorders>
            <w:tcMar>
              <w:top w:w="28" w:type="dxa"/>
              <w:left w:w="28" w:type="dxa"/>
              <w:bottom w:w="28" w:type="dxa"/>
              <w:right w:w="28" w:type="dxa"/>
            </w:tcMar>
          </w:tcPr>
          <w:p w:rsidR="002D7C9B" w:rsidRPr="0036447D" w:rsidRDefault="002D7C9B" w:rsidP="002D7C9B">
            <w:pPr>
              <w:spacing w:before="60" w:after="60"/>
              <w:rPr>
                <w:rFonts w:ascii="Times New Roman" w:hAnsi="Times New Roman" w:cs="Times New Roman"/>
                <w:caps/>
              </w:rPr>
            </w:pPr>
            <w:r w:rsidRPr="0036447D">
              <w:rPr>
                <w:rFonts w:ascii="Times New Roman" w:hAnsi="Times New Roman" w:cs="Times New Roman"/>
                <w:caps/>
              </w:rPr>
              <w:t>AACAA</w:t>
            </w:r>
            <w:r w:rsidRPr="0036447D">
              <w:rPr>
                <w:rFonts w:ascii="Times New Roman" w:hAnsi="Times New Roman" w:cs="Times New Roman"/>
                <w:i/>
                <w:caps/>
              </w:rPr>
              <w:t>GGTACC</w:t>
            </w:r>
            <w:r w:rsidRPr="0036447D">
              <w:rPr>
                <w:rFonts w:ascii="Times New Roman" w:hAnsi="Times New Roman" w:cs="Times New Roman"/>
                <w:caps/>
              </w:rPr>
              <w:t>AGAAATATTGAAGCTAGT</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rPr>
            </w:pPr>
            <w:r w:rsidRPr="0036447D">
              <w:rPr>
                <w:rFonts w:ascii="Times New Roman" w:hAnsi="Times New Roman" w:cs="Times New Roman"/>
                <w:i/>
              </w:rPr>
              <w:t>Kpn</w:t>
            </w:r>
            <w:r w:rsidRPr="0036447D">
              <w:rPr>
                <w:rFonts w:ascii="Times New Roman" w:hAnsi="Times New Roman" w:cs="Times New Roman"/>
              </w:rPr>
              <w:t>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{"citationID":"wk1kRUP4","properties":{"formattedCitation":"(Mohamad,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854805">
              <w:rPr>
                <w:rFonts w:ascii="Times New Roman" w:hAnsi="Times New Roman" w:cs="Times New Roman"/>
              </w:rPr>
              <w:t>(Mohamad, 2007)</w:t>
            </w:r>
            <w:r>
              <w:rPr>
                <w:rFonts w:ascii="Times New Roman" w:hAnsi="Times New Roman" w:cs="Times New Roman"/>
              </w:rPr>
              <w:fldChar w:fldCharType="end"/>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InvF1</w:t>
            </w:r>
          </w:p>
        </w:tc>
        <w:tc>
          <w:tcPr>
            <w:tcW w:w="5245" w:type="dxa"/>
            <w:tcBorders>
              <w:top w:val="nil"/>
              <w:left w:val="nil"/>
              <w:bottom w:val="nil"/>
              <w:right w:val="nil"/>
            </w:tcBorders>
            <w:tcMar>
              <w:top w:w="28" w:type="dxa"/>
              <w:left w:w="28" w:type="dxa"/>
              <w:bottom w:w="28" w:type="dxa"/>
              <w:right w:w="28" w:type="dxa"/>
            </w:tcMar>
          </w:tcPr>
          <w:p w:rsidR="002D7C9B" w:rsidRPr="0036447D" w:rsidRDefault="002D7C9B" w:rsidP="002D7C9B">
            <w:pPr>
              <w:spacing w:before="60" w:after="60"/>
              <w:rPr>
                <w:rFonts w:ascii="Times New Roman" w:hAnsi="Times New Roman" w:cs="Times New Roman"/>
                <w:caps/>
              </w:rPr>
            </w:pPr>
            <w:r w:rsidRPr="0036447D">
              <w:rPr>
                <w:rFonts w:ascii="Times New Roman" w:hAnsi="Times New Roman" w:cs="Times New Roman"/>
              </w:rPr>
              <w:t>GCGCGG</w:t>
            </w:r>
            <w:r w:rsidRPr="0036447D">
              <w:rPr>
                <w:rFonts w:ascii="Times New Roman" w:hAnsi="Times New Roman" w:cs="Times New Roman"/>
                <w:i/>
              </w:rPr>
              <w:t>GGTACC</w:t>
            </w:r>
            <w:r w:rsidRPr="0036447D">
              <w:rPr>
                <w:rFonts w:ascii="Times New Roman" w:hAnsi="Times New Roman" w:cs="Times New Roman"/>
              </w:rPr>
              <w:t>AGAACATGAAGACTGAAGGAA</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rPr>
            </w:pPr>
            <w:r w:rsidRPr="0036447D">
              <w:rPr>
                <w:rFonts w:ascii="Times New Roman" w:hAnsi="Times New Roman" w:cs="Times New Roman"/>
                <w:i/>
              </w:rPr>
              <w:t>Kpn</w:t>
            </w:r>
            <w:r w:rsidRPr="0036447D">
              <w:rPr>
                <w:rFonts w:ascii="Times New Roman" w:hAnsi="Times New Roman" w:cs="Times New Roman"/>
              </w:rPr>
              <w:t>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{"citationID":"iiTF6b6o","properties":{"formattedCitation":"(Mohamad,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854805">
              <w:rPr>
                <w:rFonts w:ascii="Times New Roman" w:hAnsi="Times New Roman" w:cs="Times New Roman"/>
              </w:rPr>
              <w:t>(Mohamad, 2007)</w:t>
            </w:r>
            <w:r>
              <w:rPr>
                <w:rFonts w:ascii="Times New Roman" w:hAnsi="Times New Roman" w:cs="Times New Roman"/>
              </w:rPr>
              <w:fldChar w:fldCharType="end"/>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InvR1</w:t>
            </w:r>
          </w:p>
        </w:tc>
        <w:tc>
          <w:tcPr>
            <w:tcW w:w="5245" w:type="dxa"/>
            <w:tcBorders>
              <w:top w:val="nil"/>
              <w:left w:val="nil"/>
              <w:bottom w:val="nil"/>
              <w:right w:val="nil"/>
            </w:tcBorders>
            <w:tcMar>
              <w:top w:w="28" w:type="dxa"/>
              <w:left w:w="28" w:type="dxa"/>
              <w:bottom w:w="28" w:type="dxa"/>
              <w:right w:w="28" w:type="dxa"/>
            </w:tcMar>
          </w:tcPr>
          <w:p w:rsidR="002D7C9B" w:rsidRPr="0036447D" w:rsidRDefault="002D7C9B" w:rsidP="002D7C9B">
            <w:pPr>
              <w:spacing w:before="60" w:after="60"/>
              <w:rPr>
                <w:rFonts w:ascii="Times New Roman" w:hAnsi="Times New Roman" w:cs="Times New Roman"/>
                <w:caps/>
              </w:rPr>
            </w:pPr>
            <w:r w:rsidRPr="0036447D">
              <w:rPr>
                <w:rFonts w:ascii="Times New Roman" w:hAnsi="Times New Roman" w:cs="Times New Roman"/>
              </w:rPr>
              <w:t>GCGCGG</w:t>
            </w:r>
            <w:r w:rsidRPr="0036447D">
              <w:rPr>
                <w:rFonts w:ascii="Times New Roman" w:hAnsi="Times New Roman" w:cs="Times New Roman"/>
                <w:i/>
              </w:rPr>
              <w:t>GGTACC</w:t>
            </w:r>
            <w:r w:rsidRPr="0036447D">
              <w:rPr>
                <w:rFonts w:ascii="Times New Roman" w:hAnsi="Times New Roman" w:cs="Times New Roman"/>
              </w:rPr>
              <w:t>TTCAATCTTAATGTCGGAT</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rPr>
            </w:pPr>
            <w:r w:rsidRPr="0036447D">
              <w:rPr>
                <w:rFonts w:ascii="Times New Roman" w:hAnsi="Times New Roman" w:cs="Times New Roman"/>
                <w:i/>
              </w:rPr>
              <w:t>Kpn</w:t>
            </w:r>
            <w:r w:rsidRPr="0036447D">
              <w:rPr>
                <w:rFonts w:ascii="Times New Roman" w:hAnsi="Times New Roman" w:cs="Times New Roman"/>
              </w:rPr>
              <w:t>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{"citationID":"BlTxCK1f","properties":{"formattedCitation":"(Mohamad,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854805">
              <w:rPr>
                <w:rFonts w:ascii="Times New Roman" w:hAnsi="Times New Roman" w:cs="Times New Roman"/>
              </w:rPr>
              <w:t>(Mohamad, 2007)</w:t>
            </w:r>
            <w:r>
              <w:rPr>
                <w:rFonts w:ascii="Times New Roman" w:hAnsi="Times New Roman" w:cs="Times New Roman"/>
              </w:rPr>
              <w:fldChar w:fldCharType="end"/>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OL-32</w:t>
            </w:r>
          </w:p>
        </w:tc>
        <w:tc>
          <w:tcPr>
            <w:tcW w:w="5245" w:type="dxa"/>
            <w:tcBorders>
              <w:top w:val="nil"/>
              <w:left w:val="nil"/>
              <w:bottom w:val="nil"/>
              <w:right w:val="nil"/>
            </w:tcBorders>
            <w:tcMar>
              <w:top w:w="28" w:type="dxa"/>
              <w:left w:w="28" w:type="dxa"/>
              <w:bottom w:w="28" w:type="dxa"/>
              <w:right w:w="28" w:type="dxa"/>
            </w:tcMar>
          </w:tcPr>
          <w:p w:rsidR="002D7C9B" w:rsidRPr="0036447D" w:rsidRDefault="002D7C9B" w:rsidP="002D7C9B">
            <w:pPr>
              <w:spacing w:before="60" w:after="60"/>
              <w:rPr>
                <w:rFonts w:ascii="Times New Roman" w:hAnsi="Times New Roman" w:cs="Times New Roman"/>
              </w:rPr>
            </w:pPr>
            <w:r w:rsidRPr="0036447D">
              <w:rPr>
                <w:rFonts w:ascii="Times New Roman" w:eastAsia="Times New Roman" w:hAnsi="Times New Roman" w:cs="Times New Roman"/>
                <w:lang w:eastAsia="en-GB"/>
              </w:rPr>
              <w:t>CC</w:t>
            </w:r>
            <w:r w:rsidRPr="0036447D">
              <w:rPr>
                <w:rFonts w:ascii="Times New Roman" w:eastAsia="Times New Roman" w:hAnsi="Times New Roman" w:cs="Times New Roman"/>
                <w:i/>
                <w:lang w:eastAsia="en-GB"/>
              </w:rPr>
              <w:t>GGTACC</w:t>
            </w:r>
            <w:r w:rsidRPr="0036447D">
              <w:rPr>
                <w:rFonts w:ascii="Times New Roman" w:eastAsia="Times New Roman" w:hAnsi="Times New Roman" w:cs="Times New Roman"/>
                <w:lang w:eastAsia="en-GB"/>
              </w:rPr>
              <w:t>CGGATTTTATGACCGATGATGAAG</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i/>
              </w:rPr>
            </w:pPr>
            <w:r w:rsidRPr="0036447D">
              <w:rPr>
                <w:rFonts w:ascii="Times New Roman" w:hAnsi="Times New Roman" w:cs="Times New Roman"/>
                <w:i/>
              </w:rPr>
              <w:t>Kpn</w:t>
            </w:r>
            <w:r w:rsidRPr="0036447D">
              <w:rPr>
                <w:rFonts w:ascii="Times New Roman" w:hAnsi="Times New Roman" w:cs="Times New Roman"/>
              </w:rPr>
              <w:t>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{"citationID":"IT1bxso5","properties":{"formattedCitation":"(Mohamad,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854805">
              <w:rPr>
                <w:rFonts w:ascii="Times New Roman" w:hAnsi="Times New Roman" w:cs="Times New Roman"/>
              </w:rPr>
              <w:t>(Mohamad, 2007)</w:t>
            </w:r>
            <w:r>
              <w:rPr>
                <w:rFonts w:ascii="Times New Roman" w:hAnsi="Times New Roman" w:cs="Times New Roman"/>
              </w:rPr>
              <w:fldChar w:fldCharType="end"/>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OL-33</w:t>
            </w:r>
          </w:p>
        </w:tc>
        <w:tc>
          <w:tcPr>
            <w:tcW w:w="5245" w:type="dxa"/>
            <w:tcBorders>
              <w:top w:val="nil"/>
              <w:left w:val="nil"/>
              <w:bottom w:val="nil"/>
              <w:right w:val="nil"/>
            </w:tcBorders>
            <w:tcMar>
              <w:top w:w="28" w:type="dxa"/>
              <w:left w:w="28" w:type="dxa"/>
              <w:bottom w:w="28" w:type="dxa"/>
              <w:right w:w="28" w:type="dxa"/>
            </w:tcMar>
          </w:tcPr>
          <w:p w:rsidR="002D7C9B" w:rsidRPr="0036447D" w:rsidRDefault="002D7C9B" w:rsidP="002D7C9B">
            <w:pPr>
              <w:spacing w:before="60" w:after="60"/>
              <w:rPr>
                <w:rFonts w:ascii="Times New Roman" w:hAnsi="Times New Roman" w:cs="Times New Roman"/>
              </w:rPr>
            </w:pPr>
            <w:r w:rsidRPr="0036447D">
              <w:rPr>
                <w:rFonts w:ascii="Times New Roman" w:eastAsia="Times New Roman" w:hAnsi="Times New Roman" w:cs="Times New Roman"/>
                <w:lang w:eastAsia="en-GB"/>
              </w:rPr>
              <w:t>CC</w:t>
            </w:r>
            <w:r w:rsidRPr="0036447D">
              <w:rPr>
                <w:rFonts w:ascii="Times New Roman" w:eastAsia="Times New Roman" w:hAnsi="Times New Roman" w:cs="Times New Roman"/>
                <w:i/>
                <w:lang w:eastAsia="en-GB"/>
              </w:rPr>
              <w:t>GGTACC</w:t>
            </w:r>
            <w:r w:rsidRPr="0036447D">
              <w:rPr>
                <w:rFonts w:ascii="Times New Roman" w:eastAsia="Times New Roman" w:hAnsi="Times New Roman" w:cs="Times New Roman"/>
                <w:lang w:eastAsia="en-GB"/>
              </w:rPr>
              <w:t>TTAGAAATCCCTTTGAGAATGTTT</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i/>
              </w:rPr>
            </w:pPr>
            <w:r w:rsidRPr="0036447D">
              <w:rPr>
                <w:rFonts w:ascii="Times New Roman" w:hAnsi="Times New Roman" w:cs="Times New Roman"/>
                <w:i/>
              </w:rPr>
              <w:t>Kpn</w:t>
            </w:r>
            <w:r w:rsidRPr="0036447D">
              <w:rPr>
                <w:rFonts w:ascii="Times New Roman" w:hAnsi="Times New Roman" w:cs="Times New Roman"/>
              </w:rPr>
              <w:t>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{"citationID":"O9HrGI5J","properties":{"formattedCitation":"(Mohamad,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854805">
              <w:rPr>
                <w:rFonts w:ascii="Times New Roman" w:hAnsi="Times New Roman" w:cs="Times New Roman"/>
              </w:rPr>
              <w:t>(Mohamad, 2007)</w:t>
            </w:r>
            <w:r>
              <w:rPr>
                <w:rFonts w:ascii="Times New Roman" w:hAnsi="Times New Roman" w:cs="Times New Roman"/>
              </w:rPr>
              <w:fldChar w:fldCharType="end"/>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OL-239/2</w:t>
            </w:r>
          </w:p>
        </w:tc>
        <w:tc>
          <w:tcPr>
            <w:tcW w:w="5245" w:type="dxa"/>
            <w:tcBorders>
              <w:top w:val="nil"/>
              <w:left w:val="nil"/>
              <w:bottom w:val="nil"/>
              <w:right w:val="nil"/>
            </w:tcBorders>
            <w:tcMar>
              <w:top w:w="28" w:type="dxa"/>
              <w:left w:w="28" w:type="dxa"/>
              <w:bottom w:w="28" w:type="dxa"/>
              <w:right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ACA</w:t>
            </w:r>
            <w:r w:rsidRPr="0036447D">
              <w:rPr>
                <w:rFonts w:ascii="Times New Roman" w:hAnsi="Times New Roman" w:cs="Times New Roman"/>
                <w:i/>
              </w:rPr>
              <w:t>GGATCC</w:t>
            </w:r>
            <w:r w:rsidRPr="0036447D">
              <w:rPr>
                <w:rFonts w:ascii="Times New Roman" w:hAnsi="Times New Roman" w:cs="Times New Roman"/>
              </w:rPr>
              <w:t>AATTATCACGTACAACTGG</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i/>
              </w:rPr>
            </w:pPr>
            <w:r w:rsidRPr="0036447D">
              <w:rPr>
                <w:rFonts w:ascii="Times New Roman" w:hAnsi="Times New Roman" w:cs="Times New Roman"/>
                <w:i/>
              </w:rPr>
              <w:t>Bam</w:t>
            </w:r>
            <w:r w:rsidRPr="0036447D">
              <w:rPr>
                <w:rFonts w:ascii="Times New Roman" w:hAnsi="Times New Roman" w:cs="Times New Roman"/>
              </w:rPr>
              <w:t>HI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Pr>
                <w:rFonts w:ascii="Times New Roman" w:hAnsi="Times New Roman" w:cs="Times New Roman"/>
              </w:rPr>
              <w:t>Horsburgh, unpublished</w:t>
            </w:r>
          </w:p>
        </w:tc>
      </w:tr>
      <w:tr w:rsidR="002D7C9B" w:rsidTr="002D7C9B">
        <w:tc>
          <w:tcPr>
            <w:tcW w:w="1242" w:type="dxa"/>
            <w:tcBorders>
              <w:top w:val="nil"/>
              <w:left w:val="nil"/>
              <w:bottom w:val="single" w:sz="4" w:space="0" w:color="auto"/>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p>
        </w:tc>
        <w:tc>
          <w:tcPr>
            <w:tcW w:w="5245" w:type="dxa"/>
            <w:tcBorders>
              <w:top w:val="nil"/>
              <w:left w:val="nil"/>
              <w:bottom w:val="single" w:sz="4" w:space="0" w:color="auto"/>
              <w:right w:val="nil"/>
            </w:tcBorders>
            <w:tcMar>
              <w:top w:w="28" w:type="dxa"/>
              <w:left w:w="28" w:type="dxa"/>
              <w:bottom w:w="28" w:type="dxa"/>
              <w:right w:w="28" w:type="dxa"/>
            </w:tcMar>
          </w:tcPr>
          <w:p w:rsidR="002D7C9B" w:rsidRPr="00CB3045" w:rsidRDefault="002D7C9B" w:rsidP="002D7C9B">
            <w:pPr>
              <w:spacing w:before="60" w:after="60"/>
              <w:rPr>
                <w:rFonts w:ascii="Times New Roman" w:hAnsi="Times New Roman" w:cs="Times New Roman"/>
              </w:rPr>
            </w:pPr>
          </w:p>
        </w:tc>
        <w:tc>
          <w:tcPr>
            <w:tcW w:w="1134" w:type="dxa"/>
            <w:tcBorders>
              <w:top w:val="nil"/>
              <w:left w:val="nil"/>
              <w:bottom w:val="single" w:sz="4" w:space="0" w:color="auto"/>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i/>
              </w:rPr>
            </w:pPr>
          </w:p>
        </w:tc>
        <w:tc>
          <w:tcPr>
            <w:tcW w:w="1621" w:type="dxa"/>
            <w:tcBorders>
              <w:top w:val="nil"/>
              <w:left w:val="nil"/>
              <w:bottom w:val="single" w:sz="4" w:space="0" w:color="auto"/>
              <w:right w:val="nil"/>
            </w:tcBorders>
            <w:tcMar>
              <w:top w:w="28" w:type="dxa"/>
              <w:left w:w="0" w:type="dxa"/>
              <w:bottom w:w="28" w:type="dxa"/>
              <w:right w:w="0" w:type="dxa"/>
            </w:tcMar>
          </w:tcPr>
          <w:p w:rsidR="002D7C9B" w:rsidRDefault="002D7C9B" w:rsidP="002D7C9B">
            <w:pPr>
              <w:spacing w:before="60" w:after="60"/>
              <w:jc w:val="center"/>
              <w:rPr>
                <w:rFonts w:ascii="Times New Roman" w:hAnsi="Times New Roman" w:cs="Times New Roman"/>
              </w:rPr>
            </w:pPr>
          </w:p>
        </w:tc>
      </w:tr>
      <w:tr w:rsidR="002D7C9B" w:rsidTr="002D7C9B">
        <w:tc>
          <w:tcPr>
            <w:tcW w:w="1242" w:type="dxa"/>
            <w:tcBorders>
              <w:top w:val="single" w:sz="4" w:space="0" w:color="auto"/>
              <w:left w:val="nil"/>
              <w:bottom w:val="single" w:sz="4" w:space="0" w:color="auto"/>
              <w:right w:val="nil"/>
            </w:tcBorders>
            <w:tcMar>
              <w:top w:w="57" w:type="dxa"/>
              <w:bottom w:w="57" w:type="dxa"/>
            </w:tcMar>
          </w:tcPr>
          <w:p w:rsidR="002D7C9B" w:rsidRPr="004305FF" w:rsidRDefault="002D7C9B" w:rsidP="002D7C9B">
            <w:pPr>
              <w:jc w:val="center"/>
              <w:rPr>
                <w:rFonts w:ascii="Times New Roman" w:hAnsi="Times New Roman" w:cs="Times New Roman"/>
                <w:b/>
              </w:rPr>
            </w:pPr>
            <w:r w:rsidRPr="004305FF">
              <w:rPr>
                <w:rFonts w:ascii="Times New Roman" w:hAnsi="Times New Roman" w:cs="Times New Roman"/>
                <w:b/>
              </w:rPr>
              <w:lastRenderedPageBreak/>
              <w:t xml:space="preserve">Primer </w:t>
            </w:r>
          </w:p>
        </w:tc>
        <w:tc>
          <w:tcPr>
            <w:tcW w:w="5245" w:type="dxa"/>
            <w:tcBorders>
              <w:top w:val="single" w:sz="4" w:space="0" w:color="auto"/>
              <w:left w:val="nil"/>
              <w:bottom w:val="single" w:sz="4" w:space="0" w:color="auto"/>
              <w:right w:val="nil"/>
            </w:tcBorders>
            <w:tcMar>
              <w:top w:w="57" w:type="dxa"/>
              <w:left w:w="28" w:type="dxa"/>
              <w:bottom w:w="57" w:type="dxa"/>
              <w:right w:w="28" w:type="dxa"/>
            </w:tcMar>
          </w:tcPr>
          <w:p w:rsidR="002D7C9B" w:rsidRPr="004305FF" w:rsidRDefault="002D7C9B" w:rsidP="002D7C9B">
            <w:pPr>
              <w:jc w:val="center"/>
              <w:rPr>
                <w:rFonts w:ascii="Times New Roman" w:hAnsi="Times New Roman" w:cs="Times New Roman"/>
                <w:b/>
              </w:rPr>
            </w:pPr>
            <w:r w:rsidRPr="004305FF">
              <w:rPr>
                <w:rFonts w:ascii="Times New Roman" w:hAnsi="Times New Roman" w:cs="Times New Roman"/>
                <w:b/>
              </w:rPr>
              <w:t>Sequence</w:t>
            </w:r>
          </w:p>
        </w:tc>
        <w:tc>
          <w:tcPr>
            <w:tcW w:w="1134" w:type="dxa"/>
            <w:tcBorders>
              <w:top w:val="single" w:sz="4" w:space="0" w:color="auto"/>
              <w:left w:val="nil"/>
              <w:bottom w:val="single" w:sz="4" w:space="0" w:color="auto"/>
              <w:right w:val="nil"/>
            </w:tcBorders>
            <w:tcMar>
              <w:top w:w="57" w:type="dxa"/>
              <w:left w:w="0" w:type="dxa"/>
              <w:bottom w:w="57" w:type="dxa"/>
              <w:right w:w="0" w:type="dxa"/>
            </w:tcMar>
          </w:tcPr>
          <w:p w:rsidR="002D7C9B" w:rsidRPr="004305FF" w:rsidRDefault="002D7C9B" w:rsidP="002D7C9B">
            <w:pPr>
              <w:jc w:val="center"/>
              <w:rPr>
                <w:rFonts w:ascii="Times New Roman" w:hAnsi="Times New Roman" w:cs="Times New Roman"/>
                <w:b/>
              </w:rPr>
            </w:pPr>
            <w:r w:rsidRPr="004305FF">
              <w:rPr>
                <w:rFonts w:ascii="Times New Roman" w:hAnsi="Times New Roman" w:cs="Times New Roman"/>
                <w:b/>
              </w:rPr>
              <w:t>Restriction site</w:t>
            </w:r>
          </w:p>
        </w:tc>
        <w:tc>
          <w:tcPr>
            <w:tcW w:w="1621" w:type="dxa"/>
            <w:tcBorders>
              <w:top w:val="single" w:sz="4" w:space="0" w:color="auto"/>
              <w:left w:val="nil"/>
              <w:bottom w:val="single" w:sz="4" w:space="0" w:color="auto"/>
              <w:right w:val="nil"/>
            </w:tcBorders>
            <w:tcMar>
              <w:top w:w="57" w:type="dxa"/>
              <w:left w:w="0" w:type="dxa"/>
              <w:bottom w:w="57" w:type="dxa"/>
              <w:right w:w="0" w:type="dxa"/>
            </w:tcMar>
          </w:tcPr>
          <w:p w:rsidR="002D7C9B" w:rsidRPr="004305FF" w:rsidRDefault="002D7C9B" w:rsidP="002D7C9B">
            <w:pPr>
              <w:jc w:val="center"/>
              <w:rPr>
                <w:rFonts w:ascii="Times New Roman" w:hAnsi="Times New Roman" w:cs="Times New Roman"/>
                <w:b/>
              </w:rPr>
            </w:pPr>
            <w:r w:rsidRPr="004305FF">
              <w:rPr>
                <w:rFonts w:ascii="Times New Roman" w:hAnsi="Times New Roman" w:cs="Times New Roman"/>
                <w:b/>
              </w:rPr>
              <w:t>Source</w:t>
            </w:r>
          </w:p>
        </w:tc>
      </w:tr>
      <w:tr w:rsidR="002D7C9B" w:rsidTr="002D7C9B">
        <w:tc>
          <w:tcPr>
            <w:tcW w:w="1242" w:type="dxa"/>
            <w:tcBorders>
              <w:top w:val="single" w:sz="4" w:space="0" w:color="auto"/>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OL-240</w:t>
            </w:r>
          </w:p>
        </w:tc>
        <w:tc>
          <w:tcPr>
            <w:tcW w:w="5245" w:type="dxa"/>
            <w:tcBorders>
              <w:top w:val="single" w:sz="4" w:space="0" w:color="auto"/>
              <w:left w:val="nil"/>
              <w:bottom w:val="nil"/>
              <w:right w:val="nil"/>
            </w:tcBorders>
            <w:tcMar>
              <w:top w:w="28" w:type="dxa"/>
              <w:left w:w="28" w:type="dxa"/>
              <w:bottom w:w="28" w:type="dxa"/>
              <w:right w:w="28" w:type="dxa"/>
            </w:tcMar>
          </w:tcPr>
          <w:p w:rsidR="002D7C9B" w:rsidRPr="00CB3045" w:rsidRDefault="002D7C9B" w:rsidP="002D7C9B">
            <w:pPr>
              <w:spacing w:before="60" w:after="60"/>
              <w:rPr>
                <w:rFonts w:ascii="Times New Roman" w:hAnsi="Times New Roman" w:cs="Times New Roman"/>
              </w:rPr>
            </w:pPr>
            <w:r w:rsidRPr="00CB3045">
              <w:rPr>
                <w:rFonts w:ascii="Times New Roman" w:hAnsi="Times New Roman" w:cs="Times New Roman"/>
              </w:rPr>
              <w:t>ACA</w:t>
            </w:r>
            <w:r w:rsidRPr="00CB3045">
              <w:rPr>
                <w:rFonts w:ascii="Times New Roman" w:hAnsi="Times New Roman" w:cs="Times New Roman"/>
                <w:i/>
              </w:rPr>
              <w:t>GGTACC</w:t>
            </w:r>
            <w:r w:rsidRPr="00CB3045">
              <w:rPr>
                <w:rFonts w:ascii="Times New Roman" w:hAnsi="Times New Roman" w:cs="Times New Roman"/>
              </w:rPr>
              <w:t>TGTATTGGTGCTGATGCAATTCATTC</w:t>
            </w:r>
          </w:p>
        </w:tc>
        <w:tc>
          <w:tcPr>
            <w:tcW w:w="1134" w:type="dxa"/>
            <w:tcBorders>
              <w:top w:val="single" w:sz="4" w:space="0" w:color="auto"/>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i/>
              </w:rPr>
            </w:pPr>
            <w:r w:rsidRPr="0036447D">
              <w:rPr>
                <w:rFonts w:ascii="Times New Roman" w:hAnsi="Times New Roman" w:cs="Times New Roman"/>
                <w:i/>
              </w:rPr>
              <w:t>Kpn</w:t>
            </w:r>
            <w:r w:rsidRPr="0036447D">
              <w:rPr>
                <w:rFonts w:ascii="Times New Roman" w:hAnsi="Times New Roman" w:cs="Times New Roman"/>
              </w:rPr>
              <w:t>I</w:t>
            </w:r>
          </w:p>
        </w:tc>
        <w:tc>
          <w:tcPr>
            <w:tcW w:w="1621" w:type="dxa"/>
            <w:tcBorders>
              <w:top w:val="single" w:sz="4" w:space="0" w:color="auto"/>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Pr>
                <w:rFonts w:ascii="Times New Roman" w:hAnsi="Times New Roman" w:cs="Times New Roman"/>
              </w:rPr>
              <w:t>Horsburgh, unpublished</w:t>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OL-241</w:t>
            </w:r>
          </w:p>
        </w:tc>
        <w:tc>
          <w:tcPr>
            <w:tcW w:w="5245" w:type="dxa"/>
            <w:tcBorders>
              <w:top w:val="nil"/>
              <w:left w:val="nil"/>
              <w:bottom w:val="nil"/>
              <w:right w:val="nil"/>
            </w:tcBorders>
            <w:tcMar>
              <w:top w:w="28" w:type="dxa"/>
              <w:left w:w="28" w:type="dxa"/>
              <w:bottom w:w="28" w:type="dxa"/>
              <w:right w:w="28" w:type="dxa"/>
            </w:tcMar>
          </w:tcPr>
          <w:p w:rsidR="002D7C9B" w:rsidRPr="00CB3045" w:rsidRDefault="002D7C9B" w:rsidP="002D7C9B">
            <w:pPr>
              <w:spacing w:before="60" w:after="60"/>
              <w:rPr>
                <w:rFonts w:ascii="Times New Roman" w:hAnsi="Times New Roman" w:cs="Times New Roman"/>
              </w:rPr>
            </w:pPr>
            <w:r w:rsidRPr="00CB3045">
              <w:rPr>
                <w:rFonts w:ascii="Times New Roman" w:hAnsi="Times New Roman" w:cs="Times New Roman"/>
              </w:rPr>
              <w:t>ACA</w:t>
            </w:r>
            <w:r w:rsidRPr="00CB3045">
              <w:rPr>
                <w:rFonts w:ascii="Times New Roman" w:hAnsi="Times New Roman" w:cs="Times New Roman"/>
                <w:i/>
              </w:rPr>
              <w:t>GGTACC</w:t>
            </w:r>
            <w:r w:rsidRPr="00CB3045">
              <w:rPr>
                <w:rFonts w:ascii="Times New Roman" w:hAnsi="Times New Roman" w:cs="Times New Roman"/>
              </w:rPr>
              <w:t>GTTTGGCGTGGTAACGTCAC</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i/>
              </w:rPr>
            </w:pPr>
            <w:r w:rsidRPr="0036447D">
              <w:rPr>
                <w:rFonts w:ascii="Times New Roman" w:hAnsi="Times New Roman" w:cs="Times New Roman"/>
                <w:i/>
              </w:rPr>
              <w:t>Kpn</w:t>
            </w:r>
            <w:r w:rsidRPr="0036447D">
              <w:rPr>
                <w:rFonts w:ascii="Times New Roman" w:hAnsi="Times New Roman" w:cs="Times New Roman"/>
              </w:rPr>
              <w:t>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Pr>
                <w:rFonts w:ascii="Times New Roman" w:hAnsi="Times New Roman" w:cs="Times New Roman"/>
              </w:rPr>
              <w:t>Horsburgh, unpublished</w:t>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OL-242</w:t>
            </w:r>
          </w:p>
        </w:tc>
        <w:tc>
          <w:tcPr>
            <w:tcW w:w="5245" w:type="dxa"/>
            <w:tcBorders>
              <w:top w:val="nil"/>
              <w:left w:val="nil"/>
              <w:bottom w:val="nil"/>
              <w:right w:val="nil"/>
            </w:tcBorders>
            <w:tcMar>
              <w:top w:w="28" w:type="dxa"/>
              <w:left w:w="28" w:type="dxa"/>
              <w:bottom w:w="28" w:type="dxa"/>
              <w:right w:w="28" w:type="dxa"/>
            </w:tcMar>
          </w:tcPr>
          <w:p w:rsidR="002D7C9B" w:rsidRPr="00CB3045" w:rsidRDefault="002D7C9B" w:rsidP="002D7C9B">
            <w:pPr>
              <w:spacing w:before="60" w:after="60"/>
              <w:rPr>
                <w:rFonts w:ascii="Times New Roman" w:hAnsi="Times New Roman" w:cs="Times New Roman"/>
              </w:rPr>
            </w:pPr>
            <w:r w:rsidRPr="00CB3045">
              <w:rPr>
                <w:rFonts w:ascii="Times New Roman" w:hAnsi="Times New Roman" w:cs="Times New Roman"/>
              </w:rPr>
              <w:t>ACA</w:t>
            </w:r>
            <w:r w:rsidRPr="00CB3045">
              <w:rPr>
                <w:rFonts w:ascii="Times New Roman" w:hAnsi="Times New Roman" w:cs="Times New Roman"/>
                <w:i/>
              </w:rPr>
              <w:t>GAATTC</w:t>
            </w:r>
            <w:r w:rsidRPr="00CB3045">
              <w:rPr>
                <w:rFonts w:ascii="Times New Roman" w:hAnsi="Times New Roman" w:cs="Times New Roman"/>
              </w:rPr>
              <w:t>GCATTTCAACGCTACTATTG</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i/>
              </w:rPr>
            </w:pPr>
            <w:r w:rsidRPr="0036447D">
              <w:rPr>
                <w:rFonts w:ascii="Times New Roman" w:hAnsi="Times New Roman" w:cs="Times New Roman"/>
                <w:i/>
              </w:rPr>
              <w:t>Eco</w:t>
            </w:r>
            <w:r w:rsidRPr="0036447D">
              <w:rPr>
                <w:rFonts w:ascii="Times New Roman" w:hAnsi="Times New Roman" w:cs="Times New Roman"/>
              </w:rPr>
              <w:t>RI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Pr>
                <w:rFonts w:ascii="Times New Roman" w:hAnsi="Times New Roman" w:cs="Times New Roman"/>
              </w:rPr>
              <w:t>Horsburgh, unpublished</w:t>
            </w:r>
            <w:r>
              <w:rPr>
                <w:rFonts w:ascii="Times New Roman" w:hAnsi="Times New Roman" w:cs="Times New Roman"/>
              </w:rPr>
              <w:fldChar w:fldCharType="begin"/>
            </w:r>
            <w:r>
              <w:rPr>
                <w:rFonts w:ascii="Times New Roman" w:hAnsi="Times New Roman" w:cs="Times New Roman"/>
              </w:rPr>
              <w:instrText xml:space="preserve"> ADDIN ZOTERO_ITEM CSL_CITATION {"citationID":"Kqw3iz9G","properties":{"formattedCitation":"(Mohamad,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end"/>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EnzF</w:t>
            </w:r>
          </w:p>
        </w:tc>
        <w:tc>
          <w:tcPr>
            <w:tcW w:w="5245" w:type="dxa"/>
            <w:tcBorders>
              <w:top w:val="nil"/>
              <w:left w:val="nil"/>
              <w:bottom w:val="nil"/>
              <w:right w:val="nil"/>
            </w:tcBorders>
            <w:tcMar>
              <w:top w:w="28" w:type="dxa"/>
              <w:left w:w="28" w:type="dxa"/>
              <w:bottom w:w="28" w:type="dxa"/>
              <w:right w:w="28" w:type="dxa"/>
            </w:tcMar>
          </w:tcPr>
          <w:p w:rsidR="002D7C9B" w:rsidRPr="00CB3045" w:rsidRDefault="002D7C9B" w:rsidP="002D7C9B">
            <w:pPr>
              <w:spacing w:before="60" w:after="60"/>
              <w:rPr>
                <w:rFonts w:ascii="Times New Roman" w:hAnsi="Times New Roman" w:cs="Times New Roman"/>
              </w:rPr>
            </w:pPr>
            <w:r w:rsidRPr="00CB3045">
              <w:rPr>
                <w:rStyle w:val="HTMLTypewriter"/>
                <w:rFonts w:ascii="Times New Roman" w:hAnsi="Times New Roman" w:cs="Times New Roman"/>
                <w:caps/>
                <w:color w:val="000000"/>
              </w:rPr>
              <w:t>gcgg</w:t>
            </w:r>
            <w:r w:rsidRPr="00CB3045">
              <w:rPr>
                <w:rStyle w:val="HTMLTypewriter"/>
                <w:rFonts w:ascii="Times New Roman" w:hAnsi="Times New Roman" w:cs="Times New Roman"/>
                <w:i/>
                <w:caps/>
                <w:color w:val="000000"/>
              </w:rPr>
              <w:t>ccatgg</w:t>
            </w:r>
            <w:r w:rsidRPr="00CB3045">
              <w:rPr>
                <w:rStyle w:val="HTMLTypewriter"/>
                <w:rFonts w:ascii="Times New Roman" w:hAnsi="Times New Roman" w:cs="Times New Roman"/>
                <w:caps/>
                <w:color w:val="000000"/>
              </w:rPr>
              <w:t>atacacctcaaaaagat</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i/>
              </w:rPr>
            </w:pPr>
            <w:r w:rsidRPr="0036447D">
              <w:rPr>
                <w:rFonts w:ascii="Times New Roman" w:hAnsi="Times New Roman" w:cs="Times New Roman"/>
                <w:i/>
              </w:rPr>
              <w:t>Nco</w:t>
            </w:r>
            <w:r w:rsidRPr="0036447D">
              <w:rPr>
                <w:rFonts w:ascii="Times New Roman" w:hAnsi="Times New Roman" w:cs="Times New Roman"/>
              </w:rPr>
              <w:t>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{"citationID":"8czD5VnT","properties":{"formattedCitation":"(Mohamad,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854805">
              <w:rPr>
                <w:rFonts w:ascii="Times New Roman" w:hAnsi="Times New Roman" w:cs="Times New Roman"/>
              </w:rPr>
              <w:t>(Mohamad, 2007)</w:t>
            </w:r>
            <w:r>
              <w:rPr>
                <w:rFonts w:ascii="Times New Roman" w:hAnsi="Times New Roman" w:cs="Times New Roman"/>
              </w:rPr>
              <w:fldChar w:fldCharType="end"/>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EnzR</w:t>
            </w:r>
          </w:p>
        </w:tc>
        <w:tc>
          <w:tcPr>
            <w:tcW w:w="5245" w:type="dxa"/>
            <w:tcBorders>
              <w:top w:val="nil"/>
              <w:left w:val="nil"/>
              <w:bottom w:val="nil"/>
              <w:right w:val="nil"/>
            </w:tcBorders>
            <w:tcMar>
              <w:top w:w="28" w:type="dxa"/>
              <w:left w:w="28" w:type="dxa"/>
              <w:bottom w:w="28" w:type="dxa"/>
              <w:right w:w="28" w:type="dxa"/>
            </w:tcMar>
          </w:tcPr>
          <w:p w:rsidR="002D7C9B" w:rsidRPr="00CB3045" w:rsidRDefault="002D7C9B" w:rsidP="002D7C9B">
            <w:pPr>
              <w:spacing w:before="60" w:after="60"/>
              <w:rPr>
                <w:rFonts w:ascii="Times New Roman" w:hAnsi="Times New Roman" w:cs="Times New Roman"/>
              </w:rPr>
            </w:pPr>
            <w:r w:rsidRPr="00CB3045">
              <w:rPr>
                <w:rStyle w:val="HTMLTypewriter"/>
                <w:rFonts w:ascii="Times New Roman" w:hAnsi="Times New Roman" w:cs="Times New Roman"/>
                <w:caps/>
                <w:color w:val="000000"/>
              </w:rPr>
              <w:t>gcgcgc</w:t>
            </w:r>
            <w:r w:rsidRPr="00CB3045">
              <w:rPr>
                <w:rStyle w:val="HTMLTypewriter"/>
                <w:rFonts w:ascii="Times New Roman" w:hAnsi="Times New Roman" w:cs="Times New Roman"/>
                <w:i/>
                <w:caps/>
                <w:color w:val="000000"/>
              </w:rPr>
              <w:t>ctcgag</w:t>
            </w:r>
            <w:r w:rsidRPr="00CB3045">
              <w:rPr>
                <w:rStyle w:val="HTMLTypewriter"/>
                <w:rFonts w:ascii="Times New Roman" w:hAnsi="Times New Roman" w:cs="Times New Roman"/>
                <w:caps/>
                <w:color w:val="000000"/>
              </w:rPr>
              <w:t>tggatatggcatact</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i/>
              </w:rPr>
            </w:pPr>
            <w:r w:rsidRPr="0036447D">
              <w:rPr>
                <w:rFonts w:ascii="Times New Roman" w:hAnsi="Times New Roman" w:cs="Times New Roman"/>
                <w:i/>
              </w:rPr>
              <w:t>Xho</w:t>
            </w:r>
            <w:r w:rsidRPr="0036447D">
              <w:rPr>
                <w:rFonts w:ascii="Times New Roman" w:hAnsi="Times New Roman" w:cs="Times New Roman"/>
              </w:rPr>
              <w:t>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{"citationID":"9VE6LrZa","properties":{"formattedCitation":"(Mohamad,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854805">
              <w:rPr>
                <w:rFonts w:ascii="Times New Roman" w:hAnsi="Times New Roman" w:cs="Times New Roman"/>
              </w:rPr>
              <w:t>(Mohamad, 2007)</w:t>
            </w:r>
            <w:r>
              <w:rPr>
                <w:rFonts w:ascii="Times New Roman" w:hAnsi="Times New Roman" w:cs="Times New Roman"/>
              </w:rPr>
              <w:fldChar w:fldCharType="end"/>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1825_F</w:t>
            </w:r>
          </w:p>
        </w:tc>
        <w:tc>
          <w:tcPr>
            <w:tcW w:w="5245" w:type="dxa"/>
            <w:tcBorders>
              <w:top w:val="nil"/>
              <w:left w:val="nil"/>
              <w:bottom w:val="nil"/>
              <w:right w:val="nil"/>
            </w:tcBorders>
            <w:tcMar>
              <w:top w:w="28" w:type="dxa"/>
              <w:left w:w="28" w:type="dxa"/>
              <w:bottom w:w="28" w:type="dxa"/>
              <w:right w:w="28" w:type="dxa"/>
            </w:tcMar>
          </w:tcPr>
          <w:p w:rsidR="002D7C9B" w:rsidRPr="00CB3045" w:rsidRDefault="002D7C9B" w:rsidP="002D7C9B">
            <w:pPr>
              <w:spacing w:before="60" w:after="60"/>
              <w:rPr>
                <w:rFonts w:ascii="Times New Roman" w:hAnsi="Times New Roman" w:cs="Times New Roman"/>
              </w:rPr>
            </w:pPr>
            <w:r w:rsidRPr="00CB3045">
              <w:rPr>
                <w:rFonts w:ascii="Times New Roman" w:eastAsia="Calibri" w:hAnsi="Times New Roman" w:cs="Times New Roman"/>
                <w:bCs/>
              </w:rPr>
              <w:t>GCGC</w:t>
            </w:r>
            <w:r w:rsidRPr="00CB3045">
              <w:rPr>
                <w:rFonts w:ascii="Times New Roman" w:eastAsia="Calibri" w:hAnsi="Times New Roman" w:cs="Times New Roman"/>
                <w:bCs/>
                <w:i/>
              </w:rPr>
              <w:t>CCATGG</w:t>
            </w:r>
            <w:r w:rsidRPr="00CB3045">
              <w:rPr>
                <w:rFonts w:ascii="Times New Roman" w:eastAsia="Calibri" w:hAnsi="Times New Roman" w:cs="Times New Roman"/>
                <w:bCs/>
              </w:rPr>
              <w:t>TATCCGATCAGATATTTTTCAAACATGTT</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i/>
              </w:rPr>
            </w:pPr>
            <w:r w:rsidRPr="0036447D">
              <w:rPr>
                <w:rFonts w:ascii="Times New Roman" w:hAnsi="Times New Roman" w:cs="Times New Roman"/>
                <w:i/>
              </w:rPr>
              <w:t>Nco</w:t>
            </w:r>
            <w:r w:rsidRPr="0036447D">
              <w:rPr>
                <w:rFonts w:ascii="Times New Roman" w:hAnsi="Times New Roman" w:cs="Times New Roman"/>
              </w:rPr>
              <w:t>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sidRPr="0036447D">
              <w:rPr>
                <w:rFonts w:ascii="Times New Roman" w:hAnsi="Times New Roman" w:cs="Times New Roman"/>
              </w:rPr>
              <w:t>This study</w:t>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I825_R</w:t>
            </w:r>
          </w:p>
        </w:tc>
        <w:tc>
          <w:tcPr>
            <w:tcW w:w="5245" w:type="dxa"/>
            <w:tcBorders>
              <w:top w:val="nil"/>
              <w:left w:val="nil"/>
              <w:bottom w:val="nil"/>
              <w:right w:val="nil"/>
            </w:tcBorders>
            <w:tcMar>
              <w:top w:w="28" w:type="dxa"/>
              <w:left w:w="28" w:type="dxa"/>
              <w:bottom w:w="28" w:type="dxa"/>
              <w:right w:w="28" w:type="dxa"/>
            </w:tcMar>
          </w:tcPr>
          <w:p w:rsidR="002D7C9B" w:rsidRPr="00CB3045" w:rsidRDefault="002D7C9B" w:rsidP="002D7C9B">
            <w:pPr>
              <w:spacing w:before="60" w:after="60"/>
              <w:rPr>
                <w:rFonts w:ascii="Times New Roman" w:hAnsi="Times New Roman" w:cs="Times New Roman"/>
              </w:rPr>
            </w:pPr>
            <w:r w:rsidRPr="00CB3045">
              <w:rPr>
                <w:rFonts w:ascii="Times New Roman" w:eastAsia="Calibri" w:hAnsi="Times New Roman" w:cs="Times New Roman"/>
                <w:bCs/>
              </w:rPr>
              <w:t>GCGC</w:t>
            </w:r>
            <w:r w:rsidRPr="00CB3045">
              <w:rPr>
                <w:rFonts w:ascii="Times New Roman" w:eastAsia="Calibri" w:hAnsi="Times New Roman" w:cs="Times New Roman"/>
                <w:bCs/>
                <w:i/>
              </w:rPr>
              <w:t>CTCGAG</w:t>
            </w:r>
            <w:r w:rsidRPr="00CB3045">
              <w:rPr>
                <w:rFonts w:ascii="Times New Roman" w:eastAsia="Calibri" w:hAnsi="Times New Roman" w:cs="Times New Roman"/>
                <w:bCs/>
              </w:rPr>
              <w:t>CTTATTCAAATGTTTACTGTCATC</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i/>
              </w:rPr>
            </w:pPr>
            <w:r w:rsidRPr="0036447D">
              <w:rPr>
                <w:rFonts w:ascii="Times New Roman" w:hAnsi="Times New Roman" w:cs="Times New Roman"/>
                <w:i/>
              </w:rPr>
              <w:t>Xho</w:t>
            </w:r>
            <w:r w:rsidRPr="0036447D">
              <w:rPr>
                <w:rFonts w:ascii="Times New Roman" w:hAnsi="Times New Roman" w:cs="Times New Roman"/>
              </w:rPr>
              <w:t>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sidRPr="0036447D">
              <w:rPr>
                <w:rFonts w:ascii="Times New Roman" w:hAnsi="Times New Roman" w:cs="Times New Roman"/>
              </w:rPr>
              <w:t>This study</w:t>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Amid_F</w:t>
            </w:r>
          </w:p>
        </w:tc>
        <w:tc>
          <w:tcPr>
            <w:tcW w:w="5245" w:type="dxa"/>
            <w:tcBorders>
              <w:top w:val="nil"/>
              <w:left w:val="nil"/>
              <w:bottom w:val="nil"/>
              <w:right w:val="nil"/>
            </w:tcBorders>
            <w:tcMar>
              <w:top w:w="28" w:type="dxa"/>
              <w:left w:w="28" w:type="dxa"/>
              <w:bottom w:w="28" w:type="dxa"/>
              <w:right w:w="28" w:type="dxa"/>
            </w:tcMar>
          </w:tcPr>
          <w:p w:rsidR="002D7C9B" w:rsidRPr="00CB3045" w:rsidRDefault="002D7C9B" w:rsidP="002D7C9B">
            <w:pPr>
              <w:spacing w:before="60" w:after="60"/>
              <w:rPr>
                <w:rFonts w:ascii="Times New Roman" w:hAnsi="Times New Roman" w:cs="Times New Roman"/>
              </w:rPr>
            </w:pPr>
            <w:r w:rsidRPr="00CB3045">
              <w:rPr>
                <w:rFonts w:ascii="Times New Roman" w:hAnsi="Times New Roman" w:cs="Times New Roman"/>
              </w:rPr>
              <w:t>GCACAA</w:t>
            </w:r>
            <w:r w:rsidRPr="00CB3045">
              <w:rPr>
                <w:rFonts w:ascii="Times New Roman" w:hAnsi="Times New Roman" w:cs="Times New Roman"/>
                <w:i/>
              </w:rPr>
              <w:t>CATATG</w:t>
            </w:r>
            <w:r w:rsidRPr="00CB3045">
              <w:rPr>
                <w:rFonts w:ascii="Times New Roman" w:hAnsi="Times New Roman" w:cs="Times New Roman"/>
              </w:rPr>
              <w:t>TCAGTTGCTGCAACACCAAAAACGAG</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i/>
              </w:rPr>
            </w:pPr>
            <w:r w:rsidRPr="0036447D">
              <w:rPr>
                <w:rFonts w:ascii="Times New Roman" w:hAnsi="Times New Roman" w:cs="Times New Roman"/>
                <w:i/>
              </w:rPr>
              <w:t>Nde</w:t>
            </w:r>
            <w:r w:rsidRPr="0036447D">
              <w:rPr>
                <w:rFonts w:ascii="Times New Roman" w:hAnsi="Times New Roman" w:cs="Times New Roman"/>
              </w:rPr>
              <w:t>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{"citationID":"m5ok53o6e","properties":{"formattedCitation":"(Clarke et al., 2006)","plainCitation":"(Clarke et al., 2006)"},"citationItems":[{"id":75,"uris":["http://zotero.org/users/944474/items/T2I9UKF5"],"uri":["http://zotero.org/users/944474/items/T2I9UKF5"],"itemData":{"id":75,"type":"article-journal","title":"Identification of in vivo-expressed antigens of Staphylococcus aureus and their use in vaccinations for protection against nasal carriage","container-title":"The Journal of Infectious Diseases","page":"1098-1108","volume":"193","issue":"8","abstract":"A spectrum of in vivo-expressed Staphylococcus aureus antigens was identified by probing bacteriophage expression libraries of S. aureus with serum samples from infected and uninfected individuals. Eleven recombinant antigenic proteins were produced, and specific antibody titers in a large collection of human serum samples were determined. Significantly increased concentrations of reactive immunoglobulin G (IgG) to 7 antigens were found in serum samples from ill individuals, compared with those in healthy individuals. Significantly higher concentrations of reactive IgG to 4 antigens, including iron-responsive surface determinant (Isd) A and IsdH, were found in serum samples from healthy individuals who were not nasal carriers of S. aureus, compared with those in healthy carriers. Vaccination of cotton rats with IsdA or IsdH protected against nasal carriage. Also, IsdA is involved in adherence of S. aureus to human desquamated nasal epithelial cells and is required for nasal colonization in the cotton rat model. Thus, vaccination with these antigens may prevent S. aureus carriage and reduce the prevalence of human disease.","DOI":"10.1086/501471","note":"PMID: 16544250","journalAbbreviation":"J. Infect. Dis.","author":[{"family":"Clarke","given":"Simon R"},{"family":"Brummell","given":"Kirsten J"},{"family":"Horsburgh","given":"Malcolm J"},{"family":"McDowell","given":"Philip W"},{"family":"Mohamad","given":"Sharifah A Syed"},{"family":"Stapleton","given":"Melanie R"},{"family":"Acevedo","given":"Jorge"},{"family":"Read","given":"Robert C"},{"family":"Day","given":"Nicholas P J"},{"family":"Peacock","given":"Sharon J"},{"family":"Mond","given":"James J"},{"family":"Kokai-Kun","given":"John F"},{"family":"Foster","given":"Simon J"}],"issued":{"year":2006,"month":4,"day":15},"accessed":{"year":2012,"month":3,"day":7},"page-first":"1098"}}],"schema":"https://github.com/citation-style-language/schema/raw/master/csl-citation.json"} </w:instrText>
            </w:r>
            <w:r>
              <w:rPr>
                <w:rFonts w:ascii="Times New Roman" w:hAnsi="Times New Roman" w:cs="Times New Roman"/>
              </w:rPr>
              <w:fldChar w:fldCharType="separate"/>
            </w:r>
            <w:r w:rsidRPr="00854805">
              <w:rPr>
                <w:rFonts w:ascii="Times New Roman" w:hAnsi="Times New Roman" w:cs="Times New Roman"/>
              </w:rPr>
              <w:t xml:space="preserve">(Clarke </w:t>
            </w:r>
            <w:r w:rsidRPr="009C5F2F">
              <w:rPr>
                <w:rFonts w:ascii="Times New Roman" w:hAnsi="Times New Roman" w:cs="Times New Roman"/>
                <w:i/>
              </w:rPr>
              <w:t>et al</w:t>
            </w:r>
            <w:r w:rsidRPr="00854805">
              <w:rPr>
                <w:rFonts w:ascii="Times New Roman" w:hAnsi="Times New Roman" w:cs="Times New Roman"/>
              </w:rPr>
              <w:t>., 2006)</w:t>
            </w:r>
            <w:r>
              <w:rPr>
                <w:rFonts w:ascii="Times New Roman" w:hAnsi="Times New Roman" w:cs="Times New Roman"/>
              </w:rPr>
              <w:fldChar w:fldCharType="end"/>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Amid_R</w:t>
            </w:r>
          </w:p>
        </w:tc>
        <w:tc>
          <w:tcPr>
            <w:tcW w:w="5245" w:type="dxa"/>
            <w:tcBorders>
              <w:top w:val="nil"/>
              <w:left w:val="nil"/>
              <w:bottom w:val="nil"/>
              <w:right w:val="nil"/>
            </w:tcBorders>
            <w:tcMar>
              <w:top w:w="28" w:type="dxa"/>
              <w:left w:w="28" w:type="dxa"/>
              <w:bottom w:w="28" w:type="dxa"/>
              <w:right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AAGC</w:t>
            </w:r>
            <w:r w:rsidRPr="0036447D">
              <w:rPr>
                <w:rFonts w:ascii="Times New Roman" w:hAnsi="Times New Roman" w:cs="Times New Roman"/>
                <w:i/>
              </w:rPr>
              <w:t>CTCGAG</w:t>
            </w:r>
            <w:r w:rsidRPr="0036447D">
              <w:rPr>
                <w:rFonts w:ascii="Times New Roman" w:hAnsi="Times New Roman" w:cs="Times New Roman"/>
              </w:rPr>
              <w:t>AGCTGTTTTTGGTTGTGCTAC</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i/>
              </w:rPr>
            </w:pPr>
            <w:r w:rsidRPr="0036447D">
              <w:rPr>
                <w:rFonts w:ascii="Times New Roman" w:hAnsi="Times New Roman" w:cs="Times New Roman"/>
                <w:i/>
              </w:rPr>
              <w:t>Xho</w:t>
            </w:r>
            <w:r w:rsidRPr="0036447D">
              <w:rPr>
                <w:rFonts w:ascii="Times New Roman" w:hAnsi="Times New Roman" w:cs="Times New Roman"/>
              </w:rPr>
              <w:t>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{"citationID":"o1TuAagN","properties":{"formattedCitation":"(Clarke et al., 2006)","plainCitation":"(Clarke et al., 2006)"},"citationItems":[{"id":75,"uris":["http://zotero.org/users/944474/items/T2I9UKF5"],"uri":["http://zotero.org/users/944474/items/T2I9UKF5"],"itemData":{"id":75,"type":"article-journal","title":"Identification of in vivo-expressed antigens of Staphylococcus aureus and their use in vaccinations for protection against nasal carriage","container-title":"The Journal of Infectious Diseases","page":"1098-1108","volume":"193","issue":"8","abstract":"A spectrum of in vivo-expressed Staphylococcus aureus antigens was identified by probing bacteriophage expression libraries of S. aureus with serum samples from infected and uninfected individuals. Eleven recombinant antigenic proteins were produced, and specific antibody titers in a large collection of human serum samples were determined. Significantly increased concentrations of reactive immunoglobulin G (IgG) to 7 antigens were found in serum samples from ill individuals, compared with those in healthy individuals. Significantly higher concentrations of reactive IgG to 4 antigens, including iron-responsive surface determinant (Isd) A and IsdH, were found in serum samples from healthy individuals who were not nasal carriers of S. aureus, compared with those in healthy carriers. Vaccination of cotton rats with IsdA or IsdH protected against nasal carriage. Also, IsdA is involved in adherence of S. aureus to human desquamated nasal epithelial cells and is required for nasal colonization in the cotton rat model. Thus, vaccination with these antigens may prevent S. aureus carriage and reduce the prevalence of human disease.","DOI":"10.1086/501471","note":"PMID: 16544250","journalAbbreviation":"J. Infect. Dis.","author":[{"family":"Clarke","given":"Simon R"},{"family":"Brummell","given":"Kirsten J"},{"family":"Horsburgh","given":"Malcolm J"},{"family":"McDowell","given":"Philip W"},{"family":"Mohamad","given":"Sharifah A Syed"},{"family":"Stapleton","given":"Melanie R"},{"family":"Acevedo","given":"Jorge"},{"family":"Read","given":"Robert C"},{"family":"Day","given":"Nicholas P J"},{"family":"Peacock","given":"Sharon J"},{"family":"Mond","given":"James J"},{"family":"Kokai-Kun","given":"John F"},{"family":"Foster","given":"Simon J"}],"issued":{"year":2006,"month":4,"day":15},"accessed":{"year":2012,"month":3,"day":7},"page-first":"1098"}}],"schema":"https://github.com/citation-style-language/schema/raw/master/csl-citation.json"} </w:instrText>
            </w:r>
            <w:r>
              <w:rPr>
                <w:rFonts w:ascii="Times New Roman" w:hAnsi="Times New Roman" w:cs="Times New Roman"/>
              </w:rPr>
              <w:fldChar w:fldCharType="separate"/>
            </w:r>
            <w:r w:rsidRPr="00854805">
              <w:rPr>
                <w:rFonts w:ascii="Times New Roman" w:hAnsi="Times New Roman" w:cs="Times New Roman"/>
              </w:rPr>
              <w:t xml:space="preserve">(Clarke </w:t>
            </w:r>
            <w:r w:rsidRPr="009C5F2F">
              <w:rPr>
                <w:rFonts w:ascii="Times New Roman" w:hAnsi="Times New Roman" w:cs="Times New Roman"/>
                <w:i/>
              </w:rPr>
              <w:t>et al</w:t>
            </w:r>
            <w:r w:rsidRPr="00854805">
              <w:rPr>
                <w:rFonts w:ascii="Times New Roman" w:hAnsi="Times New Roman" w:cs="Times New Roman"/>
              </w:rPr>
              <w:t>., 2006)</w:t>
            </w:r>
            <w:r>
              <w:rPr>
                <w:rFonts w:ascii="Times New Roman" w:hAnsi="Times New Roman" w:cs="Times New Roman"/>
              </w:rPr>
              <w:fldChar w:fldCharType="end"/>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Gluc_F</w:t>
            </w:r>
          </w:p>
        </w:tc>
        <w:tc>
          <w:tcPr>
            <w:tcW w:w="5245" w:type="dxa"/>
            <w:tcBorders>
              <w:top w:val="nil"/>
              <w:left w:val="nil"/>
              <w:bottom w:val="nil"/>
              <w:right w:val="nil"/>
            </w:tcBorders>
            <w:tcMar>
              <w:top w:w="28" w:type="dxa"/>
              <w:left w:w="28" w:type="dxa"/>
              <w:bottom w:w="28" w:type="dxa"/>
              <w:right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CAGCT</w:t>
            </w:r>
            <w:r w:rsidRPr="0036447D">
              <w:rPr>
                <w:rFonts w:ascii="Times New Roman" w:hAnsi="Times New Roman" w:cs="Times New Roman"/>
                <w:i/>
              </w:rPr>
              <w:t>CCATGG</w:t>
            </w:r>
            <w:r w:rsidRPr="0036447D">
              <w:rPr>
                <w:rFonts w:ascii="Times New Roman" w:hAnsi="Times New Roman" w:cs="Times New Roman"/>
              </w:rPr>
              <w:t>CTTATACTGTTACTAAACCAC</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i/>
              </w:rPr>
            </w:pPr>
            <w:r w:rsidRPr="0036447D">
              <w:rPr>
                <w:rFonts w:ascii="Times New Roman" w:hAnsi="Times New Roman" w:cs="Times New Roman"/>
                <w:i/>
              </w:rPr>
              <w:t>Nco</w:t>
            </w:r>
            <w:r w:rsidRPr="0036447D">
              <w:rPr>
                <w:rFonts w:ascii="Times New Roman" w:hAnsi="Times New Roman" w:cs="Times New Roman"/>
              </w:rPr>
              <w:t>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{"citationID":"ZwON2JzA","properties":{"formattedCitation":"(Clarke et al., 2006)","plainCitation":"(Clarke et al., 2006)"},"citationItems":[{"id":75,"uris":["http://zotero.org/users/944474/items/T2I9UKF5"],"uri":["http://zotero.org/users/944474/items/T2I9UKF5"],"itemData":{"id":75,"type":"article-journal","title":"Identification of in vivo-expressed antigens of Staphylococcus aureus and their use in vaccinations for protection against nasal carriage","container-title":"The Journal of Infectious Diseases","page":"1098-1108","volume":"193","issue":"8","abstract":"A spectrum of in vivo-expressed Staphylococcus aureus antigens was identified by probing bacteriophage expression libraries of S. aureus with serum samples from infected and uninfected individuals. Eleven recombinant antigenic proteins were produced, and specific antibody titers in a large collection of human serum samples were determined. Significantly increased concentrations of reactive immunoglobulin G (IgG) to 7 antigens were found in serum samples from ill individuals, compared with those in healthy individuals. Significantly higher concentrations of reactive IgG to 4 antigens, including iron-responsive surface determinant (Isd) A and IsdH, were found in serum samples from healthy individuals who were not nasal carriers of S. aureus, compared with those in healthy carriers. Vaccination of cotton rats with IsdA or IsdH protected against nasal carriage. Also, IsdA is involved in adherence of S. aureus to human desquamated nasal epithelial cells and is required for nasal colonization in the cotton rat model. Thus, vaccination with these antigens may prevent S. aureus carriage and reduce the prevalence of human disease.","DOI":"10.1086/501471","note":"PMID: 16544250","journalAbbreviation":"J. Infect. Dis.","author":[{"family":"Clarke","given":"Simon R"},{"family":"Brummell","given":"Kirsten J"},{"family":"Horsburgh","given":"Malcolm J"},{"family":"McDowell","given":"Philip W"},{"family":"Mohamad","given":"Sharifah A Syed"},{"family":"Stapleton","given":"Melanie R"},{"family":"Acevedo","given":"Jorge"},{"family":"Read","given":"Robert C"},{"family":"Day","given":"Nicholas P J"},{"family":"Peacock","given":"Sharon J"},{"family":"Mond","given":"James J"},{"family":"Kokai-Kun","given":"John F"},{"family":"Foster","given":"Simon J"}],"issued":{"year":2006,"month":4,"day":15},"accessed":{"year":2012,"month":3,"day":7},"page-first":"1098"}}],"schema":"https://github.com/citation-style-language/schema/raw/master/csl-citation.json"} </w:instrText>
            </w:r>
            <w:r>
              <w:rPr>
                <w:rFonts w:ascii="Times New Roman" w:hAnsi="Times New Roman" w:cs="Times New Roman"/>
              </w:rPr>
              <w:fldChar w:fldCharType="separate"/>
            </w:r>
            <w:r w:rsidRPr="00854805">
              <w:rPr>
                <w:rFonts w:ascii="Times New Roman" w:hAnsi="Times New Roman" w:cs="Times New Roman"/>
              </w:rPr>
              <w:t xml:space="preserve">(Clarke </w:t>
            </w:r>
            <w:r w:rsidRPr="009C5F2F">
              <w:rPr>
                <w:rFonts w:ascii="Times New Roman" w:hAnsi="Times New Roman" w:cs="Times New Roman"/>
                <w:i/>
              </w:rPr>
              <w:t>et al</w:t>
            </w:r>
            <w:r w:rsidRPr="00854805">
              <w:rPr>
                <w:rFonts w:ascii="Times New Roman" w:hAnsi="Times New Roman" w:cs="Times New Roman"/>
              </w:rPr>
              <w:t>., 2006)</w:t>
            </w:r>
            <w:r>
              <w:rPr>
                <w:rFonts w:ascii="Times New Roman" w:hAnsi="Times New Roman" w:cs="Times New Roman"/>
              </w:rPr>
              <w:fldChar w:fldCharType="end"/>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Gluc_R</w:t>
            </w:r>
          </w:p>
        </w:tc>
        <w:tc>
          <w:tcPr>
            <w:tcW w:w="5245" w:type="dxa"/>
            <w:tcBorders>
              <w:top w:val="nil"/>
              <w:left w:val="nil"/>
              <w:bottom w:val="nil"/>
              <w:right w:val="nil"/>
            </w:tcBorders>
            <w:tcMar>
              <w:top w:w="28" w:type="dxa"/>
              <w:left w:w="28" w:type="dxa"/>
              <w:bottom w:w="28" w:type="dxa"/>
              <w:right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GCGC</w:t>
            </w:r>
            <w:r w:rsidRPr="0036447D">
              <w:rPr>
                <w:rFonts w:ascii="Times New Roman" w:hAnsi="Times New Roman" w:cs="Times New Roman"/>
                <w:i/>
              </w:rPr>
              <w:t>CTCGAG</w:t>
            </w:r>
            <w:r w:rsidRPr="0036447D">
              <w:rPr>
                <w:rFonts w:ascii="Times New Roman" w:hAnsi="Times New Roman" w:cs="Times New Roman"/>
              </w:rPr>
              <w:t>TTTATATTGTGGGATGTCGAAG</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i/>
              </w:rPr>
            </w:pPr>
            <w:r w:rsidRPr="0036447D">
              <w:rPr>
                <w:rFonts w:ascii="Times New Roman" w:hAnsi="Times New Roman" w:cs="Times New Roman"/>
                <w:i/>
              </w:rPr>
              <w:t>Xho</w:t>
            </w:r>
            <w:r w:rsidRPr="0036447D">
              <w:rPr>
                <w:rFonts w:ascii="Times New Roman" w:hAnsi="Times New Roman" w:cs="Times New Roman"/>
              </w:rPr>
              <w:t>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{"citationID":"AxXTnbvt","properties":{"formattedCitation":"(Clarke et al., 2006)","plainCitation":"(Clarke et al., 2006)"},"citationItems":[{"id":75,"uris":["http://zotero.org/users/944474/items/T2I9UKF5"],"uri":["http://zotero.org/users/944474/items/T2I9UKF5"],"itemData":{"id":75,"type":"article-journal","title":"Identification of in vivo-expressed antigens of Staphylococcus aureus and their use in vaccinations for protection against nasal carriage","container-title":"The Journal of Infectious Diseases","page":"1098-1108","volume":"193","issue":"8","abstract":"A spectrum of in vivo-expressed Staphylococcus aureus antigens was identified by probing bacteriophage expression libraries of S. aureus with serum samples from infected and uninfected individuals. Eleven recombinant antigenic proteins were produced, and specific antibody titers in a large collection of human serum samples were determined. Significantly increased concentrations of reactive immunoglobulin G (IgG) to 7 antigens were found in serum samples from ill individuals, compared with those in healthy individuals. Significantly higher concentrations of reactive IgG to 4 antigens, including iron-responsive surface determinant (Isd) A and IsdH, were found in serum samples from healthy individuals who were not nasal carriers of S. aureus, compared with those in healthy carriers. Vaccination of cotton rats with IsdA or IsdH protected against nasal carriage. Also, IsdA is involved in adherence of S. aureus to human desquamated nasal epithelial cells and is required for nasal colonization in the cotton rat model. Thus, vaccination with these antigens may prevent S. aureus carriage and reduce the prevalence of human disease.","DOI":"10.1086/501471","note":"PMID: 16544250","journalAbbreviation":"J. Infect. Dis.","author":[{"family":"Clarke","given":"Simon R"},{"family":"Brummell","given":"Kirsten J"},{"family":"Horsburgh","given":"Malcolm J"},{"family":"McDowell","given":"Philip W"},{"family":"Mohamad","given":"Sharifah A Syed"},{"family":"Stapleton","given":"Melanie R"},{"family":"Acevedo","given":"Jorge"},{"family":"Read","given":"Robert C"},{"family":"Day","given":"Nicholas P J"},{"family":"Peacock","given":"Sharon J"},{"family":"Mond","given":"James J"},{"family":"Kokai-Kun","given":"John F"},{"family":"Foster","given":"Simon J"}],"issued":{"year":2006,"month":4,"day":15},"accessed":{"year":2012,"month":3,"day":7},"page-first":"1098"}}],"schema":"https://github.com/citation-style-language/schema/raw/master/csl-citation.json"} </w:instrText>
            </w:r>
            <w:r>
              <w:rPr>
                <w:rFonts w:ascii="Times New Roman" w:hAnsi="Times New Roman" w:cs="Times New Roman"/>
              </w:rPr>
              <w:fldChar w:fldCharType="separate"/>
            </w:r>
            <w:r w:rsidRPr="00854805">
              <w:rPr>
                <w:rFonts w:ascii="Times New Roman" w:hAnsi="Times New Roman" w:cs="Times New Roman"/>
              </w:rPr>
              <w:t xml:space="preserve">(Clarke </w:t>
            </w:r>
            <w:r w:rsidRPr="009C5F2F">
              <w:rPr>
                <w:rFonts w:ascii="Times New Roman" w:hAnsi="Times New Roman" w:cs="Times New Roman"/>
                <w:i/>
              </w:rPr>
              <w:t>et al</w:t>
            </w:r>
            <w:r w:rsidRPr="00854805">
              <w:rPr>
                <w:rFonts w:ascii="Times New Roman" w:hAnsi="Times New Roman" w:cs="Times New Roman"/>
              </w:rPr>
              <w:t>., 2006)</w:t>
            </w:r>
            <w:r>
              <w:rPr>
                <w:rFonts w:ascii="Times New Roman" w:hAnsi="Times New Roman" w:cs="Times New Roman"/>
              </w:rPr>
              <w:fldChar w:fldCharType="end"/>
            </w:r>
          </w:p>
        </w:tc>
      </w:tr>
      <w:tr w:rsidR="002D7C9B" w:rsidTr="002D7C9B">
        <w:tc>
          <w:tcPr>
            <w:tcW w:w="1242" w:type="dxa"/>
            <w:tcBorders>
              <w:top w:val="nil"/>
              <w:left w:val="nil"/>
              <w:bottom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OL-250</w:t>
            </w:r>
          </w:p>
        </w:tc>
        <w:tc>
          <w:tcPr>
            <w:tcW w:w="5245" w:type="dxa"/>
            <w:tcBorders>
              <w:top w:val="nil"/>
              <w:left w:val="nil"/>
              <w:bottom w:val="nil"/>
              <w:right w:val="nil"/>
            </w:tcBorders>
            <w:tcMar>
              <w:top w:w="28" w:type="dxa"/>
              <w:left w:w="28" w:type="dxa"/>
              <w:bottom w:w="28" w:type="dxa"/>
              <w:right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CTAAGT</w:t>
            </w:r>
            <w:r w:rsidRPr="0036447D">
              <w:rPr>
                <w:rFonts w:ascii="Times New Roman" w:hAnsi="Times New Roman" w:cs="Times New Roman"/>
                <w:i/>
              </w:rPr>
              <w:t>CCATGG</w:t>
            </w:r>
            <w:r w:rsidRPr="0036447D">
              <w:rPr>
                <w:rFonts w:ascii="Times New Roman" w:hAnsi="Times New Roman" w:cs="Times New Roman"/>
              </w:rPr>
              <w:t>GTGAAGCGGACTTAAATAAAG</w:t>
            </w:r>
          </w:p>
        </w:tc>
        <w:tc>
          <w:tcPr>
            <w:tcW w:w="1134" w:type="dxa"/>
            <w:tcBorders>
              <w:top w:val="nil"/>
              <w:left w:val="nil"/>
              <w:bottom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i/>
              </w:rPr>
            </w:pPr>
            <w:r w:rsidRPr="0036447D">
              <w:rPr>
                <w:rFonts w:ascii="Times New Roman" w:hAnsi="Times New Roman" w:cs="Times New Roman"/>
                <w:i/>
              </w:rPr>
              <w:t>Nco</w:t>
            </w:r>
            <w:r w:rsidRPr="0036447D">
              <w:rPr>
                <w:rFonts w:ascii="Times New Roman" w:hAnsi="Times New Roman" w:cs="Times New Roman"/>
              </w:rPr>
              <w:t>I</w:t>
            </w:r>
          </w:p>
        </w:tc>
        <w:tc>
          <w:tcPr>
            <w:tcW w:w="1621" w:type="dxa"/>
            <w:tcBorders>
              <w:top w:val="nil"/>
              <w:left w:val="nil"/>
              <w:bottom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{"citationID":"BzutkV7T","properties":{"formattedCitation":"(Mohamad,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854805">
              <w:rPr>
                <w:rFonts w:ascii="Times New Roman" w:hAnsi="Times New Roman" w:cs="Times New Roman"/>
              </w:rPr>
              <w:t>(Mohamad, 2007)</w:t>
            </w:r>
            <w:r>
              <w:rPr>
                <w:rFonts w:ascii="Times New Roman" w:hAnsi="Times New Roman" w:cs="Times New Roman"/>
              </w:rPr>
              <w:fldChar w:fldCharType="end"/>
            </w:r>
          </w:p>
        </w:tc>
      </w:tr>
      <w:tr w:rsidR="002D7C9B" w:rsidTr="002D7C9B">
        <w:tc>
          <w:tcPr>
            <w:tcW w:w="1242" w:type="dxa"/>
            <w:tcBorders>
              <w:top w:val="nil"/>
              <w:left w:val="nil"/>
              <w:right w:val="nil"/>
            </w:tcBorders>
            <w:tcMar>
              <w:top w:w="28" w:type="dxa"/>
              <w:bottom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OL-251</w:t>
            </w:r>
          </w:p>
        </w:tc>
        <w:tc>
          <w:tcPr>
            <w:tcW w:w="5245" w:type="dxa"/>
            <w:tcBorders>
              <w:top w:val="nil"/>
              <w:left w:val="nil"/>
              <w:right w:val="nil"/>
            </w:tcBorders>
            <w:tcMar>
              <w:top w:w="28" w:type="dxa"/>
              <w:left w:w="28" w:type="dxa"/>
              <w:bottom w:w="28" w:type="dxa"/>
              <w:right w:w="28" w:type="dxa"/>
            </w:tcMar>
          </w:tcPr>
          <w:p w:rsidR="002D7C9B" w:rsidRPr="0036447D" w:rsidRDefault="002D7C9B" w:rsidP="002D7C9B">
            <w:pPr>
              <w:spacing w:before="60" w:after="60"/>
              <w:rPr>
                <w:rFonts w:ascii="Times New Roman" w:hAnsi="Times New Roman" w:cs="Times New Roman"/>
              </w:rPr>
            </w:pPr>
            <w:r w:rsidRPr="0036447D">
              <w:rPr>
                <w:rFonts w:ascii="Times New Roman" w:hAnsi="Times New Roman" w:cs="Times New Roman"/>
              </w:rPr>
              <w:t>GAAGCA</w:t>
            </w:r>
            <w:r w:rsidRPr="0036447D">
              <w:rPr>
                <w:rFonts w:ascii="Times New Roman" w:hAnsi="Times New Roman" w:cs="Times New Roman"/>
                <w:i/>
              </w:rPr>
              <w:t>CTCGAG</w:t>
            </w:r>
            <w:r w:rsidRPr="0036447D">
              <w:rPr>
                <w:rFonts w:ascii="Times New Roman" w:hAnsi="Times New Roman" w:cs="Times New Roman"/>
              </w:rPr>
              <w:t>TGCAGTAACCCAATGTCCAGC</w:t>
            </w:r>
          </w:p>
        </w:tc>
        <w:tc>
          <w:tcPr>
            <w:tcW w:w="1134" w:type="dxa"/>
            <w:tcBorders>
              <w:top w:val="nil"/>
              <w:left w:val="nil"/>
              <w:right w:val="nil"/>
            </w:tcBorders>
            <w:tcMar>
              <w:top w:w="28" w:type="dxa"/>
              <w:bottom w:w="28" w:type="dxa"/>
            </w:tcMar>
          </w:tcPr>
          <w:p w:rsidR="002D7C9B" w:rsidRPr="0036447D" w:rsidRDefault="002D7C9B" w:rsidP="002D7C9B">
            <w:pPr>
              <w:spacing w:before="60" w:after="60"/>
              <w:jc w:val="center"/>
              <w:rPr>
                <w:rFonts w:ascii="Times New Roman" w:hAnsi="Times New Roman" w:cs="Times New Roman"/>
              </w:rPr>
            </w:pPr>
            <w:r w:rsidRPr="0036447D">
              <w:rPr>
                <w:rFonts w:ascii="Times New Roman" w:hAnsi="Times New Roman" w:cs="Times New Roman"/>
                <w:i/>
              </w:rPr>
              <w:t>Xho</w:t>
            </w:r>
            <w:r w:rsidRPr="0036447D">
              <w:rPr>
                <w:rFonts w:ascii="Times New Roman" w:hAnsi="Times New Roman" w:cs="Times New Roman"/>
              </w:rPr>
              <w:t>I</w:t>
            </w:r>
          </w:p>
        </w:tc>
        <w:tc>
          <w:tcPr>
            <w:tcW w:w="1621" w:type="dxa"/>
            <w:tcBorders>
              <w:top w:val="nil"/>
              <w:left w:val="nil"/>
              <w:right w:val="nil"/>
            </w:tcBorders>
            <w:tcMar>
              <w:top w:w="28" w:type="dxa"/>
              <w:left w:w="0" w:type="dxa"/>
              <w:bottom w:w="28" w:type="dxa"/>
              <w:right w:w="0" w:type="dxa"/>
            </w:tcMar>
          </w:tcPr>
          <w:p w:rsidR="002D7C9B" w:rsidRPr="0036447D" w:rsidRDefault="002D7C9B" w:rsidP="002D7C9B">
            <w:pPr>
              <w:spacing w:before="60" w:after="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{"citationID":"uQVr7EmD","properties":{"formattedCitation":"(Mohamad,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rPr>
              <w:fldChar w:fldCharType="separate"/>
            </w:r>
            <w:r w:rsidRPr="00854805">
              <w:rPr>
                <w:rFonts w:ascii="Times New Roman" w:hAnsi="Times New Roman" w:cs="Times New Roman"/>
              </w:rPr>
              <w:t>(Mohamad, 2007)</w:t>
            </w:r>
            <w:r>
              <w:rPr>
                <w:rFonts w:ascii="Times New Roman" w:hAnsi="Times New Roman" w:cs="Times New Roman"/>
              </w:rPr>
              <w:fldChar w:fldCharType="end"/>
            </w:r>
          </w:p>
        </w:tc>
      </w:tr>
    </w:tbl>
    <w:p w:rsidR="002D7C9B" w:rsidRPr="008F688C" w:rsidRDefault="002D7C9B" w:rsidP="002D7C9B">
      <w:pPr>
        <w:jc w:val="both"/>
        <w:rPr>
          <w:rFonts w:ascii="Times New Roman" w:hAnsi="Times New Roman" w:cs="Times New Roman"/>
          <w:b/>
          <w:sz w:val="24"/>
          <w:szCs w:val="24"/>
        </w:rPr>
      </w:pPr>
      <w:r w:rsidRPr="008F688C">
        <w:rPr>
          <w:rFonts w:ascii="Times New Roman" w:hAnsi="Times New Roman" w:cs="Times New Roman"/>
          <w:sz w:val="24"/>
          <w:szCs w:val="24"/>
        </w:rPr>
        <w:t>Restriction sites included for cloning purposes are indicated in italics.</w:t>
      </w:r>
    </w:p>
    <w:p w:rsidR="002D7C9B" w:rsidRDefault="002D7C9B" w:rsidP="002D7C9B">
      <w:pPr>
        <w:rPr>
          <w:rFonts w:ascii="Times New Roman" w:hAnsi="Times New Roman" w:cs="Times New Roman"/>
          <w:sz w:val="24"/>
          <w:szCs w:val="24"/>
        </w:rPr>
      </w:pPr>
      <w:r>
        <w:rPr>
          <w:rFonts w:ascii="Times New Roman" w:hAnsi="Times New Roman" w:cs="Times New Roman"/>
          <w:sz w:val="24"/>
          <w:szCs w:val="24"/>
        </w:rPr>
        <w:br w:type="page"/>
      </w:r>
    </w:p>
    <w:p w:rsidR="002D7C9B" w:rsidRPr="00051850" w:rsidRDefault="002D7C9B" w:rsidP="002D7C9B">
      <w:pPr>
        <w:spacing w:after="120" w:line="480" w:lineRule="auto"/>
        <w:jc w:val="both"/>
        <w:rPr>
          <w:rFonts w:ascii="Times New Roman" w:hAnsi="Times New Roman" w:cs="Times New Roman"/>
          <w:sz w:val="28"/>
          <w:szCs w:val="28"/>
        </w:rPr>
      </w:pPr>
      <w:r w:rsidRPr="00051850">
        <w:rPr>
          <w:rFonts w:ascii="Times New Roman" w:hAnsi="Times New Roman" w:cs="Times New Roman"/>
          <w:sz w:val="28"/>
          <w:szCs w:val="28"/>
        </w:rPr>
        <w:lastRenderedPageBreak/>
        <w:t>2.9.1.</w:t>
      </w:r>
      <w:r>
        <w:rPr>
          <w:rFonts w:ascii="Times New Roman" w:hAnsi="Times New Roman" w:cs="Times New Roman"/>
          <w:sz w:val="28"/>
          <w:szCs w:val="28"/>
        </w:rPr>
        <w:t>7</w:t>
      </w:r>
      <w:r>
        <w:rPr>
          <w:rFonts w:ascii="Times New Roman" w:hAnsi="Times New Roman" w:cs="Times New Roman"/>
          <w:sz w:val="28"/>
          <w:szCs w:val="28"/>
        </w:rPr>
        <w:tab/>
        <w:t>DNA sequencing</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Plasmids were sequenced at the Core Genomics Facility, University of Sheffield. Sequence data was analysed using FinchTV software (Geospiza).</w:t>
      </w:r>
    </w:p>
    <w:p w:rsidR="002D7C9B" w:rsidRDefault="002D7C9B" w:rsidP="002D7C9B">
      <w:pPr>
        <w:spacing w:after="120" w:line="480" w:lineRule="auto"/>
        <w:jc w:val="both"/>
        <w:rPr>
          <w:rFonts w:ascii="Times New Roman" w:hAnsi="Times New Roman" w:cs="Times New Roman"/>
          <w:sz w:val="24"/>
          <w:szCs w:val="24"/>
        </w:rPr>
      </w:pPr>
    </w:p>
    <w:p w:rsidR="002D7C9B" w:rsidRDefault="002D7C9B" w:rsidP="002D7C9B">
      <w:pPr>
        <w:spacing w:after="120" w:line="480" w:lineRule="auto"/>
        <w:jc w:val="both"/>
        <w:rPr>
          <w:rFonts w:ascii="Times New Roman" w:hAnsi="Times New Roman" w:cs="Times New Roman"/>
          <w:sz w:val="28"/>
          <w:szCs w:val="28"/>
        </w:rPr>
      </w:pPr>
      <w:r>
        <w:rPr>
          <w:rFonts w:ascii="Times New Roman" w:hAnsi="Times New Roman" w:cs="Times New Roman"/>
          <w:sz w:val="28"/>
          <w:szCs w:val="28"/>
        </w:rPr>
        <w:t>2.10</w:t>
      </w:r>
      <w:r>
        <w:rPr>
          <w:rFonts w:ascii="Times New Roman" w:hAnsi="Times New Roman" w:cs="Times New Roman"/>
          <w:sz w:val="28"/>
          <w:szCs w:val="28"/>
        </w:rPr>
        <w:tab/>
      </w:r>
      <w:r>
        <w:rPr>
          <w:rFonts w:ascii="Times New Roman" w:hAnsi="Times New Roman" w:cs="Times New Roman"/>
          <w:sz w:val="28"/>
          <w:szCs w:val="28"/>
        </w:rPr>
        <w:tab/>
        <w:t>Transformation techniques</w:t>
      </w:r>
    </w:p>
    <w:p w:rsidR="002D7C9B" w:rsidRDefault="002D7C9B" w:rsidP="002D7C9B">
      <w:pPr>
        <w:spacing w:after="120" w:line="480" w:lineRule="auto"/>
        <w:jc w:val="both"/>
        <w:rPr>
          <w:rFonts w:ascii="Times New Roman" w:hAnsi="Times New Roman" w:cs="Times New Roman"/>
          <w:i/>
          <w:sz w:val="28"/>
          <w:szCs w:val="28"/>
        </w:rPr>
      </w:pPr>
      <w:r>
        <w:rPr>
          <w:rFonts w:ascii="Times New Roman" w:hAnsi="Times New Roman" w:cs="Times New Roman"/>
          <w:sz w:val="28"/>
          <w:szCs w:val="28"/>
        </w:rPr>
        <w:t>2.10.1</w:t>
      </w:r>
      <w:r>
        <w:rPr>
          <w:rFonts w:ascii="Times New Roman" w:hAnsi="Times New Roman" w:cs="Times New Roman"/>
          <w:sz w:val="28"/>
          <w:szCs w:val="28"/>
        </w:rPr>
        <w:tab/>
      </w:r>
      <w:r>
        <w:rPr>
          <w:rFonts w:ascii="Times New Roman" w:hAnsi="Times New Roman" w:cs="Times New Roman"/>
          <w:sz w:val="28"/>
          <w:szCs w:val="28"/>
        </w:rPr>
        <w:tab/>
        <w:t xml:space="preserve">Transformation of </w:t>
      </w:r>
      <w:r>
        <w:rPr>
          <w:rFonts w:ascii="Times New Roman" w:hAnsi="Times New Roman" w:cs="Times New Roman"/>
          <w:i/>
          <w:sz w:val="28"/>
          <w:szCs w:val="28"/>
        </w:rPr>
        <w:t>E. coli</w:t>
      </w:r>
    </w:p>
    <w:p w:rsidR="002D7C9B" w:rsidRPr="00630A6F" w:rsidRDefault="002D7C9B" w:rsidP="002D7C9B">
      <w:pPr>
        <w:spacing w:after="120" w:line="480" w:lineRule="auto"/>
        <w:jc w:val="both"/>
        <w:rPr>
          <w:rFonts w:ascii="Times New Roman" w:hAnsi="Times New Roman" w:cs="Times New Roman"/>
          <w:i/>
          <w:sz w:val="28"/>
          <w:szCs w:val="28"/>
        </w:rPr>
      </w:pPr>
      <w:r w:rsidRPr="00630A6F">
        <w:rPr>
          <w:rFonts w:ascii="Times New Roman" w:hAnsi="Times New Roman" w:cs="Times New Roman"/>
          <w:sz w:val="28"/>
          <w:szCs w:val="28"/>
        </w:rPr>
        <w:t>2.10.1.1</w:t>
      </w:r>
      <w:r>
        <w:rPr>
          <w:rFonts w:ascii="Times New Roman" w:hAnsi="Times New Roman" w:cs="Times New Roman"/>
          <w:sz w:val="28"/>
          <w:szCs w:val="28"/>
        </w:rPr>
        <w:tab/>
        <w:t xml:space="preserve">Preparation of electrocompetent </w:t>
      </w:r>
      <w:r>
        <w:rPr>
          <w:rFonts w:ascii="Times New Roman" w:hAnsi="Times New Roman" w:cs="Times New Roman"/>
          <w:i/>
          <w:sz w:val="28"/>
          <w:szCs w:val="28"/>
        </w:rPr>
        <w:t>E. coli</w:t>
      </w:r>
    </w:p>
    <w:p w:rsidR="002D7C9B" w:rsidRDefault="002D7C9B" w:rsidP="002D7C9B">
      <w:pPr>
        <w:spacing w:after="120" w:line="480" w:lineRule="auto"/>
        <w:jc w:val="both"/>
        <w:rPr>
          <w:rFonts w:ascii="Times New Roman" w:hAnsi="Times New Roman" w:cs="Times New Roman"/>
          <w:sz w:val="24"/>
          <w:szCs w:val="24"/>
        </w:rPr>
      </w:pPr>
      <w:r w:rsidRPr="00630A6F">
        <w:rPr>
          <w:rFonts w:ascii="Times New Roman" w:hAnsi="Times New Roman" w:cs="Times New Roman"/>
          <w:i/>
          <w:sz w:val="24"/>
          <w:szCs w:val="24"/>
        </w:rPr>
        <w:t>E</w:t>
      </w:r>
      <w:r>
        <w:rPr>
          <w:rFonts w:ascii="Times New Roman" w:hAnsi="Times New Roman" w:cs="Times New Roman"/>
          <w:i/>
          <w:sz w:val="24"/>
          <w:szCs w:val="24"/>
        </w:rPr>
        <w:t xml:space="preserve">. </w:t>
      </w:r>
      <w:r w:rsidRPr="00630A6F">
        <w:rPr>
          <w:rFonts w:ascii="Times New Roman" w:hAnsi="Times New Roman" w:cs="Times New Roman"/>
          <w:i/>
          <w:sz w:val="24"/>
          <w:szCs w:val="24"/>
        </w:rPr>
        <w:t>coli</w:t>
      </w:r>
      <w:r>
        <w:rPr>
          <w:rFonts w:ascii="Times New Roman" w:hAnsi="Times New Roman" w:cs="Times New Roman"/>
          <w:sz w:val="24"/>
          <w:szCs w:val="24"/>
        </w:rPr>
        <w:t xml:space="preserve"> TOP10 and Tuner</w:t>
      </w:r>
      <w:r>
        <w:rPr>
          <w:rFonts w:ascii="Times New Roman" w:hAnsi="Times New Roman" w:cs="Times New Roman"/>
          <w:sz w:val="24"/>
          <w:szCs w:val="24"/>
          <w:vertAlign w:val="superscript"/>
        </w:rPr>
        <w:t>TM</w:t>
      </w:r>
      <w:r w:rsidRPr="00F26A1C">
        <w:rPr>
          <w:rFonts w:ascii="Times New Roman" w:hAnsi="Times New Roman" w:cs="Times New Roman"/>
          <w:sz w:val="24"/>
          <w:szCs w:val="24"/>
        </w:rPr>
        <w:t xml:space="preserve"> </w:t>
      </w:r>
      <w:r>
        <w:rPr>
          <w:rFonts w:ascii="Times New Roman" w:hAnsi="Times New Roman" w:cs="Times New Roman"/>
          <w:sz w:val="24"/>
          <w:szCs w:val="24"/>
        </w:rPr>
        <w:t xml:space="preserve">(DE3) strains were used for transformation in this study. </w:t>
      </w:r>
      <w:r>
        <w:rPr>
          <w:rFonts w:ascii="Times New Roman" w:hAnsi="Times New Roman" w:cs="Times New Roman"/>
          <w:i/>
          <w:sz w:val="24"/>
          <w:szCs w:val="24"/>
        </w:rPr>
        <w:t xml:space="preserve">E. coli </w:t>
      </w:r>
      <w:r>
        <w:rPr>
          <w:rFonts w:ascii="Times New Roman" w:hAnsi="Times New Roman" w:cs="Times New Roman"/>
          <w:sz w:val="24"/>
          <w:szCs w:val="24"/>
        </w:rPr>
        <w:t>were streaked to single colonies on LB agar and incubated overnight at 37 °C. A single fresh colony was inoculated into 25 ml LB and incubated overnight at 37 °C with aeration at 250 rpm. Four millilitres of overnight culture was used to inoculate 400 ml pre-warmed LB, and grown at 37 °C, aeration at 250 rpm to OD</w:t>
      </w:r>
      <w:r>
        <w:rPr>
          <w:rFonts w:ascii="Times New Roman" w:hAnsi="Times New Roman" w:cs="Times New Roman"/>
          <w:sz w:val="24"/>
          <w:szCs w:val="24"/>
          <w:vertAlign w:val="subscript"/>
        </w:rPr>
        <w:t>600</w:t>
      </w:r>
      <w:r>
        <w:rPr>
          <w:rFonts w:ascii="Times New Roman" w:hAnsi="Times New Roman" w:cs="Times New Roman"/>
          <w:sz w:val="24"/>
          <w:szCs w:val="24"/>
        </w:rPr>
        <w:t xml:space="preserve"> of approximately 0.5. The culture was rapidly chilled in an ice-slurry for 20 min, then cells harvested by centrifugation from 4 ×100 ml culture at 5000 rpm, for 10 min at 4 °C. Cells were washed three times in 25 ml ice-cold sterile dH</w:t>
      </w:r>
      <w:r w:rsidRPr="00BC2A4B">
        <w:rPr>
          <w:rFonts w:ascii="Times New Roman" w:hAnsi="Times New Roman" w:cs="Times New Roman"/>
          <w:sz w:val="24"/>
          <w:szCs w:val="24"/>
          <w:vertAlign w:val="subscript"/>
        </w:rPr>
        <w:t>2</w:t>
      </w:r>
      <w:r>
        <w:rPr>
          <w:rFonts w:ascii="Times New Roman" w:hAnsi="Times New Roman" w:cs="Times New Roman"/>
          <w:sz w:val="24"/>
          <w:szCs w:val="24"/>
        </w:rPr>
        <w:t>O by centrifugation and resuspension as above. Pellets were resuspended in 500 µl ice-cold sterile dH</w:t>
      </w:r>
      <w:r w:rsidRPr="00BC2A4B">
        <w:rPr>
          <w:rFonts w:ascii="Times New Roman" w:hAnsi="Times New Roman" w:cs="Times New Roman"/>
          <w:sz w:val="24"/>
          <w:szCs w:val="24"/>
          <w:vertAlign w:val="subscript"/>
        </w:rPr>
        <w:t>2</w:t>
      </w:r>
      <w:r>
        <w:rPr>
          <w:rFonts w:ascii="Times New Roman" w:hAnsi="Times New Roman" w:cs="Times New Roman"/>
          <w:sz w:val="24"/>
          <w:szCs w:val="24"/>
        </w:rPr>
        <w:t>O, and ice-cold 50% (v/v) glycerol added to a final concentration of 10% (v/v) glycerol. Electrocompetent cells were divided into 50 µl aliquots and snap-frozen in liquid nitrogen. Long term storage was at -80 °C.</w:t>
      </w:r>
    </w:p>
    <w:p w:rsidR="002D7C9B" w:rsidRDefault="002D7C9B" w:rsidP="002D7C9B">
      <w:pPr>
        <w:spacing w:after="120" w:line="480" w:lineRule="auto"/>
        <w:jc w:val="both"/>
        <w:rPr>
          <w:rFonts w:ascii="Times New Roman" w:hAnsi="Times New Roman" w:cs="Times New Roman"/>
          <w:sz w:val="24"/>
          <w:szCs w:val="24"/>
        </w:rPr>
      </w:pPr>
    </w:p>
    <w:p w:rsidR="002D7C9B" w:rsidRDefault="002D7C9B" w:rsidP="002D7C9B">
      <w:pPr>
        <w:spacing w:after="120" w:line="480" w:lineRule="auto"/>
        <w:jc w:val="both"/>
        <w:rPr>
          <w:rFonts w:ascii="Times New Roman" w:hAnsi="Times New Roman" w:cs="Times New Roman"/>
          <w:sz w:val="28"/>
          <w:szCs w:val="28"/>
        </w:rPr>
      </w:pPr>
      <w:r w:rsidRPr="00CC07ED">
        <w:rPr>
          <w:rFonts w:ascii="Times New Roman" w:hAnsi="Times New Roman" w:cs="Times New Roman"/>
          <w:sz w:val="28"/>
          <w:szCs w:val="28"/>
        </w:rPr>
        <w:t>2.10.1.2</w:t>
      </w:r>
      <w:r>
        <w:rPr>
          <w:rFonts w:ascii="Times New Roman" w:hAnsi="Times New Roman" w:cs="Times New Roman"/>
          <w:sz w:val="28"/>
          <w:szCs w:val="28"/>
        </w:rPr>
        <w:tab/>
        <w:t xml:space="preserve">Transformation of competent </w:t>
      </w:r>
      <w:r>
        <w:rPr>
          <w:rFonts w:ascii="Times New Roman" w:hAnsi="Times New Roman" w:cs="Times New Roman"/>
          <w:i/>
          <w:sz w:val="28"/>
          <w:szCs w:val="28"/>
        </w:rPr>
        <w:t>E. coli</w:t>
      </w:r>
      <w:r w:rsidRPr="00CC07ED">
        <w:rPr>
          <w:rFonts w:ascii="Times New Roman" w:hAnsi="Times New Roman" w:cs="Times New Roman"/>
          <w:sz w:val="28"/>
          <w:szCs w:val="28"/>
        </w:rPr>
        <w:t xml:space="preserve"> by</w:t>
      </w:r>
      <w:r>
        <w:rPr>
          <w:rFonts w:ascii="Times New Roman" w:hAnsi="Times New Roman" w:cs="Times New Roman"/>
          <w:sz w:val="28"/>
          <w:szCs w:val="28"/>
        </w:rPr>
        <w:t xml:space="preserve"> electroporation</w:t>
      </w:r>
    </w:p>
    <w:p w:rsidR="002D7C9B" w:rsidRDefault="002D7C9B" w:rsidP="002D7C9B">
      <w:pPr>
        <w:spacing w:after="120" w:line="480" w:lineRule="auto"/>
        <w:jc w:val="both"/>
        <w:rPr>
          <w:rFonts w:ascii="Times New Roman" w:hAnsi="Times New Roman" w:cs="Times New Roman"/>
          <w:sz w:val="24"/>
          <w:szCs w:val="24"/>
        </w:rPr>
        <w:sectPr w:rsidR="002D7C9B" w:rsidSect="002D7C9B">
          <w:footerReference w:type="default" r:id="rId31"/>
          <w:pgSz w:w="11906" w:h="16838" w:code="9"/>
          <w:pgMar w:top="1440" w:right="1134" w:bottom="1440" w:left="2268" w:header="709" w:footer="709" w:gutter="0"/>
          <w:pgNumType w:start="48"/>
          <w:cols w:space="708"/>
          <w:docGrid w:linePitch="360"/>
        </w:sectPr>
      </w:pPr>
      <w:r>
        <w:rPr>
          <w:rFonts w:ascii="Times New Roman" w:hAnsi="Times New Roman" w:cs="Times New Roman"/>
          <w:sz w:val="24"/>
          <w:szCs w:val="24"/>
        </w:rPr>
        <w:t xml:space="preserve">Electrocompetent </w:t>
      </w:r>
      <w:r>
        <w:rPr>
          <w:rFonts w:ascii="Times New Roman" w:hAnsi="Times New Roman" w:cs="Times New Roman"/>
          <w:i/>
          <w:sz w:val="24"/>
          <w:szCs w:val="24"/>
        </w:rPr>
        <w:t>E. coli</w:t>
      </w:r>
      <w:r w:rsidRPr="00CC07ED">
        <w:rPr>
          <w:rFonts w:ascii="Times New Roman" w:hAnsi="Times New Roman" w:cs="Times New Roman"/>
          <w:sz w:val="24"/>
          <w:szCs w:val="24"/>
        </w:rPr>
        <w:t xml:space="preserve"> cells</w:t>
      </w:r>
      <w:r>
        <w:rPr>
          <w:rFonts w:ascii="Times New Roman" w:hAnsi="Times New Roman" w:cs="Times New Roman"/>
          <w:sz w:val="24"/>
          <w:szCs w:val="24"/>
        </w:rPr>
        <w:t xml:space="preserve"> were thawed on ice and approximately 1 ng of purified </w:t>
      </w:r>
    </w:p>
    <w:p w:rsidR="002D7C9B" w:rsidRDefault="002D7C9B" w:rsidP="002D7C9B">
      <w:pPr>
        <w:spacing w:after="12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plasmid</w:t>
      </w:r>
      <w:proofErr w:type="gramEnd"/>
      <w:r>
        <w:rPr>
          <w:rFonts w:ascii="Times New Roman" w:hAnsi="Times New Roman" w:cs="Times New Roman"/>
          <w:sz w:val="24"/>
          <w:szCs w:val="24"/>
        </w:rPr>
        <w:t xml:space="preserve"> DNA or 5 µl ligation sample added, then transferred by pipette to pre-chilled electroporation cuvettes (1 mm; BioRad). Electroporation was carried out using a Gene Pulser apparatus at 1.75 kV, 25 µF and 200 Ω settings. </w:t>
      </w:r>
      <w:r>
        <w:rPr>
          <w:rFonts w:ascii="Times New Roman" w:hAnsi="Times New Roman" w:cs="Times New Roman"/>
          <w:i/>
          <w:sz w:val="24"/>
          <w:szCs w:val="24"/>
        </w:rPr>
        <w:t>E. coli</w:t>
      </w:r>
      <w:r>
        <w:rPr>
          <w:rFonts w:ascii="Times New Roman" w:hAnsi="Times New Roman" w:cs="Times New Roman"/>
          <w:sz w:val="24"/>
          <w:szCs w:val="24"/>
        </w:rPr>
        <w:t xml:space="preserve"> were immediately resuspended in 400 µl LB and transferred to a sterile 30 ml universal, then incubated at 37 °C with aeration at 250 rpm for 2 h. Recovered cells were then plated onto LB agar plates with appropriate antibiotic selection (50 µl and 100 µl aliquots) and incubated overnight at 37 °C. As a negative control, electroporation of competent </w:t>
      </w:r>
      <w:r w:rsidRPr="000F3B47">
        <w:rPr>
          <w:rFonts w:ascii="Times New Roman" w:hAnsi="Times New Roman" w:cs="Times New Roman"/>
          <w:i/>
          <w:sz w:val="24"/>
          <w:szCs w:val="24"/>
        </w:rPr>
        <w:t>E.</w:t>
      </w:r>
      <w:r>
        <w:rPr>
          <w:rFonts w:ascii="Times New Roman" w:hAnsi="Times New Roman" w:cs="Times New Roman"/>
          <w:i/>
          <w:sz w:val="24"/>
          <w:szCs w:val="24"/>
        </w:rPr>
        <w:t xml:space="preserve"> </w:t>
      </w:r>
      <w:r w:rsidRPr="000F3B47">
        <w:rPr>
          <w:rFonts w:ascii="Times New Roman" w:hAnsi="Times New Roman" w:cs="Times New Roman"/>
          <w:i/>
          <w:sz w:val="24"/>
          <w:szCs w:val="24"/>
        </w:rPr>
        <w:t>coli</w:t>
      </w:r>
      <w:r>
        <w:rPr>
          <w:rFonts w:ascii="Times New Roman" w:hAnsi="Times New Roman" w:cs="Times New Roman"/>
          <w:sz w:val="24"/>
          <w:szCs w:val="24"/>
        </w:rPr>
        <w:t xml:space="preserve"> in the absence of vector was carried out in parallel.</w:t>
      </w:r>
    </w:p>
    <w:p w:rsidR="002D7C9B" w:rsidRDefault="002D7C9B" w:rsidP="002D7C9B">
      <w:pPr>
        <w:spacing w:after="120" w:line="480" w:lineRule="auto"/>
        <w:jc w:val="both"/>
        <w:rPr>
          <w:rFonts w:ascii="Times New Roman" w:hAnsi="Times New Roman" w:cs="Times New Roman"/>
          <w:sz w:val="24"/>
          <w:szCs w:val="24"/>
        </w:rPr>
      </w:pPr>
    </w:p>
    <w:p w:rsidR="002D7C9B" w:rsidRDefault="002D7C9B" w:rsidP="002D7C9B">
      <w:pPr>
        <w:spacing w:after="120" w:line="480" w:lineRule="auto"/>
        <w:jc w:val="both"/>
        <w:rPr>
          <w:rFonts w:ascii="Times New Roman" w:hAnsi="Times New Roman" w:cs="Times New Roman"/>
          <w:sz w:val="28"/>
          <w:szCs w:val="28"/>
        </w:rPr>
      </w:pPr>
      <w:r>
        <w:rPr>
          <w:rFonts w:ascii="Times New Roman" w:hAnsi="Times New Roman" w:cs="Times New Roman"/>
          <w:sz w:val="28"/>
          <w:szCs w:val="28"/>
        </w:rPr>
        <w:t>2.10.2</w:t>
      </w:r>
      <w:r>
        <w:rPr>
          <w:rFonts w:ascii="Times New Roman" w:hAnsi="Times New Roman" w:cs="Times New Roman"/>
          <w:sz w:val="28"/>
          <w:szCs w:val="28"/>
        </w:rPr>
        <w:tab/>
      </w:r>
      <w:r>
        <w:rPr>
          <w:rFonts w:ascii="Times New Roman" w:hAnsi="Times New Roman" w:cs="Times New Roman"/>
          <w:sz w:val="28"/>
          <w:szCs w:val="28"/>
        </w:rPr>
        <w:tab/>
        <w:t xml:space="preserve">Transformation of </w:t>
      </w:r>
      <w:r>
        <w:rPr>
          <w:rFonts w:ascii="Times New Roman" w:hAnsi="Times New Roman" w:cs="Times New Roman"/>
          <w:i/>
          <w:sz w:val="28"/>
          <w:szCs w:val="28"/>
        </w:rPr>
        <w:t>S. aureus</w:t>
      </w:r>
    </w:p>
    <w:p w:rsidR="002D7C9B" w:rsidRPr="00306CAF" w:rsidRDefault="002D7C9B" w:rsidP="002D7C9B">
      <w:pPr>
        <w:spacing w:after="120" w:line="480" w:lineRule="auto"/>
        <w:jc w:val="both"/>
        <w:rPr>
          <w:rFonts w:ascii="Times New Roman" w:hAnsi="Times New Roman" w:cs="Times New Roman"/>
          <w:i/>
          <w:sz w:val="28"/>
          <w:szCs w:val="28"/>
        </w:rPr>
      </w:pPr>
      <w:r>
        <w:rPr>
          <w:rFonts w:ascii="Times New Roman" w:hAnsi="Times New Roman" w:cs="Times New Roman"/>
          <w:sz w:val="28"/>
          <w:szCs w:val="28"/>
        </w:rPr>
        <w:t>2.10.2.1</w:t>
      </w:r>
      <w:r>
        <w:rPr>
          <w:rFonts w:ascii="Times New Roman" w:hAnsi="Times New Roman" w:cs="Times New Roman"/>
          <w:sz w:val="28"/>
          <w:szCs w:val="28"/>
        </w:rPr>
        <w:tab/>
        <w:t xml:space="preserve">Preparation of electrocompetent </w:t>
      </w:r>
      <w:r>
        <w:rPr>
          <w:rFonts w:ascii="Times New Roman" w:hAnsi="Times New Roman" w:cs="Times New Roman"/>
          <w:i/>
          <w:sz w:val="28"/>
          <w:szCs w:val="28"/>
        </w:rPr>
        <w:t>S. aureus</w:t>
      </w:r>
      <w:r w:rsidRPr="00306CAF">
        <w:rPr>
          <w:rFonts w:ascii="Times New Roman" w:hAnsi="Times New Roman" w:cs="Times New Roman"/>
          <w:sz w:val="28"/>
          <w:szCs w:val="28"/>
        </w:rPr>
        <w:t xml:space="preserve"> RN4220</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i/>
          <w:sz w:val="24"/>
          <w:szCs w:val="24"/>
        </w:rPr>
        <w:t xml:space="preserve">S. aureus </w:t>
      </w:r>
      <w:r>
        <w:rPr>
          <w:rFonts w:ascii="Times New Roman" w:hAnsi="Times New Roman" w:cs="Times New Roman"/>
          <w:sz w:val="24"/>
          <w:szCs w:val="24"/>
        </w:rPr>
        <w:t>RN4220</w:t>
      </w:r>
      <w:r>
        <w:rPr>
          <w:rFonts w:ascii="Times New Roman" w:hAnsi="Times New Roman" w:cs="Times New Roman"/>
          <w:i/>
          <w:sz w:val="24"/>
          <w:szCs w:val="24"/>
        </w:rPr>
        <w:t xml:space="preserve"> </w:t>
      </w:r>
      <w:r>
        <w:rPr>
          <w:rFonts w:ascii="Times New Roman" w:hAnsi="Times New Roman" w:cs="Times New Roman"/>
          <w:sz w:val="24"/>
          <w:szCs w:val="24"/>
        </w:rPr>
        <w:t>was streaked to single colonies on BHI agar and incubated overnight at 37 °C. A single fresh colony was inoculated into 400 ml BHI and incubated for 10-12 h at 37 °C with aeration at 250 rpm. This culture was used to inoculate 400 ml pre-warmed BHI to OD</w:t>
      </w:r>
      <w:r w:rsidRPr="00BC2A4B">
        <w:rPr>
          <w:rFonts w:ascii="Times New Roman" w:hAnsi="Times New Roman" w:cs="Times New Roman"/>
          <w:sz w:val="24"/>
          <w:szCs w:val="24"/>
          <w:vertAlign w:val="subscript"/>
        </w:rPr>
        <w:t>600</w:t>
      </w:r>
      <w:r>
        <w:rPr>
          <w:rFonts w:ascii="Times New Roman" w:hAnsi="Times New Roman" w:cs="Times New Roman"/>
          <w:sz w:val="24"/>
          <w:szCs w:val="24"/>
        </w:rPr>
        <w:t xml:space="preserve"> of 0.1 and grown at 37 °C, aeration at 250 rpm. At OD</w:t>
      </w:r>
      <w:r>
        <w:rPr>
          <w:rFonts w:ascii="Times New Roman" w:hAnsi="Times New Roman" w:cs="Times New Roman"/>
          <w:sz w:val="24"/>
          <w:szCs w:val="24"/>
          <w:vertAlign w:val="subscript"/>
        </w:rPr>
        <w:t>600</w:t>
      </w:r>
      <w:r>
        <w:rPr>
          <w:rFonts w:ascii="Times New Roman" w:hAnsi="Times New Roman" w:cs="Times New Roman"/>
          <w:sz w:val="24"/>
          <w:szCs w:val="24"/>
        </w:rPr>
        <w:t xml:space="preserve"> of approximately 0.5 the fresh culture was harvested by centrifugation and resuspension of 4× 100 ml culture at 5,100 rpm for 10 min at room temperature. Cells were washed three times in 25 ml sterile dH</w:t>
      </w:r>
      <w:r w:rsidRPr="00BC2A4B">
        <w:rPr>
          <w:rFonts w:ascii="Times New Roman" w:hAnsi="Times New Roman" w:cs="Times New Roman"/>
          <w:sz w:val="24"/>
          <w:szCs w:val="24"/>
          <w:vertAlign w:val="subscript"/>
        </w:rPr>
        <w:t>2</w:t>
      </w:r>
      <w:r>
        <w:rPr>
          <w:rFonts w:ascii="Times New Roman" w:hAnsi="Times New Roman" w:cs="Times New Roman"/>
          <w:sz w:val="24"/>
          <w:szCs w:val="24"/>
        </w:rPr>
        <w:t xml:space="preserve">O and once in 25 ml of 10% (v/v) glycerol, at room temperature by centrifugation and resuspension as above. Pellets were resuspended in 10 ml of 10% (v/v) glycerol and incubated for 30 min at room temperature. Cells were harvested by centrifugation and resuspension, and the supernatant discarded. Pellets were resuspended in ~400 µl 10% (v/v) glycerol, divided into 50 µl aliquots and used immediately for transformation with a suicide vector, or snap-frozen in liquid nitrogen and stored long term at -80 °C for future transformation with replicative plasmids. </w:t>
      </w:r>
    </w:p>
    <w:p w:rsidR="002D7C9B" w:rsidRDefault="002D7C9B" w:rsidP="002D7C9B">
      <w:pPr>
        <w:spacing w:after="120" w:line="480" w:lineRule="auto"/>
        <w:jc w:val="both"/>
        <w:rPr>
          <w:rFonts w:ascii="Times New Roman" w:hAnsi="Times New Roman" w:cs="Times New Roman"/>
          <w:sz w:val="28"/>
          <w:szCs w:val="28"/>
        </w:rPr>
      </w:pPr>
      <w:r w:rsidRPr="00931585">
        <w:rPr>
          <w:rFonts w:ascii="Times New Roman" w:hAnsi="Times New Roman" w:cs="Times New Roman"/>
          <w:sz w:val="28"/>
          <w:szCs w:val="28"/>
        </w:rPr>
        <w:lastRenderedPageBreak/>
        <w:t>2.10.2.2</w:t>
      </w:r>
      <w:r>
        <w:rPr>
          <w:rFonts w:ascii="Times New Roman" w:hAnsi="Times New Roman" w:cs="Times New Roman"/>
          <w:sz w:val="28"/>
          <w:szCs w:val="28"/>
        </w:rPr>
        <w:tab/>
        <w:t xml:space="preserve">Transformation of competent </w:t>
      </w:r>
      <w:r>
        <w:rPr>
          <w:rFonts w:ascii="Times New Roman" w:hAnsi="Times New Roman" w:cs="Times New Roman"/>
          <w:i/>
          <w:sz w:val="28"/>
          <w:szCs w:val="28"/>
        </w:rPr>
        <w:t xml:space="preserve">S. aureus </w:t>
      </w:r>
      <w:r>
        <w:rPr>
          <w:rFonts w:ascii="Times New Roman" w:hAnsi="Times New Roman" w:cs="Times New Roman"/>
          <w:sz w:val="28"/>
          <w:szCs w:val="28"/>
        </w:rPr>
        <w:t>RN4220 by electroporation</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Approximately 1 μg of purified plasmid DNA was added to a 50 µl aliquot of competent </w:t>
      </w:r>
      <w:r>
        <w:rPr>
          <w:rFonts w:ascii="Times New Roman" w:hAnsi="Times New Roman" w:cs="Times New Roman"/>
          <w:i/>
          <w:sz w:val="24"/>
          <w:szCs w:val="24"/>
        </w:rPr>
        <w:t xml:space="preserve">S. aureus </w:t>
      </w:r>
      <w:r>
        <w:rPr>
          <w:rFonts w:ascii="Times New Roman" w:hAnsi="Times New Roman" w:cs="Times New Roman"/>
          <w:sz w:val="24"/>
          <w:szCs w:val="24"/>
        </w:rPr>
        <w:t xml:space="preserve">RN4220, </w:t>
      </w:r>
      <w:proofErr w:type="gramStart"/>
      <w:r>
        <w:rPr>
          <w:rFonts w:ascii="Times New Roman" w:hAnsi="Times New Roman" w:cs="Times New Roman"/>
          <w:sz w:val="24"/>
          <w:szCs w:val="24"/>
        </w:rPr>
        <w:t>then</w:t>
      </w:r>
      <w:proofErr w:type="gramEnd"/>
      <w:r>
        <w:rPr>
          <w:rFonts w:ascii="Times New Roman" w:hAnsi="Times New Roman" w:cs="Times New Roman"/>
          <w:sz w:val="24"/>
          <w:szCs w:val="24"/>
        </w:rPr>
        <w:t xml:space="preserve"> transferred by pipette to an electroporation cuvette (1 mm; BioRad). Electroporation was carried out using a Gene Pulser apparatus at 2.3 kV, 25 µF and 100 Ω settings. </w:t>
      </w:r>
      <w:r>
        <w:rPr>
          <w:rFonts w:ascii="Times New Roman" w:hAnsi="Times New Roman" w:cs="Times New Roman"/>
          <w:i/>
          <w:sz w:val="24"/>
          <w:szCs w:val="24"/>
        </w:rPr>
        <w:t>S. aureus</w:t>
      </w:r>
      <w:r>
        <w:rPr>
          <w:rFonts w:ascii="Times New Roman" w:hAnsi="Times New Roman" w:cs="Times New Roman"/>
          <w:sz w:val="24"/>
          <w:szCs w:val="24"/>
        </w:rPr>
        <w:t xml:space="preserve"> were immediately resuspended in 1 ml BHI, transferred to a sterile 30 ml universal and incubated at 37 °C with aeration at 250 rpm for 3 h. Recovered cells were then plated onto BHI agar plates with appropriate antibiotic selection (200 µl aliquots) and incubated for 48 h at 37 °C. As a negative control, electroporation of competent </w:t>
      </w:r>
      <w:r>
        <w:rPr>
          <w:rFonts w:ascii="Times New Roman" w:hAnsi="Times New Roman" w:cs="Times New Roman"/>
          <w:i/>
          <w:sz w:val="24"/>
          <w:szCs w:val="24"/>
        </w:rPr>
        <w:t>S. aureus</w:t>
      </w:r>
      <w:r>
        <w:rPr>
          <w:rFonts w:ascii="Times New Roman" w:hAnsi="Times New Roman" w:cs="Times New Roman"/>
          <w:sz w:val="24"/>
          <w:szCs w:val="24"/>
        </w:rPr>
        <w:t xml:space="preserve"> in the absence of vector was carried out in parallel.</w:t>
      </w:r>
    </w:p>
    <w:p w:rsidR="002D7C9B" w:rsidRDefault="002D7C9B" w:rsidP="002D7C9B">
      <w:pPr>
        <w:rPr>
          <w:rFonts w:ascii="Times New Roman" w:hAnsi="Times New Roman" w:cs="Times New Roman"/>
          <w:sz w:val="24"/>
          <w:szCs w:val="24"/>
        </w:rPr>
      </w:pPr>
    </w:p>
    <w:p w:rsidR="002D7C9B" w:rsidRDefault="002D7C9B" w:rsidP="002D7C9B">
      <w:pPr>
        <w:spacing w:after="120" w:line="480" w:lineRule="auto"/>
        <w:jc w:val="both"/>
        <w:rPr>
          <w:rFonts w:ascii="Times New Roman" w:hAnsi="Times New Roman" w:cs="Times New Roman"/>
          <w:sz w:val="28"/>
          <w:szCs w:val="28"/>
        </w:rPr>
      </w:pPr>
      <w:r>
        <w:rPr>
          <w:rFonts w:ascii="Times New Roman" w:hAnsi="Times New Roman" w:cs="Times New Roman"/>
          <w:sz w:val="28"/>
          <w:szCs w:val="28"/>
        </w:rPr>
        <w:t>2.10.3</w:t>
      </w:r>
      <w:r>
        <w:rPr>
          <w:rFonts w:ascii="Times New Roman" w:hAnsi="Times New Roman" w:cs="Times New Roman"/>
          <w:sz w:val="28"/>
          <w:szCs w:val="28"/>
        </w:rPr>
        <w:tab/>
      </w:r>
      <w:r>
        <w:rPr>
          <w:rFonts w:ascii="Times New Roman" w:hAnsi="Times New Roman" w:cs="Times New Roman"/>
          <w:sz w:val="28"/>
          <w:szCs w:val="28"/>
        </w:rPr>
        <w:tab/>
        <w:t>Phage techniques</w:t>
      </w:r>
    </w:p>
    <w:p w:rsidR="002D7C9B" w:rsidRDefault="002D7C9B" w:rsidP="002D7C9B">
      <w:pPr>
        <w:spacing w:after="120" w:line="480" w:lineRule="auto"/>
        <w:jc w:val="both"/>
        <w:rPr>
          <w:rFonts w:ascii="Times New Roman" w:hAnsi="Times New Roman" w:cs="Times New Roman"/>
          <w:sz w:val="28"/>
          <w:szCs w:val="28"/>
        </w:rPr>
      </w:pPr>
      <w:r>
        <w:rPr>
          <w:rFonts w:ascii="Times New Roman" w:hAnsi="Times New Roman" w:cs="Times New Roman"/>
          <w:sz w:val="28"/>
          <w:szCs w:val="28"/>
        </w:rPr>
        <w:t>2.10.3.1</w:t>
      </w:r>
      <w:r>
        <w:rPr>
          <w:rFonts w:ascii="Times New Roman" w:hAnsi="Times New Roman" w:cs="Times New Roman"/>
          <w:sz w:val="28"/>
          <w:szCs w:val="28"/>
        </w:rPr>
        <w:tab/>
        <w:t>Bacteriophage</w:t>
      </w:r>
    </w:p>
    <w:p w:rsidR="002D7C9B" w:rsidRPr="00F115D3" w:rsidRDefault="002D7C9B" w:rsidP="002D7C9B">
      <w:pPr>
        <w:spacing w:after="120" w:line="480" w:lineRule="auto"/>
        <w:jc w:val="both"/>
        <w:rPr>
          <w:rFonts w:ascii="Times New Roman" w:hAnsi="Times New Roman" w:cs="Times New Roman"/>
          <w:color w:val="000000" w:themeColor="text1"/>
          <w:sz w:val="24"/>
          <w:szCs w:val="24"/>
        </w:rPr>
      </w:pPr>
      <w:r w:rsidRPr="00F115D3">
        <w:rPr>
          <w:rFonts w:ascii="Times New Roman" w:hAnsi="Times New Roman" w:cs="Times New Roman"/>
          <w:color w:val="000000" w:themeColor="text1"/>
          <w:sz w:val="24"/>
          <w:szCs w:val="24"/>
        </w:rPr>
        <w:t xml:space="preserve">Phage transduction of </w:t>
      </w:r>
      <w:r w:rsidRPr="00F115D3">
        <w:rPr>
          <w:rFonts w:ascii="Times New Roman" w:hAnsi="Times New Roman" w:cs="Times New Roman"/>
          <w:i/>
          <w:color w:val="000000" w:themeColor="text1"/>
          <w:sz w:val="24"/>
          <w:szCs w:val="24"/>
        </w:rPr>
        <w:t>S. aureus</w:t>
      </w:r>
      <w:r w:rsidRPr="00F115D3">
        <w:rPr>
          <w:rFonts w:ascii="Times New Roman" w:hAnsi="Times New Roman" w:cs="Times New Roman"/>
          <w:color w:val="000000" w:themeColor="text1"/>
          <w:sz w:val="24"/>
          <w:szCs w:val="24"/>
        </w:rPr>
        <w:t xml:space="preserve"> was carried out using</w:t>
      </w:r>
      <w:r w:rsidRPr="00F115D3">
        <w:rPr>
          <w:rFonts w:ascii="Times New Roman" w:hAnsi="Times New Roman" w:cs="Times New Roman"/>
          <w:i/>
          <w:color w:val="000000" w:themeColor="text1"/>
          <w:sz w:val="24"/>
          <w:szCs w:val="24"/>
        </w:rPr>
        <w:t xml:space="preserve"> </w:t>
      </w:r>
      <w:r w:rsidRPr="00F115D3">
        <w:rPr>
          <w:rFonts w:ascii="Times New Roman" w:hAnsi="Times New Roman" w:cs="Times New Roman"/>
          <w:color w:val="000000" w:themeColor="text1"/>
          <w:sz w:val="24"/>
          <w:szCs w:val="24"/>
        </w:rPr>
        <w:t>bacteriophage Φ11</w:t>
      </w:r>
      <w:r>
        <w:rPr>
          <w:rFonts w:ascii="Times New Roman" w:hAnsi="Times New Roman" w:cs="Times New Roman"/>
          <w:color w:val="000000" w:themeColor="text1"/>
          <w:sz w:val="24"/>
          <w:szCs w:val="24"/>
        </w:rPr>
        <w:t xml:space="preserve"> </w:t>
      </w:r>
      <w:r w:rsidRPr="00F115D3">
        <w:rPr>
          <w:rFonts w:ascii="Times New Roman" w:hAnsi="Times New Roman" w:cs="Times New Roman"/>
          <w:color w:val="000000" w:themeColor="text1"/>
          <w:sz w:val="24"/>
          <w:szCs w:val="24"/>
        </w:rPr>
        <w:fldChar w:fldCharType="begin"/>
      </w:r>
      <w:r w:rsidRPr="00F115D3">
        <w:rPr>
          <w:rFonts w:ascii="Times New Roman" w:hAnsi="Times New Roman" w:cs="Times New Roman"/>
          <w:color w:val="000000" w:themeColor="text1"/>
          <w:sz w:val="24"/>
          <w:szCs w:val="24"/>
        </w:rPr>
        <w:instrText xml:space="preserve"> ADDIN ZOTERO_ITEM CSL_CITATION {"citationID":"1oiktkfcb5","properties":{"formattedCitation":"(Mani et al., 1993)","plainCitation":"(Mani et al., 1993)"},"citationItems":[{"id":690,"uris":["http://zotero.org/users/944474/items/TD7T7UPF"],"uri":["http://zotero.org/users/944474/items/TD7T7UPF"],"itemData":{"id":690,"type":"article-journal","title":"Isolation and characterization of autolysis-defective mutants of Staphylococcus aureus created by Tn917-lacZ mutagenesis","container-title":"Journal of bacteriology","page":"1493-1499","volume":"175","issue":"5","abstract":"Two autolysis-defective mutants (Lyt-1 and Lyt-2) of Staphylococcus aureus have been isolated by transposon Tn917-lacZ mutagenesis. The mutants exhibited normal growth rate, cell division, cell size, and adaptive responses to environmental changes. No autolytic activities were detected in a crude autolytic enzyme preparation from the Lyt- mutants. The rate of autolysis of whole cells and cell walls in the mutants were negligible, but mutant cell wall preparations were degraded by crude enzyme preparations from the wild-type strain. Zymographic analyses of enzyme extracts from the mutants showed a single autolytic enzyme band, compared with more than 10 autolytic enzyme bands from the parent strain. Analyses of intracellular and exoprotein fractions gave results similar to those in experiments with total-cell extracts. Southern blot analysis indicated the insertion of a single copy of the transposon into the chromosome of Lyt mutants. Isogenic Lyt mutants constructed by phage phi 11 transduction showed similar phenotypes. Because both Lyt- mutants had Tn917-lacZ inserted in the appropriate orientation, it was possible to determine gene activity under various conditions by measuring beta-galactosidase activity. The gene activity was found to be induced by low pH, low temperature, and high sucrose and high sodium chloride concentrations. From these data, we propose that the mutation lies in either a master regulatory gene or a structural gene which is responsible for the synthesis or processing of a majority of the autolytic enzyme bands.","note":"PMID: 8095258","journalAbbreviation":"J. Bacteriol.","author":[{"family":"Mani","given":"N"},{"family":"Tobin","given":"P"},{"family":"Jayaswal","given":"R K"}],"issued":{"year":1993,"month":3},"accessed":{"year":2012,"month":7,"day":10},"page-first":"1493"}}],"schema":"https://github.com/citation-style-language/schema/raw/master/csl-citation.json"} </w:instrText>
      </w:r>
      <w:r w:rsidRPr="00F115D3">
        <w:rPr>
          <w:rFonts w:ascii="Times New Roman" w:hAnsi="Times New Roman" w:cs="Times New Roman"/>
          <w:color w:val="000000" w:themeColor="text1"/>
          <w:sz w:val="24"/>
          <w:szCs w:val="24"/>
        </w:rPr>
        <w:fldChar w:fldCharType="separate"/>
      </w:r>
      <w:r w:rsidRPr="00F115D3">
        <w:rPr>
          <w:rFonts w:ascii="Times New Roman" w:hAnsi="Times New Roman" w:cs="Times New Roman"/>
          <w:color w:val="000000" w:themeColor="text1"/>
          <w:sz w:val="24"/>
        </w:rPr>
        <w:t xml:space="preserve">(Mani </w:t>
      </w:r>
      <w:r w:rsidRPr="009C5F2F">
        <w:rPr>
          <w:rFonts w:ascii="Times New Roman" w:hAnsi="Times New Roman" w:cs="Times New Roman"/>
          <w:i/>
          <w:color w:val="000000" w:themeColor="text1"/>
          <w:sz w:val="24"/>
        </w:rPr>
        <w:t>et al</w:t>
      </w:r>
      <w:r w:rsidRPr="00F115D3">
        <w:rPr>
          <w:rFonts w:ascii="Times New Roman" w:hAnsi="Times New Roman" w:cs="Times New Roman"/>
          <w:color w:val="000000" w:themeColor="text1"/>
          <w:sz w:val="24"/>
        </w:rPr>
        <w:t>., 1993)</w:t>
      </w:r>
      <w:r w:rsidRPr="00F115D3">
        <w:rPr>
          <w:rFonts w:ascii="Times New Roman" w:hAnsi="Times New Roman" w:cs="Times New Roman"/>
          <w:color w:val="000000" w:themeColor="text1"/>
          <w:sz w:val="24"/>
          <w:szCs w:val="24"/>
        </w:rPr>
        <w:fldChar w:fldCharType="end"/>
      </w:r>
      <w:r w:rsidRPr="00F115D3">
        <w:rPr>
          <w:rFonts w:ascii="Times New Roman" w:hAnsi="Times New Roman" w:cs="Times New Roman"/>
          <w:color w:val="000000" w:themeColor="text1"/>
          <w:sz w:val="24"/>
          <w:szCs w:val="24"/>
        </w:rPr>
        <w:t xml:space="preserve"> or Φ85. These are </w:t>
      </w:r>
      <w:r w:rsidRPr="00F115D3">
        <w:rPr>
          <w:rFonts w:ascii="Times New Roman" w:hAnsi="Times New Roman" w:cs="Times New Roman"/>
          <w:i/>
          <w:color w:val="000000" w:themeColor="text1"/>
          <w:sz w:val="24"/>
          <w:szCs w:val="24"/>
        </w:rPr>
        <w:t xml:space="preserve">S. aureus </w:t>
      </w:r>
      <w:r w:rsidRPr="00F115D3">
        <w:rPr>
          <w:rFonts w:ascii="Times New Roman" w:hAnsi="Times New Roman" w:cs="Times New Roman"/>
          <w:color w:val="000000" w:themeColor="text1"/>
          <w:sz w:val="24"/>
          <w:szCs w:val="24"/>
        </w:rPr>
        <w:t>specific, temperate transducing phages of serological group B, which require Ca</w:t>
      </w:r>
      <w:r w:rsidRPr="00F115D3">
        <w:rPr>
          <w:rFonts w:ascii="Times New Roman" w:hAnsi="Times New Roman" w:cs="Times New Roman"/>
          <w:color w:val="000000" w:themeColor="text1"/>
          <w:sz w:val="24"/>
          <w:szCs w:val="24"/>
          <w:vertAlign w:val="superscript"/>
        </w:rPr>
        <w:t xml:space="preserve">2+ </w:t>
      </w:r>
      <w:r w:rsidRPr="00F115D3">
        <w:rPr>
          <w:rFonts w:ascii="Times New Roman" w:hAnsi="Times New Roman" w:cs="Times New Roman"/>
          <w:color w:val="000000" w:themeColor="text1"/>
          <w:sz w:val="24"/>
          <w:szCs w:val="24"/>
        </w:rPr>
        <w:t xml:space="preserve">ions for maintenance of infection </w:t>
      </w:r>
      <w:r w:rsidRPr="00F115D3">
        <w:rPr>
          <w:rFonts w:ascii="Times New Roman" w:hAnsi="Times New Roman" w:cs="Times New Roman"/>
          <w:color w:val="000000" w:themeColor="text1"/>
          <w:sz w:val="24"/>
          <w:szCs w:val="24"/>
        </w:rPr>
        <w:fldChar w:fldCharType="begin"/>
      </w:r>
      <w:r w:rsidRPr="00F115D3">
        <w:rPr>
          <w:rFonts w:ascii="Times New Roman" w:hAnsi="Times New Roman" w:cs="Times New Roman"/>
          <w:color w:val="000000" w:themeColor="text1"/>
          <w:sz w:val="24"/>
          <w:szCs w:val="24"/>
        </w:rPr>
        <w:instrText xml:space="preserve"> ADDIN ZOTERO_ITEM CSL_CITATION {"citationID":"2laeg2f5qn","properties":{"formattedCitation":"(Novick, 1991)","plainCitation":"(Novick, 1991)"},"citationItems":[{"id":697,"uris":["http://zotero.org/users/944474/items/KCTGZN3B"],"uri":["http://zotero.org/users/944474/items/KCTGZN3B"],"itemData":{"id":697,"type":"article-journal","title":"Genetic systems in staphylococci","container-title":"Methods in enzymology","page":"587-636","volume":"204","note":"PMID: 1658572","journalAbbreviation":"Meth. Enzymol.","author":[{"family":"Novick","given":"R P"}],"issued":{"year":1991},"accessed":{"year":2012,"month":7,"day":10},"page-first":"587"}}],"schema":"https://github.com/citation-style-language/schema/raw/master/csl-citation.json"} </w:instrText>
      </w:r>
      <w:r w:rsidRPr="00F115D3">
        <w:rPr>
          <w:rFonts w:ascii="Times New Roman" w:hAnsi="Times New Roman" w:cs="Times New Roman"/>
          <w:color w:val="000000" w:themeColor="text1"/>
          <w:sz w:val="24"/>
          <w:szCs w:val="24"/>
        </w:rPr>
        <w:fldChar w:fldCharType="separate"/>
      </w:r>
      <w:r w:rsidRPr="00F115D3">
        <w:rPr>
          <w:rFonts w:ascii="Times New Roman" w:hAnsi="Times New Roman" w:cs="Times New Roman"/>
          <w:color w:val="000000" w:themeColor="text1"/>
          <w:sz w:val="24"/>
        </w:rPr>
        <w:t>(Novick, 1991)</w:t>
      </w:r>
      <w:r w:rsidRPr="00F115D3">
        <w:rPr>
          <w:rFonts w:ascii="Times New Roman" w:hAnsi="Times New Roman" w:cs="Times New Roman"/>
          <w:color w:val="000000" w:themeColor="text1"/>
          <w:sz w:val="24"/>
          <w:szCs w:val="24"/>
        </w:rPr>
        <w:fldChar w:fldCharType="end"/>
      </w:r>
      <w:r w:rsidRPr="00F115D3">
        <w:rPr>
          <w:rFonts w:ascii="Times New Roman" w:hAnsi="Times New Roman" w:cs="Times New Roman"/>
          <w:color w:val="000000" w:themeColor="text1"/>
          <w:sz w:val="24"/>
          <w:szCs w:val="24"/>
        </w:rPr>
        <w:t>.</w:t>
      </w:r>
    </w:p>
    <w:p w:rsidR="002D7C9B" w:rsidRPr="001B0196" w:rsidRDefault="002D7C9B" w:rsidP="002D7C9B">
      <w:pPr>
        <w:spacing w:after="120" w:line="480" w:lineRule="auto"/>
        <w:jc w:val="both"/>
        <w:rPr>
          <w:rFonts w:ascii="Times New Roman" w:hAnsi="Times New Roman" w:cs="Times New Roman"/>
          <w:i/>
          <w:sz w:val="24"/>
          <w:szCs w:val="24"/>
        </w:rPr>
      </w:pPr>
    </w:p>
    <w:p w:rsidR="002D7C9B" w:rsidRDefault="002D7C9B" w:rsidP="002D7C9B">
      <w:pPr>
        <w:spacing w:after="120" w:line="480" w:lineRule="auto"/>
        <w:jc w:val="both"/>
        <w:rPr>
          <w:rFonts w:ascii="Times New Roman" w:hAnsi="Times New Roman" w:cs="Times New Roman"/>
          <w:sz w:val="28"/>
          <w:szCs w:val="28"/>
        </w:rPr>
      </w:pPr>
      <w:r w:rsidRPr="00195B0E">
        <w:rPr>
          <w:rFonts w:ascii="Times New Roman" w:hAnsi="Times New Roman" w:cs="Times New Roman"/>
          <w:sz w:val="28"/>
          <w:szCs w:val="28"/>
        </w:rPr>
        <w:t>2.10.3.2</w:t>
      </w:r>
      <w:r>
        <w:rPr>
          <w:rFonts w:ascii="Times New Roman" w:hAnsi="Times New Roman" w:cs="Times New Roman"/>
          <w:sz w:val="28"/>
          <w:szCs w:val="28"/>
        </w:rPr>
        <w:tab/>
        <w:t>Preparation of phage lysates</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The required donor strain was grown overnight in 5ml BHI with appropriate antibiotic selection, at 37 °C with aeration at 250 rpm. The overnight culture was inoculated to OD</w:t>
      </w:r>
      <w:r w:rsidRPr="00195B0E">
        <w:rPr>
          <w:rFonts w:ascii="Times New Roman" w:hAnsi="Times New Roman" w:cs="Times New Roman"/>
          <w:sz w:val="24"/>
          <w:szCs w:val="24"/>
          <w:vertAlign w:val="subscript"/>
        </w:rPr>
        <w:t>600</w:t>
      </w:r>
      <w:r>
        <w:rPr>
          <w:rFonts w:ascii="Times New Roman" w:hAnsi="Times New Roman" w:cs="Times New Roman"/>
          <w:sz w:val="24"/>
          <w:szCs w:val="24"/>
        </w:rPr>
        <w:t xml:space="preserve"> of approximately 0.2 in a 30 ml universal containing 5 ml BHI, 5ml phage buffer and 100 µl of Φ11 or Φ85 phage lysate. The lysate mixture was incubated at room </w:t>
      </w:r>
      <w:r>
        <w:rPr>
          <w:rFonts w:ascii="Times New Roman" w:hAnsi="Times New Roman" w:cs="Times New Roman"/>
          <w:sz w:val="24"/>
          <w:szCs w:val="24"/>
        </w:rPr>
        <w:lastRenderedPageBreak/>
        <w:t>temperature until clear, or overnight at 25 °C. Clear lysates were enriched 2-3 times with a fresh donor strain as before. The final clear lysate was filter sterilised (0.2 µm pore size) and stored at 4 °C</w:t>
      </w:r>
    </w:p>
    <w:p w:rsidR="002D7C9B" w:rsidRDefault="002D7C9B" w:rsidP="002D7C9B">
      <w:pPr>
        <w:spacing w:after="120" w:line="480" w:lineRule="auto"/>
        <w:jc w:val="both"/>
        <w:rPr>
          <w:rFonts w:ascii="Times New Roman" w:hAnsi="Times New Roman" w:cs="Times New Roman"/>
          <w:sz w:val="24"/>
          <w:szCs w:val="24"/>
        </w:rPr>
      </w:pPr>
    </w:p>
    <w:p w:rsidR="002D7C9B" w:rsidRPr="006F5FDF" w:rsidRDefault="002D7C9B" w:rsidP="002D7C9B">
      <w:pPr>
        <w:spacing w:after="120" w:line="480" w:lineRule="auto"/>
        <w:jc w:val="both"/>
        <w:rPr>
          <w:rFonts w:ascii="Times New Roman" w:hAnsi="Times New Roman" w:cs="Times New Roman"/>
          <w:i/>
          <w:sz w:val="28"/>
          <w:szCs w:val="28"/>
        </w:rPr>
      </w:pPr>
      <w:r>
        <w:rPr>
          <w:rFonts w:ascii="Times New Roman" w:hAnsi="Times New Roman" w:cs="Times New Roman"/>
          <w:sz w:val="28"/>
          <w:szCs w:val="28"/>
        </w:rPr>
        <w:t>2.10.3.3</w:t>
      </w:r>
      <w:r>
        <w:rPr>
          <w:rFonts w:ascii="Times New Roman" w:hAnsi="Times New Roman" w:cs="Times New Roman"/>
          <w:sz w:val="28"/>
          <w:szCs w:val="28"/>
        </w:rPr>
        <w:tab/>
        <w:t>Determination of phage titre</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i/>
          <w:sz w:val="24"/>
          <w:szCs w:val="24"/>
        </w:rPr>
        <w:t xml:space="preserve">S. aureus </w:t>
      </w:r>
      <w:r>
        <w:rPr>
          <w:rFonts w:ascii="Times New Roman" w:hAnsi="Times New Roman" w:cs="Times New Roman"/>
          <w:sz w:val="24"/>
          <w:szCs w:val="24"/>
        </w:rPr>
        <w:t>SH1000 was grown in 5 ml BHI to OD</w:t>
      </w:r>
      <w:r w:rsidRPr="006F5FDF">
        <w:rPr>
          <w:rFonts w:ascii="Times New Roman" w:hAnsi="Times New Roman" w:cs="Times New Roman"/>
          <w:sz w:val="24"/>
          <w:szCs w:val="24"/>
          <w:vertAlign w:val="subscript"/>
        </w:rPr>
        <w:t>600</w:t>
      </w:r>
      <w:r>
        <w:rPr>
          <w:rFonts w:ascii="Times New Roman" w:hAnsi="Times New Roman" w:cs="Times New Roman"/>
          <w:sz w:val="24"/>
          <w:szCs w:val="24"/>
        </w:rPr>
        <w:t xml:space="preserve"> of approximately 0.5. Serial dilutions of the phage lysate of interest were prepared in phage buffer (10</w:t>
      </w:r>
      <w:r w:rsidRPr="006F5FDF">
        <w:rPr>
          <w:rFonts w:ascii="Times New Roman" w:hAnsi="Times New Roman" w:cs="Times New Roman"/>
          <w:sz w:val="24"/>
          <w:szCs w:val="24"/>
          <w:vertAlign w:val="superscript"/>
        </w:rPr>
        <w:t>-2</w:t>
      </w:r>
      <w:r>
        <w:rPr>
          <w:rFonts w:ascii="Times New Roman" w:hAnsi="Times New Roman" w:cs="Times New Roman"/>
          <w:sz w:val="24"/>
          <w:szCs w:val="24"/>
        </w:rPr>
        <w:t xml:space="preserve"> – 10</w:t>
      </w:r>
      <w:r w:rsidRPr="006F5FDF">
        <w:rPr>
          <w:rFonts w:ascii="Times New Roman" w:hAnsi="Times New Roman" w:cs="Times New Roman"/>
          <w:sz w:val="24"/>
          <w:szCs w:val="24"/>
          <w:vertAlign w:val="superscript"/>
        </w:rPr>
        <w:t>-7</w:t>
      </w:r>
      <w:r>
        <w:rPr>
          <w:rFonts w:ascii="Times New Roman" w:hAnsi="Times New Roman" w:cs="Times New Roman"/>
          <w:sz w:val="24"/>
          <w:szCs w:val="24"/>
        </w:rPr>
        <w:t xml:space="preserve"> range) and 100 µl of each dilution added to a 400 µl aliquot of SH1000 cultures with 50 µl CaCl</w:t>
      </w:r>
      <w:r w:rsidRPr="006F5FDF">
        <w:rPr>
          <w:rFonts w:ascii="Times New Roman" w:hAnsi="Times New Roman" w:cs="Times New Roman"/>
          <w:sz w:val="24"/>
          <w:szCs w:val="24"/>
          <w:vertAlign w:val="subscript"/>
        </w:rPr>
        <w:t>2</w:t>
      </w:r>
      <w:r w:rsidRPr="006F5FDF">
        <w:rPr>
          <w:rFonts w:ascii="Times New Roman" w:hAnsi="Times New Roman" w:cs="Times New Roman"/>
          <w:sz w:val="24"/>
          <w:szCs w:val="24"/>
        </w:rPr>
        <w:t>.</w:t>
      </w:r>
      <w:r>
        <w:rPr>
          <w:rFonts w:ascii="Times New Roman" w:hAnsi="Times New Roman" w:cs="Times New Roman"/>
          <w:sz w:val="24"/>
          <w:szCs w:val="24"/>
        </w:rPr>
        <w:t xml:space="preserve"> The aliquots were incubated for 10 min at room temperature, then combined with 5 ml phage top agar and overlaid onto a phage bottom agar plate. Plates were incubated at 37 °C for 48 h before quantification of plaque forming units. Successful phage lysates were typically</w:t>
      </w:r>
      <w:r w:rsidRPr="006F5FDF">
        <w:rPr>
          <w:rFonts w:ascii="Times New Roman" w:hAnsi="Times New Roman" w:cs="Times New Roman"/>
          <w:sz w:val="24"/>
          <w:szCs w:val="24"/>
        </w:rPr>
        <w:t xml:space="preserve"> in the</w:t>
      </w:r>
      <w:r>
        <w:rPr>
          <w:rFonts w:ascii="Times New Roman" w:hAnsi="Times New Roman" w:cs="Times New Roman"/>
          <w:sz w:val="24"/>
          <w:szCs w:val="24"/>
        </w:rPr>
        <w:t xml:space="preserve"> range</w:t>
      </w:r>
      <w:r w:rsidRPr="006F5FDF">
        <w:rPr>
          <w:rFonts w:ascii="Times New Roman" w:hAnsi="Times New Roman" w:cs="Times New Roman"/>
          <w:sz w:val="24"/>
          <w:szCs w:val="24"/>
        </w:rPr>
        <w:t xml:space="preserve"> 10</w:t>
      </w:r>
      <w:r w:rsidRPr="006F5FDF">
        <w:rPr>
          <w:rFonts w:ascii="Times New Roman" w:hAnsi="Times New Roman" w:cs="Times New Roman"/>
          <w:sz w:val="24"/>
          <w:szCs w:val="24"/>
          <w:vertAlign w:val="superscript"/>
        </w:rPr>
        <w:t>-7</w:t>
      </w:r>
      <w:r w:rsidRPr="006F5FDF">
        <w:rPr>
          <w:rFonts w:ascii="Times New Roman" w:hAnsi="Times New Roman" w:cs="Times New Roman"/>
          <w:sz w:val="24"/>
          <w:szCs w:val="24"/>
        </w:rPr>
        <w:t xml:space="preserve"> to 10</w:t>
      </w:r>
      <w:r w:rsidRPr="006F5FDF">
        <w:rPr>
          <w:rFonts w:ascii="Times New Roman" w:hAnsi="Times New Roman" w:cs="Times New Roman"/>
          <w:sz w:val="24"/>
          <w:szCs w:val="24"/>
          <w:vertAlign w:val="superscript"/>
        </w:rPr>
        <w:t>-10</w:t>
      </w:r>
      <w:r w:rsidRPr="006F5FDF">
        <w:rPr>
          <w:rFonts w:ascii="Times New Roman" w:hAnsi="Times New Roman" w:cs="Times New Roman"/>
          <w:sz w:val="24"/>
          <w:szCs w:val="24"/>
        </w:rPr>
        <w:t xml:space="preserve"> pfu ml</w:t>
      </w:r>
      <w:r w:rsidRPr="006F5FDF">
        <w:rPr>
          <w:rFonts w:ascii="Times New Roman" w:hAnsi="Times New Roman" w:cs="Times New Roman"/>
          <w:sz w:val="24"/>
          <w:szCs w:val="24"/>
          <w:vertAlign w:val="superscript"/>
        </w:rPr>
        <w:t>-1</w:t>
      </w:r>
      <w:r w:rsidRPr="006F5FDF">
        <w:rPr>
          <w:rFonts w:ascii="Times New Roman" w:hAnsi="Times New Roman" w:cs="Times New Roman"/>
          <w:sz w:val="24"/>
          <w:szCs w:val="24"/>
        </w:rPr>
        <w:t>.</w:t>
      </w:r>
    </w:p>
    <w:p w:rsidR="002D7C9B" w:rsidRDefault="002D7C9B" w:rsidP="002D7C9B">
      <w:pPr>
        <w:spacing w:after="120" w:line="480" w:lineRule="auto"/>
        <w:jc w:val="both"/>
        <w:rPr>
          <w:rFonts w:ascii="Times New Roman" w:hAnsi="Times New Roman" w:cs="Times New Roman"/>
          <w:sz w:val="24"/>
          <w:szCs w:val="24"/>
        </w:rPr>
      </w:pPr>
    </w:p>
    <w:p w:rsidR="002D7C9B" w:rsidRDefault="002D7C9B" w:rsidP="002D7C9B">
      <w:pPr>
        <w:spacing w:after="120" w:line="480" w:lineRule="auto"/>
        <w:jc w:val="both"/>
        <w:rPr>
          <w:rFonts w:ascii="Times New Roman" w:hAnsi="Times New Roman" w:cs="Times New Roman"/>
          <w:sz w:val="28"/>
          <w:szCs w:val="28"/>
        </w:rPr>
      </w:pPr>
      <w:r>
        <w:rPr>
          <w:rFonts w:ascii="Times New Roman" w:hAnsi="Times New Roman" w:cs="Times New Roman"/>
          <w:sz w:val="28"/>
          <w:szCs w:val="28"/>
        </w:rPr>
        <w:t>2.10.3.4</w:t>
      </w:r>
      <w:r>
        <w:rPr>
          <w:rFonts w:ascii="Times New Roman" w:hAnsi="Times New Roman" w:cs="Times New Roman"/>
          <w:sz w:val="28"/>
          <w:szCs w:val="28"/>
        </w:rPr>
        <w:tab/>
        <w:t>Phage transduction</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The recipient </w:t>
      </w:r>
      <w:r>
        <w:rPr>
          <w:rFonts w:ascii="Times New Roman" w:hAnsi="Times New Roman" w:cs="Times New Roman"/>
          <w:i/>
          <w:sz w:val="24"/>
          <w:szCs w:val="24"/>
        </w:rPr>
        <w:t xml:space="preserve">S. aureus </w:t>
      </w:r>
      <w:r>
        <w:rPr>
          <w:rFonts w:ascii="Times New Roman" w:hAnsi="Times New Roman" w:cs="Times New Roman"/>
          <w:sz w:val="24"/>
          <w:szCs w:val="24"/>
        </w:rPr>
        <w:t>strain was grown overnight in 50 ml LK at 37 °C with aeration at 250 rpm, and cells harvested by centrifugation at 5000 rpm for 10 min at room temperature. The pellet was resuspended in 1.5 ml LK, and 500 µl used to inoculate lysate solutions comprising 1ml LK, 10 mM CaCl</w:t>
      </w:r>
      <w:r w:rsidRPr="009E531D">
        <w:rPr>
          <w:rFonts w:ascii="Times New Roman" w:hAnsi="Times New Roman" w:cs="Times New Roman"/>
          <w:sz w:val="24"/>
          <w:szCs w:val="24"/>
          <w:vertAlign w:val="subscript"/>
        </w:rPr>
        <w:t>2</w:t>
      </w:r>
      <w:r>
        <w:rPr>
          <w:rFonts w:ascii="Times New Roman" w:hAnsi="Times New Roman" w:cs="Times New Roman"/>
          <w:sz w:val="24"/>
          <w:szCs w:val="24"/>
        </w:rPr>
        <w:t xml:space="preserve"> and either 500 µl, 100 µl or 0 µl (negative control) of the appropriate phage lysate. The cultures were incubated in a water bath at 37 °C for 25 minutes without aeration, then for a further 15 min in the water bath with shaking at 200 rpm. One millilitre of ice-cold 0.02 M sodium citrate was added and the culture incubated on ice for 5 min. Cells were harvested by centrifugation at 4 °C for 10 min at 5000 rpm, and the pellet resuspended in 1 ml of ice-cold 0.02 M sodium citrate and incubated on ice for 45 min. The cultures were spread </w:t>
      </w:r>
      <w:r>
        <w:rPr>
          <w:rFonts w:ascii="Times New Roman" w:hAnsi="Times New Roman" w:cs="Times New Roman"/>
          <w:sz w:val="24"/>
          <w:szCs w:val="24"/>
        </w:rPr>
        <w:lastRenderedPageBreak/>
        <w:t>(200 µl aliquots) onto LK bottom agar plates containing 0.05% (w/v) sodium citrate and incubated at 37 °C for 2 h. The plates were then overlaid with 5 ml LK top agar containing the appropriate selective antibiotics at 3× concentration. Plates were incubated at 37 °C. Colonies typically appeared after 48 h incubation and were patched onto TSA plates with appropriate antibiotic selection.</w:t>
      </w:r>
    </w:p>
    <w:p w:rsidR="002D7C9B" w:rsidRDefault="002D7C9B" w:rsidP="002D7C9B">
      <w:pPr>
        <w:spacing w:after="120" w:line="480" w:lineRule="auto"/>
        <w:jc w:val="both"/>
        <w:rPr>
          <w:rFonts w:ascii="Times New Roman" w:hAnsi="Times New Roman" w:cs="Times New Roman"/>
          <w:sz w:val="24"/>
          <w:szCs w:val="24"/>
        </w:rPr>
      </w:pPr>
    </w:p>
    <w:p w:rsidR="002D7C9B" w:rsidRDefault="002D7C9B" w:rsidP="002D7C9B">
      <w:pPr>
        <w:spacing w:after="120" w:line="480" w:lineRule="auto"/>
        <w:jc w:val="both"/>
        <w:rPr>
          <w:rFonts w:ascii="Times New Roman" w:hAnsi="Times New Roman" w:cs="Times New Roman"/>
          <w:sz w:val="28"/>
          <w:szCs w:val="28"/>
        </w:rPr>
      </w:pPr>
      <w:r>
        <w:rPr>
          <w:rFonts w:ascii="Times New Roman" w:hAnsi="Times New Roman" w:cs="Times New Roman"/>
          <w:sz w:val="28"/>
          <w:szCs w:val="28"/>
        </w:rPr>
        <w:t>2.11</w:t>
      </w:r>
      <w:r>
        <w:rPr>
          <w:rFonts w:ascii="Times New Roman" w:hAnsi="Times New Roman" w:cs="Times New Roman"/>
          <w:sz w:val="28"/>
          <w:szCs w:val="28"/>
        </w:rPr>
        <w:tab/>
      </w:r>
      <w:r>
        <w:rPr>
          <w:rFonts w:ascii="Times New Roman" w:hAnsi="Times New Roman" w:cs="Times New Roman"/>
          <w:sz w:val="28"/>
          <w:szCs w:val="28"/>
        </w:rPr>
        <w:tab/>
        <w:t>Protein analysis</w:t>
      </w:r>
    </w:p>
    <w:p w:rsidR="002D7C9B" w:rsidRPr="0076399D" w:rsidRDefault="002D7C9B" w:rsidP="002D7C9B">
      <w:pPr>
        <w:spacing w:after="120" w:line="480" w:lineRule="auto"/>
        <w:jc w:val="both"/>
        <w:rPr>
          <w:rFonts w:ascii="Times New Roman" w:hAnsi="Times New Roman" w:cs="Times New Roman"/>
          <w:sz w:val="28"/>
          <w:szCs w:val="28"/>
        </w:rPr>
      </w:pPr>
      <w:r>
        <w:rPr>
          <w:rFonts w:ascii="Times New Roman" w:hAnsi="Times New Roman" w:cs="Times New Roman"/>
          <w:sz w:val="28"/>
          <w:szCs w:val="28"/>
        </w:rPr>
        <w:t>2.11.1</w:t>
      </w:r>
      <w:r>
        <w:rPr>
          <w:rFonts w:ascii="Times New Roman" w:hAnsi="Times New Roman" w:cs="Times New Roman"/>
          <w:sz w:val="28"/>
          <w:szCs w:val="28"/>
        </w:rPr>
        <w:tab/>
      </w:r>
      <w:r>
        <w:rPr>
          <w:rFonts w:ascii="Times New Roman" w:hAnsi="Times New Roman" w:cs="Times New Roman"/>
          <w:sz w:val="28"/>
          <w:szCs w:val="28"/>
        </w:rPr>
        <w:tab/>
        <w:t>SDS-PAGE and renaturing SDS-PAGE</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Protein extracts were analysed by SDS-PAGE using the method of Laemmli (1970). Peptidoglycan </w:t>
      </w:r>
      <w:r w:rsidRPr="00F115D3">
        <w:rPr>
          <w:rFonts w:ascii="Times New Roman" w:hAnsi="Times New Roman" w:cs="Times New Roman"/>
          <w:color w:val="000000" w:themeColor="text1"/>
          <w:sz w:val="24"/>
          <w:szCs w:val="24"/>
        </w:rPr>
        <w:t>hydrolase activity was assayed by renaturing gel electrophoresis as described by Foster (1992).</w:t>
      </w:r>
    </w:p>
    <w:p w:rsidR="002D7C9B" w:rsidRPr="0026567D" w:rsidRDefault="002D7C9B" w:rsidP="002D7C9B">
      <w:pPr>
        <w:spacing w:after="120" w:line="480" w:lineRule="auto"/>
        <w:jc w:val="both"/>
        <w:rPr>
          <w:rFonts w:ascii="Times New Roman" w:hAnsi="Times New Roman" w:cs="Times New Roman"/>
          <w:sz w:val="24"/>
          <w:szCs w:val="24"/>
        </w:rPr>
      </w:pPr>
    </w:p>
    <w:p w:rsidR="002D7C9B" w:rsidRPr="0076399D" w:rsidRDefault="002D7C9B" w:rsidP="002D7C9B">
      <w:pPr>
        <w:spacing w:after="120" w:line="480" w:lineRule="auto"/>
        <w:jc w:val="both"/>
        <w:rPr>
          <w:rFonts w:ascii="Times New Roman" w:hAnsi="Times New Roman" w:cs="Times New Roman"/>
          <w:b/>
          <w:sz w:val="24"/>
          <w:szCs w:val="24"/>
        </w:rPr>
      </w:pPr>
      <w:r w:rsidRPr="0076399D">
        <w:rPr>
          <w:rFonts w:ascii="Times New Roman" w:hAnsi="Times New Roman" w:cs="Times New Roman"/>
          <w:b/>
          <w:sz w:val="24"/>
          <w:szCs w:val="24"/>
        </w:rPr>
        <w:t>SDS-PAGE 10% (w/v) resolving gel</w:t>
      </w:r>
    </w:p>
    <w:p w:rsidR="002D7C9B" w:rsidRPr="0076399D" w:rsidRDefault="002D7C9B" w:rsidP="002D7C9B">
      <w:pPr>
        <w:spacing w:after="120" w:line="480" w:lineRule="auto"/>
        <w:jc w:val="both"/>
        <w:rPr>
          <w:rFonts w:ascii="Times New Roman" w:hAnsi="Times New Roman" w:cs="Times New Roman"/>
          <w:sz w:val="24"/>
          <w:szCs w:val="24"/>
        </w:rPr>
      </w:pPr>
      <w:proofErr w:type="gramStart"/>
      <w:r w:rsidRPr="0076399D">
        <w:rPr>
          <w:rFonts w:ascii="Times New Roman" w:hAnsi="Times New Roman" w:cs="Times New Roman"/>
          <w:sz w:val="24"/>
          <w:szCs w:val="24"/>
        </w:rPr>
        <w:t>dH</w:t>
      </w:r>
      <w:r w:rsidRPr="0076399D">
        <w:rPr>
          <w:rFonts w:ascii="Times New Roman" w:hAnsi="Times New Roman" w:cs="Times New Roman"/>
          <w:sz w:val="24"/>
          <w:szCs w:val="24"/>
          <w:vertAlign w:val="subscript"/>
        </w:rPr>
        <w:t>2</w:t>
      </w:r>
      <w:r w:rsidRPr="0076399D">
        <w:rPr>
          <w:rFonts w:ascii="Times New Roman" w:hAnsi="Times New Roman" w:cs="Times New Roman"/>
          <w:sz w:val="24"/>
          <w:szCs w:val="24"/>
        </w:rPr>
        <w:t>O</w:t>
      </w:r>
      <w:proofErr w:type="gramEnd"/>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t>3.5 ml</w:t>
      </w:r>
    </w:p>
    <w:p w:rsidR="002D7C9B" w:rsidRPr="0076399D" w:rsidRDefault="002D7C9B" w:rsidP="002D7C9B">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1.5 M Tris-HCl (pH 8.8)</w:t>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2.5 ml</w:t>
      </w:r>
    </w:p>
    <w:p w:rsidR="002D7C9B" w:rsidRPr="0076399D" w:rsidRDefault="002D7C9B" w:rsidP="002D7C9B">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10% (w/v) SDS</w:t>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t>100 µl</w:t>
      </w:r>
    </w:p>
    <w:p w:rsidR="002D7C9B" w:rsidRPr="00DF5FCB" w:rsidRDefault="002D7C9B" w:rsidP="002D7C9B">
      <w:pPr>
        <w:spacing w:after="120" w:line="480" w:lineRule="auto"/>
        <w:jc w:val="both"/>
        <w:rPr>
          <w:rFonts w:ascii="Times New Roman" w:hAnsi="Times New Roman" w:cs="Times New Roman"/>
          <w:sz w:val="24"/>
          <w:szCs w:val="24"/>
        </w:rPr>
      </w:pPr>
      <w:r w:rsidRPr="00DF5FCB">
        <w:rPr>
          <w:rFonts w:ascii="Times New Roman" w:hAnsi="Times New Roman" w:cs="Times New Roman"/>
          <w:sz w:val="24"/>
          <w:szCs w:val="24"/>
        </w:rPr>
        <w:t>30% (w/v) Acrylamide/Bis (37.5:1)</w:t>
      </w:r>
      <w:r w:rsidRPr="00DF5FCB">
        <w:rPr>
          <w:rFonts w:ascii="Times New Roman" w:hAnsi="Times New Roman" w:cs="Times New Roman"/>
          <w:sz w:val="24"/>
          <w:szCs w:val="24"/>
        </w:rPr>
        <w:tab/>
      </w:r>
      <w:r w:rsidRPr="00DF5FCB">
        <w:rPr>
          <w:rFonts w:ascii="Times New Roman" w:hAnsi="Times New Roman" w:cs="Times New Roman"/>
          <w:sz w:val="24"/>
          <w:szCs w:val="24"/>
        </w:rPr>
        <w:tab/>
      </w:r>
      <w:r w:rsidRPr="00DF5FCB">
        <w:rPr>
          <w:rFonts w:ascii="Times New Roman" w:hAnsi="Times New Roman" w:cs="Times New Roman"/>
          <w:sz w:val="24"/>
          <w:szCs w:val="24"/>
        </w:rPr>
        <w:tab/>
      </w:r>
      <w:r w:rsidRPr="00DF5FCB">
        <w:rPr>
          <w:rFonts w:ascii="Times New Roman" w:hAnsi="Times New Roman" w:cs="Times New Roman"/>
          <w:sz w:val="24"/>
          <w:szCs w:val="24"/>
        </w:rPr>
        <w:tab/>
      </w:r>
      <w:r w:rsidRPr="00DF5FCB">
        <w:rPr>
          <w:rFonts w:ascii="Times New Roman" w:hAnsi="Times New Roman" w:cs="Times New Roman"/>
          <w:sz w:val="24"/>
          <w:szCs w:val="24"/>
        </w:rPr>
        <w:tab/>
        <w:t>4.0 ml</w:t>
      </w:r>
    </w:p>
    <w:p w:rsidR="002D7C9B" w:rsidRPr="0076399D" w:rsidRDefault="002D7C9B" w:rsidP="002D7C9B">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10% (w/v) Ammonium persulphate</w:t>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100 µl</w:t>
      </w:r>
    </w:p>
    <w:p w:rsidR="002D7C9B" w:rsidRPr="0076399D"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TEMED (</w:t>
      </w:r>
      <w:r w:rsidRPr="0076399D">
        <w:rPr>
          <w:rFonts w:ascii="Times New Roman" w:hAnsi="Times New Roman" w:cs="Times New Roman"/>
          <w:sz w:val="24"/>
          <w:szCs w:val="24"/>
        </w:rPr>
        <w:t>N</w:t>
      </w:r>
      <w:proofErr w:type="gramStart"/>
      <w:r w:rsidRPr="0076399D">
        <w:rPr>
          <w:rFonts w:ascii="Times New Roman" w:hAnsi="Times New Roman" w:cs="Times New Roman"/>
          <w:sz w:val="24"/>
          <w:szCs w:val="24"/>
        </w:rPr>
        <w:t>,N,N’N’</w:t>
      </w:r>
      <w:proofErr w:type="gramEnd"/>
      <w:r w:rsidRPr="0076399D">
        <w:rPr>
          <w:rFonts w:ascii="Times New Roman" w:hAnsi="Times New Roman" w:cs="Times New Roman"/>
          <w:sz w:val="24"/>
          <w:szCs w:val="24"/>
        </w:rPr>
        <w:t>-tetramethyl-ethylenediamine</w:t>
      </w:r>
      <w:r>
        <w:rPr>
          <w:rFonts w:ascii="Times New Roman" w:hAnsi="Times New Roman" w:cs="Times New Roman"/>
          <w:sz w:val="24"/>
          <w:szCs w:val="24"/>
        </w:rPr>
        <w:t>)</w:t>
      </w:r>
      <w:r>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t>20 µl</w:t>
      </w:r>
    </w:p>
    <w:p w:rsidR="002D7C9B" w:rsidRDefault="002D7C9B" w:rsidP="002D7C9B">
      <w:pPr>
        <w:spacing w:after="120" w:line="480" w:lineRule="auto"/>
        <w:jc w:val="both"/>
        <w:rPr>
          <w:rFonts w:ascii="Times New Roman" w:hAnsi="Times New Roman" w:cs="Times New Roman"/>
          <w:sz w:val="24"/>
          <w:szCs w:val="24"/>
        </w:rPr>
      </w:pPr>
    </w:p>
    <w:p w:rsidR="002D7C9B" w:rsidRPr="0076399D"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For renaturing gels, the resolving gel was supplemented with purified cell walls of </w:t>
      </w:r>
      <w:r>
        <w:rPr>
          <w:rFonts w:ascii="Times New Roman" w:hAnsi="Times New Roman" w:cs="Times New Roman"/>
          <w:i/>
          <w:sz w:val="24"/>
          <w:szCs w:val="24"/>
        </w:rPr>
        <w:t xml:space="preserve">B. subtilis </w:t>
      </w:r>
      <w:r w:rsidRPr="00242659">
        <w:rPr>
          <w:rFonts w:ascii="Times New Roman" w:hAnsi="Times New Roman" w:cs="Times New Roman"/>
          <w:sz w:val="24"/>
          <w:szCs w:val="24"/>
        </w:rPr>
        <w:t xml:space="preserve">at a </w:t>
      </w:r>
      <w:r>
        <w:rPr>
          <w:rFonts w:ascii="Times New Roman" w:hAnsi="Times New Roman" w:cs="Times New Roman"/>
          <w:sz w:val="24"/>
          <w:szCs w:val="24"/>
        </w:rPr>
        <w:t xml:space="preserve">concentration of 0.05 % (w/v). </w:t>
      </w:r>
      <w:r w:rsidRPr="0076399D">
        <w:rPr>
          <w:rFonts w:ascii="Times New Roman" w:hAnsi="Times New Roman" w:cs="Times New Roman"/>
          <w:sz w:val="24"/>
          <w:szCs w:val="24"/>
        </w:rPr>
        <w:t xml:space="preserve">The components were added in the above </w:t>
      </w:r>
      <w:r w:rsidRPr="0076399D">
        <w:rPr>
          <w:rFonts w:ascii="Times New Roman" w:hAnsi="Times New Roman" w:cs="Times New Roman"/>
          <w:sz w:val="24"/>
          <w:szCs w:val="24"/>
        </w:rPr>
        <w:lastRenderedPageBreak/>
        <w:t>order, mixed gently and immediately loaded between the glass plates of a gel casting apparatus by pipette. The resolving gel was overlaid with 100% (v/v) isopropanol to isolate it from air and ensure an even surface. Once the resolving gel had set, a stacking gel was prepared as follows.</w:t>
      </w:r>
    </w:p>
    <w:p w:rsidR="002D7C9B" w:rsidRPr="0026567D" w:rsidRDefault="002D7C9B" w:rsidP="002D7C9B">
      <w:pPr>
        <w:spacing w:after="120" w:line="480" w:lineRule="auto"/>
        <w:jc w:val="both"/>
        <w:rPr>
          <w:rFonts w:ascii="Times New Roman" w:hAnsi="Times New Roman" w:cs="Times New Roman"/>
          <w:sz w:val="24"/>
          <w:szCs w:val="24"/>
        </w:rPr>
      </w:pPr>
    </w:p>
    <w:p w:rsidR="002D7C9B" w:rsidRPr="0076399D" w:rsidRDefault="002D7C9B" w:rsidP="002D7C9B">
      <w:pPr>
        <w:spacing w:after="120" w:line="480" w:lineRule="auto"/>
        <w:jc w:val="both"/>
        <w:rPr>
          <w:rFonts w:ascii="Times New Roman" w:hAnsi="Times New Roman" w:cs="Times New Roman"/>
          <w:b/>
          <w:sz w:val="24"/>
          <w:szCs w:val="24"/>
        </w:rPr>
      </w:pPr>
      <w:r w:rsidRPr="0076399D">
        <w:rPr>
          <w:rFonts w:ascii="Times New Roman" w:hAnsi="Times New Roman" w:cs="Times New Roman"/>
          <w:b/>
          <w:sz w:val="24"/>
          <w:szCs w:val="24"/>
        </w:rPr>
        <w:t>SDS-PAGE 4% (w/v) stacking gel</w:t>
      </w:r>
    </w:p>
    <w:p w:rsidR="002D7C9B" w:rsidRPr="0076399D" w:rsidRDefault="002D7C9B" w:rsidP="002D7C9B">
      <w:pPr>
        <w:spacing w:after="120" w:line="480" w:lineRule="auto"/>
        <w:jc w:val="both"/>
        <w:rPr>
          <w:rFonts w:ascii="Times New Roman" w:hAnsi="Times New Roman" w:cs="Times New Roman"/>
          <w:sz w:val="24"/>
          <w:szCs w:val="24"/>
        </w:rPr>
      </w:pPr>
      <w:proofErr w:type="gramStart"/>
      <w:r w:rsidRPr="0076399D">
        <w:rPr>
          <w:rFonts w:ascii="Times New Roman" w:hAnsi="Times New Roman" w:cs="Times New Roman"/>
          <w:sz w:val="24"/>
          <w:szCs w:val="24"/>
        </w:rPr>
        <w:t>dH</w:t>
      </w:r>
      <w:r w:rsidRPr="0076399D">
        <w:rPr>
          <w:rFonts w:ascii="Times New Roman" w:hAnsi="Times New Roman" w:cs="Times New Roman"/>
          <w:sz w:val="24"/>
          <w:szCs w:val="24"/>
          <w:vertAlign w:val="subscript"/>
        </w:rPr>
        <w:t>2</w:t>
      </w:r>
      <w:r w:rsidRPr="0076399D">
        <w:rPr>
          <w:rFonts w:ascii="Times New Roman" w:hAnsi="Times New Roman" w:cs="Times New Roman"/>
          <w:sz w:val="24"/>
          <w:szCs w:val="24"/>
        </w:rPr>
        <w:t>O</w:t>
      </w:r>
      <w:proofErr w:type="gramEnd"/>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7.35 ml</w:t>
      </w:r>
    </w:p>
    <w:p w:rsidR="002D7C9B" w:rsidRPr="0076399D" w:rsidRDefault="002D7C9B" w:rsidP="002D7C9B">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1.0 M Tris-HCl (pH 6.8)</w:t>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1.25 ml</w:t>
      </w:r>
    </w:p>
    <w:p w:rsidR="002D7C9B" w:rsidRPr="0076399D" w:rsidRDefault="002D7C9B" w:rsidP="002D7C9B">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10% (w/v) SDS</w:t>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t>100 µl</w:t>
      </w:r>
    </w:p>
    <w:p w:rsidR="002D7C9B" w:rsidRPr="00DF5FCB" w:rsidRDefault="002D7C9B" w:rsidP="002D7C9B">
      <w:pPr>
        <w:spacing w:after="120" w:line="480" w:lineRule="auto"/>
        <w:jc w:val="both"/>
        <w:rPr>
          <w:rFonts w:ascii="Times New Roman" w:hAnsi="Times New Roman" w:cs="Times New Roman"/>
          <w:sz w:val="24"/>
          <w:szCs w:val="24"/>
        </w:rPr>
      </w:pPr>
      <w:r w:rsidRPr="00DF5FCB">
        <w:rPr>
          <w:rFonts w:ascii="Times New Roman" w:hAnsi="Times New Roman" w:cs="Times New Roman"/>
          <w:sz w:val="24"/>
          <w:szCs w:val="24"/>
        </w:rPr>
        <w:t>30% (w/v) Acrylamide/Bis (37.5:1)</w:t>
      </w:r>
      <w:r w:rsidRPr="00DF5FCB">
        <w:rPr>
          <w:rFonts w:ascii="Times New Roman" w:hAnsi="Times New Roman" w:cs="Times New Roman"/>
          <w:sz w:val="24"/>
          <w:szCs w:val="24"/>
        </w:rPr>
        <w:tab/>
      </w:r>
      <w:r w:rsidRPr="00DF5FCB">
        <w:rPr>
          <w:rFonts w:ascii="Times New Roman" w:hAnsi="Times New Roman" w:cs="Times New Roman"/>
          <w:sz w:val="24"/>
          <w:szCs w:val="24"/>
        </w:rPr>
        <w:tab/>
      </w:r>
      <w:r w:rsidRPr="00DF5FCB">
        <w:rPr>
          <w:rFonts w:ascii="Times New Roman" w:hAnsi="Times New Roman" w:cs="Times New Roman"/>
          <w:sz w:val="24"/>
          <w:szCs w:val="24"/>
        </w:rPr>
        <w:tab/>
      </w:r>
      <w:r w:rsidRPr="00DF5FCB">
        <w:rPr>
          <w:rFonts w:ascii="Times New Roman" w:hAnsi="Times New Roman" w:cs="Times New Roman"/>
          <w:sz w:val="24"/>
          <w:szCs w:val="24"/>
        </w:rPr>
        <w:tab/>
      </w:r>
      <w:r w:rsidRPr="00DF5FCB">
        <w:rPr>
          <w:rFonts w:ascii="Times New Roman" w:hAnsi="Times New Roman" w:cs="Times New Roman"/>
          <w:sz w:val="24"/>
          <w:szCs w:val="24"/>
        </w:rPr>
        <w:tab/>
        <w:t>1.3 ml</w:t>
      </w:r>
    </w:p>
    <w:p w:rsidR="002D7C9B" w:rsidRPr="0076399D" w:rsidRDefault="002D7C9B" w:rsidP="002D7C9B">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10% (w/v) Ammonium persulphate</w:t>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sidRPr="0076399D">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100 µl</w:t>
      </w:r>
    </w:p>
    <w:p w:rsidR="002D7C9B" w:rsidRPr="0076399D"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TEMED </w:t>
      </w:r>
      <w:r w:rsidRPr="0076399D">
        <w:rPr>
          <w:rFonts w:ascii="Times New Roman" w:hAnsi="Times New Roman" w:cs="Times New Roman"/>
          <w:sz w:val="24"/>
          <w:szCs w:val="24"/>
        </w:rPr>
        <w:t>(N</w:t>
      </w:r>
      <w:proofErr w:type="gramStart"/>
      <w:r w:rsidRPr="0076399D">
        <w:rPr>
          <w:rFonts w:ascii="Times New Roman" w:hAnsi="Times New Roman" w:cs="Times New Roman"/>
          <w:sz w:val="24"/>
          <w:szCs w:val="24"/>
        </w:rPr>
        <w:t>,N,N’N’</w:t>
      </w:r>
      <w:proofErr w:type="gramEnd"/>
      <w:r w:rsidRPr="0076399D">
        <w:rPr>
          <w:rFonts w:ascii="Times New Roman" w:hAnsi="Times New Roman" w:cs="Times New Roman"/>
          <w:sz w:val="24"/>
          <w:szCs w:val="24"/>
        </w:rPr>
        <w:t>-tetramethyl-ethylenediamine</w:t>
      </w:r>
      <w:r>
        <w:rPr>
          <w:rFonts w:ascii="Times New Roman" w:hAnsi="Times New Roman" w:cs="Times New Roman"/>
          <w:sz w:val="24"/>
          <w:szCs w:val="24"/>
        </w:rPr>
        <w:t>)</w:t>
      </w:r>
      <w:r w:rsidRPr="0076399D">
        <w:rPr>
          <w:rFonts w:ascii="Times New Roman" w:hAnsi="Times New Roman" w:cs="Times New Roman"/>
          <w:sz w:val="24"/>
          <w:szCs w:val="24"/>
        </w:rPr>
        <w:tab/>
      </w:r>
      <w:r>
        <w:rPr>
          <w:rFonts w:ascii="Times New Roman" w:hAnsi="Times New Roman" w:cs="Times New Roman"/>
          <w:sz w:val="24"/>
          <w:szCs w:val="24"/>
        </w:rPr>
        <w:tab/>
      </w:r>
      <w:r w:rsidRPr="0076399D">
        <w:rPr>
          <w:rFonts w:ascii="Times New Roman" w:hAnsi="Times New Roman" w:cs="Times New Roman"/>
          <w:sz w:val="24"/>
          <w:szCs w:val="24"/>
        </w:rPr>
        <w:tab/>
        <w:t>20 µl</w:t>
      </w:r>
    </w:p>
    <w:p w:rsidR="002D7C9B" w:rsidRPr="0076399D" w:rsidRDefault="002D7C9B" w:rsidP="002D7C9B">
      <w:pPr>
        <w:spacing w:after="120" w:line="480" w:lineRule="auto"/>
        <w:jc w:val="both"/>
        <w:rPr>
          <w:rFonts w:ascii="Times New Roman" w:hAnsi="Times New Roman" w:cs="Times New Roman"/>
          <w:sz w:val="24"/>
          <w:szCs w:val="24"/>
        </w:rPr>
      </w:pPr>
    </w:p>
    <w:p w:rsidR="002D7C9B" w:rsidRPr="0076399D" w:rsidRDefault="002D7C9B" w:rsidP="002D7C9B">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The isopropanol overlay was removed from the resolving gel by washing 3</w:t>
      </w:r>
      <w:r>
        <w:rPr>
          <w:rFonts w:ascii="Times New Roman" w:hAnsi="Times New Roman" w:cs="Times New Roman"/>
          <w:sz w:val="24"/>
          <w:szCs w:val="24"/>
        </w:rPr>
        <w:t xml:space="preserve"> times</w:t>
      </w:r>
      <w:r w:rsidRPr="0076399D">
        <w:rPr>
          <w:rFonts w:ascii="Times New Roman" w:hAnsi="Times New Roman" w:cs="Times New Roman"/>
          <w:sz w:val="24"/>
          <w:szCs w:val="24"/>
        </w:rPr>
        <w:t xml:space="preserve"> with water. Stacking gel components were added in the above order, mixed gently and loaded on top of the resolving gel. A plastic comb was inserted into the stacking gel to create sample loading wells and separate the gel from air. 5 µl of TEMED was added to each corner to ensure rapid crosslinking at the exposed corners. Once set, t</w:t>
      </w:r>
      <w:r>
        <w:rPr>
          <w:rFonts w:ascii="Times New Roman" w:hAnsi="Times New Roman" w:cs="Times New Roman"/>
          <w:sz w:val="24"/>
          <w:szCs w:val="24"/>
        </w:rPr>
        <w:t>he gel was transferred to a Bio</w:t>
      </w:r>
      <w:r w:rsidRPr="0076399D">
        <w:rPr>
          <w:rFonts w:ascii="Times New Roman" w:hAnsi="Times New Roman" w:cs="Times New Roman"/>
          <w:sz w:val="24"/>
          <w:szCs w:val="24"/>
        </w:rPr>
        <w:t>Rad tank and subm</w:t>
      </w:r>
      <w:r>
        <w:rPr>
          <w:rFonts w:ascii="Times New Roman" w:hAnsi="Times New Roman" w:cs="Times New Roman"/>
          <w:sz w:val="24"/>
          <w:szCs w:val="24"/>
        </w:rPr>
        <w:t>erged in 1x SDS-PAGE electrophor</w:t>
      </w:r>
      <w:r w:rsidRPr="0076399D">
        <w:rPr>
          <w:rFonts w:ascii="Times New Roman" w:hAnsi="Times New Roman" w:cs="Times New Roman"/>
          <w:sz w:val="24"/>
          <w:szCs w:val="24"/>
        </w:rPr>
        <w:t>esis buffer.</w:t>
      </w:r>
      <w:r>
        <w:rPr>
          <w:rFonts w:ascii="Times New Roman" w:hAnsi="Times New Roman" w:cs="Times New Roman"/>
          <w:sz w:val="24"/>
          <w:szCs w:val="24"/>
        </w:rPr>
        <w:t xml:space="preserve"> An appropriate volume of sample was loaded into the wells by pipette. A Dalton Mark VII-L (Sigma) molecular weight marker (10 µl) was also loaded. Proteins were separated by electrophoresis at 150 V, until the blue dye front of the sample buffer reached the base of the gel plate.</w:t>
      </w:r>
    </w:p>
    <w:p w:rsidR="002D7C9B" w:rsidRDefault="002D7C9B" w:rsidP="002D7C9B">
      <w:pPr>
        <w:spacing w:after="120" w:line="480" w:lineRule="auto"/>
        <w:jc w:val="both"/>
        <w:rPr>
          <w:rFonts w:ascii="Times New Roman" w:hAnsi="Times New Roman" w:cs="Times New Roman"/>
          <w:sz w:val="28"/>
          <w:szCs w:val="28"/>
        </w:rPr>
      </w:pPr>
      <w:r>
        <w:rPr>
          <w:rFonts w:ascii="Times New Roman" w:hAnsi="Times New Roman" w:cs="Times New Roman"/>
          <w:sz w:val="28"/>
          <w:szCs w:val="28"/>
        </w:rPr>
        <w:lastRenderedPageBreak/>
        <w:t>2.11.2</w:t>
      </w:r>
      <w:r>
        <w:rPr>
          <w:rFonts w:ascii="Times New Roman" w:hAnsi="Times New Roman" w:cs="Times New Roman"/>
          <w:sz w:val="28"/>
          <w:szCs w:val="28"/>
        </w:rPr>
        <w:tab/>
      </w:r>
      <w:r>
        <w:rPr>
          <w:rFonts w:ascii="Times New Roman" w:hAnsi="Times New Roman" w:cs="Times New Roman"/>
          <w:sz w:val="28"/>
          <w:szCs w:val="28"/>
        </w:rPr>
        <w:tab/>
        <w:t>Coomassie staining</w:t>
      </w:r>
    </w:p>
    <w:p w:rsidR="002D7C9B" w:rsidRPr="00D0143F" w:rsidRDefault="002D7C9B" w:rsidP="002D7C9B">
      <w:pPr>
        <w:spacing w:after="120" w:line="480" w:lineRule="auto"/>
        <w:jc w:val="both"/>
        <w:rPr>
          <w:rFonts w:ascii="Times New Roman" w:hAnsi="Times New Roman" w:cs="Times New Roman"/>
          <w:sz w:val="24"/>
          <w:szCs w:val="24"/>
        </w:rPr>
      </w:pPr>
      <w:r w:rsidRPr="00D0143F">
        <w:rPr>
          <w:rFonts w:ascii="Times New Roman" w:hAnsi="Times New Roman" w:cs="Times New Roman"/>
          <w:sz w:val="24"/>
          <w:szCs w:val="24"/>
        </w:rPr>
        <w:t>For visualisation of protein bands, SDS-PAGE gels were submerged in Coomassie blue stain for 30-60 min with gentle mixing. The gel was then destained by submerging Coomassie destain along with paper towel for blotting of Coomassie blue stain, and incubated overnight until the gel background was cleared.</w:t>
      </w:r>
      <w:r>
        <w:rPr>
          <w:rFonts w:ascii="Times New Roman" w:hAnsi="Times New Roman" w:cs="Times New Roman"/>
          <w:sz w:val="24"/>
          <w:szCs w:val="24"/>
        </w:rPr>
        <w:t xml:space="preserve"> Molecular masses were estimated by comparison to the molecular weight markers of known size.</w:t>
      </w:r>
    </w:p>
    <w:p w:rsidR="002D7C9B" w:rsidRDefault="002D7C9B" w:rsidP="002D7C9B">
      <w:pPr>
        <w:spacing w:after="120" w:line="480" w:lineRule="auto"/>
        <w:jc w:val="both"/>
        <w:rPr>
          <w:rFonts w:ascii="Times New Roman" w:hAnsi="Times New Roman" w:cs="Times New Roman"/>
          <w:sz w:val="24"/>
          <w:szCs w:val="24"/>
        </w:rPr>
      </w:pPr>
    </w:p>
    <w:p w:rsidR="002D7C9B" w:rsidRDefault="002D7C9B" w:rsidP="002D7C9B">
      <w:pPr>
        <w:spacing w:after="120" w:line="480" w:lineRule="auto"/>
        <w:jc w:val="both"/>
        <w:rPr>
          <w:rFonts w:ascii="Times New Roman" w:hAnsi="Times New Roman" w:cs="Times New Roman"/>
          <w:sz w:val="28"/>
          <w:szCs w:val="28"/>
        </w:rPr>
      </w:pPr>
      <w:r w:rsidRPr="00515CF9">
        <w:rPr>
          <w:rFonts w:ascii="Times New Roman" w:hAnsi="Times New Roman" w:cs="Times New Roman"/>
          <w:sz w:val="28"/>
          <w:szCs w:val="28"/>
        </w:rPr>
        <w:t>2.12</w:t>
      </w: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t>Production of recombinant proteins</w:t>
      </w:r>
    </w:p>
    <w:p w:rsidR="002D7C9B" w:rsidRDefault="002D7C9B" w:rsidP="002D7C9B">
      <w:pPr>
        <w:spacing w:after="120" w:line="480" w:lineRule="auto"/>
        <w:jc w:val="both"/>
        <w:rPr>
          <w:rFonts w:ascii="Times New Roman" w:hAnsi="Times New Roman" w:cs="Times New Roman"/>
          <w:sz w:val="28"/>
          <w:szCs w:val="28"/>
        </w:rPr>
      </w:pPr>
      <w:r>
        <w:rPr>
          <w:rFonts w:ascii="Times New Roman" w:hAnsi="Times New Roman" w:cs="Times New Roman"/>
          <w:sz w:val="28"/>
          <w:szCs w:val="28"/>
        </w:rPr>
        <w:t xml:space="preserve">2.12.1 </w:t>
      </w:r>
      <w:r>
        <w:rPr>
          <w:rFonts w:ascii="Times New Roman" w:hAnsi="Times New Roman" w:cs="Times New Roman"/>
          <w:sz w:val="28"/>
          <w:szCs w:val="28"/>
        </w:rPr>
        <w:tab/>
        <w:t xml:space="preserve">Expression of recombinant protein in </w:t>
      </w:r>
      <w:r>
        <w:rPr>
          <w:rFonts w:ascii="Times New Roman" w:hAnsi="Times New Roman" w:cs="Times New Roman"/>
          <w:i/>
          <w:sz w:val="28"/>
          <w:szCs w:val="28"/>
        </w:rPr>
        <w:t xml:space="preserve">E. coli </w:t>
      </w:r>
      <w:r>
        <w:rPr>
          <w:rFonts w:ascii="Times New Roman" w:hAnsi="Times New Roman" w:cs="Times New Roman"/>
          <w:sz w:val="28"/>
          <w:szCs w:val="28"/>
        </w:rPr>
        <w:t>Tuner</w:t>
      </w:r>
      <w:r w:rsidRPr="00515CF9">
        <w:rPr>
          <w:rFonts w:ascii="Times New Roman" w:hAnsi="Times New Roman" w:cs="Times New Roman"/>
          <w:sz w:val="28"/>
          <w:szCs w:val="28"/>
          <w:vertAlign w:val="superscript"/>
        </w:rPr>
        <w:t>TM</w:t>
      </w:r>
      <w:r>
        <w:rPr>
          <w:rFonts w:ascii="Times New Roman" w:hAnsi="Times New Roman" w:cs="Times New Roman"/>
          <w:sz w:val="28"/>
          <w:szCs w:val="28"/>
        </w:rPr>
        <w:t xml:space="preserve"> (DE3)</w:t>
      </w:r>
    </w:p>
    <w:p w:rsidR="002D7C9B" w:rsidRPr="004D1CBE" w:rsidRDefault="002D7C9B" w:rsidP="002D7C9B">
      <w:pPr>
        <w:spacing w:after="120" w:line="480" w:lineRule="auto"/>
        <w:jc w:val="both"/>
        <w:rPr>
          <w:rFonts w:ascii="Times New Roman" w:hAnsi="Times New Roman" w:cs="Times New Roman"/>
          <w:sz w:val="24"/>
          <w:szCs w:val="24"/>
        </w:rPr>
      </w:pPr>
      <w:r w:rsidRPr="004D1CBE">
        <w:rPr>
          <w:rFonts w:ascii="Times New Roman" w:hAnsi="Times New Roman" w:cs="Times New Roman"/>
          <w:sz w:val="24"/>
          <w:szCs w:val="24"/>
        </w:rPr>
        <w:t xml:space="preserve">A single colony of </w:t>
      </w:r>
      <w:r w:rsidRPr="004D1CBE">
        <w:rPr>
          <w:rFonts w:ascii="Times New Roman" w:hAnsi="Times New Roman" w:cs="Times New Roman"/>
          <w:i/>
          <w:sz w:val="24"/>
          <w:szCs w:val="24"/>
        </w:rPr>
        <w:t>E.</w:t>
      </w:r>
      <w:r>
        <w:rPr>
          <w:rFonts w:ascii="Times New Roman" w:hAnsi="Times New Roman" w:cs="Times New Roman"/>
          <w:i/>
          <w:sz w:val="24"/>
          <w:szCs w:val="24"/>
        </w:rPr>
        <w:t xml:space="preserve"> </w:t>
      </w:r>
      <w:r w:rsidRPr="004D1CBE">
        <w:rPr>
          <w:rFonts w:ascii="Times New Roman" w:hAnsi="Times New Roman" w:cs="Times New Roman"/>
          <w:i/>
          <w:sz w:val="24"/>
          <w:szCs w:val="24"/>
        </w:rPr>
        <w:t xml:space="preserve">coli </w:t>
      </w:r>
      <w:r w:rsidRPr="004D1CBE">
        <w:rPr>
          <w:rFonts w:ascii="Times New Roman" w:hAnsi="Times New Roman" w:cs="Times New Roman"/>
          <w:sz w:val="24"/>
          <w:szCs w:val="24"/>
        </w:rPr>
        <w:t>Tuner</w:t>
      </w:r>
      <w:r w:rsidRPr="004D1CBE">
        <w:rPr>
          <w:rFonts w:ascii="Times New Roman" w:hAnsi="Times New Roman" w:cs="Times New Roman"/>
          <w:sz w:val="24"/>
          <w:szCs w:val="24"/>
          <w:vertAlign w:val="superscript"/>
        </w:rPr>
        <w:t>TM</w:t>
      </w:r>
      <w:r w:rsidRPr="004D1CBE">
        <w:rPr>
          <w:rFonts w:ascii="Times New Roman" w:hAnsi="Times New Roman" w:cs="Times New Roman"/>
          <w:sz w:val="24"/>
          <w:szCs w:val="24"/>
        </w:rPr>
        <w:t xml:space="preserve"> (DE3) carrying</w:t>
      </w:r>
      <w:r>
        <w:rPr>
          <w:rFonts w:ascii="Times New Roman" w:hAnsi="Times New Roman" w:cs="Times New Roman"/>
          <w:sz w:val="24"/>
          <w:szCs w:val="24"/>
        </w:rPr>
        <w:t xml:space="preserve"> an</w:t>
      </w:r>
      <w:r w:rsidRPr="004D1CBE">
        <w:rPr>
          <w:rFonts w:ascii="Times New Roman" w:hAnsi="Times New Roman" w:cs="Times New Roman"/>
          <w:sz w:val="24"/>
          <w:szCs w:val="24"/>
        </w:rPr>
        <w:t xml:space="preserve"> over</w:t>
      </w:r>
      <w:r>
        <w:rPr>
          <w:rFonts w:ascii="Times New Roman" w:hAnsi="Times New Roman" w:cs="Times New Roman"/>
          <w:sz w:val="24"/>
          <w:szCs w:val="24"/>
        </w:rPr>
        <w:t>-</w:t>
      </w:r>
      <w:r w:rsidRPr="004D1CBE">
        <w:rPr>
          <w:rFonts w:ascii="Times New Roman" w:hAnsi="Times New Roman" w:cs="Times New Roman"/>
          <w:sz w:val="24"/>
          <w:szCs w:val="24"/>
        </w:rPr>
        <w:t xml:space="preserve">expression plasmid (pET21a or pET24d) containing the DNA insert of interest, was used to inoculate 10 ml LB with appropriate antibiotic for maintenance of the plasmid. The culture was incubated overnight at 37 °C with aeration at 250 rpm, </w:t>
      </w:r>
      <w:proofErr w:type="gramStart"/>
      <w:r w:rsidRPr="004D1CBE">
        <w:rPr>
          <w:rFonts w:ascii="Times New Roman" w:hAnsi="Times New Roman" w:cs="Times New Roman"/>
          <w:sz w:val="24"/>
          <w:szCs w:val="24"/>
        </w:rPr>
        <w:t>then</w:t>
      </w:r>
      <w:proofErr w:type="gramEnd"/>
      <w:r w:rsidRPr="004D1CBE">
        <w:rPr>
          <w:rFonts w:ascii="Times New Roman" w:hAnsi="Times New Roman" w:cs="Times New Roman"/>
          <w:sz w:val="24"/>
          <w:szCs w:val="24"/>
        </w:rPr>
        <w:t xml:space="preserve"> inoculated </w:t>
      </w:r>
      <w:r>
        <w:rPr>
          <w:rFonts w:ascii="Times New Roman" w:hAnsi="Times New Roman" w:cs="Times New Roman"/>
          <w:sz w:val="24"/>
          <w:szCs w:val="24"/>
        </w:rPr>
        <w:t>to an OD</w:t>
      </w:r>
      <w:r w:rsidRPr="004D1CBE">
        <w:rPr>
          <w:rFonts w:ascii="Times New Roman" w:hAnsi="Times New Roman" w:cs="Times New Roman"/>
          <w:sz w:val="24"/>
          <w:szCs w:val="24"/>
          <w:vertAlign w:val="subscript"/>
        </w:rPr>
        <w:t>600</w:t>
      </w:r>
      <w:r>
        <w:rPr>
          <w:rFonts w:ascii="Times New Roman" w:hAnsi="Times New Roman" w:cs="Times New Roman"/>
          <w:sz w:val="24"/>
          <w:szCs w:val="24"/>
        </w:rPr>
        <w:t xml:space="preserve"> of 0.05 </w:t>
      </w:r>
      <w:r w:rsidRPr="004D1CBE">
        <w:rPr>
          <w:rFonts w:ascii="Times New Roman" w:hAnsi="Times New Roman" w:cs="Times New Roman"/>
          <w:sz w:val="24"/>
          <w:szCs w:val="24"/>
        </w:rPr>
        <w:t xml:space="preserve">into 1 </w:t>
      </w:r>
      <w:r>
        <w:rPr>
          <w:rFonts w:ascii="Times New Roman" w:hAnsi="Times New Roman" w:cs="Times New Roman"/>
          <w:sz w:val="24"/>
          <w:szCs w:val="24"/>
        </w:rPr>
        <w:t>l of pre-warmed LB. The culture was grown at 37 °C with aeration at 250 rpm. When the culture reached an OD</w:t>
      </w:r>
      <w:r w:rsidRPr="004D1CBE">
        <w:rPr>
          <w:rFonts w:ascii="Times New Roman" w:hAnsi="Times New Roman" w:cs="Times New Roman"/>
          <w:sz w:val="24"/>
          <w:szCs w:val="24"/>
          <w:vertAlign w:val="subscript"/>
        </w:rPr>
        <w:t>600</w:t>
      </w:r>
      <w:r>
        <w:rPr>
          <w:rFonts w:ascii="Times New Roman" w:hAnsi="Times New Roman" w:cs="Times New Roman"/>
          <w:sz w:val="24"/>
          <w:szCs w:val="24"/>
        </w:rPr>
        <w:t xml:space="preserve"> of 0.6, 1 mM IPTG was added to induce recombinant protein overexpression, and incubated for a further 3 h. Cells were harvested by centrifugation at 4 °C for 10 min at 5000 ×g and the pellets stored at -20 °C.</w:t>
      </w:r>
    </w:p>
    <w:p w:rsidR="002D7C9B" w:rsidRDefault="002D7C9B" w:rsidP="002D7C9B">
      <w:pPr>
        <w:rPr>
          <w:rFonts w:ascii="Times New Roman" w:hAnsi="Times New Roman" w:cs="Times New Roman"/>
          <w:sz w:val="24"/>
          <w:szCs w:val="24"/>
        </w:rPr>
      </w:pPr>
    </w:p>
    <w:p w:rsidR="002D7C9B" w:rsidRDefault="002D7C9B" w:rsidP="002D7C9B">
      <w:pPr>
        <w:spacing w:after="120" w:line="480" w:lineRule="auto"/>
        <w:jc w:val="both"/>
        <w:rPr>
          <w:rFonts w:ascii="Times New Roman" w:hAnsi="Times New Roman" w:cs="Times New Roman"/>
          <w:sz w:val="28"/>
          <w:szCs w:val="28"/>
        </w:rPr>
      </w:pPr>
      <w:r>
        <w:rPr>
          <w:rFonts w:ascii="Times New Roman" w:hAnsi="Times New Roman" w:cs="Times New Roman"/>
          <w:sz w:val="28"/>
          <w:szCs w:val="28"/>
        </w:rPr>
        <w:t>2.12.2</w:t>
      </w:r>
      <w:r>
        <w:rPr>
          <w:rFonts w:ascii="Times New Roman" w:hAnsi="Times New Roman" w:cs="Times New Roman"/>
          <w:sz w:val="28"/>
          <w:szCs w:val="28"/>
        </w:rPr>
        <w:tab/>
      </w:r>
      <w:r>
        <w:rPr>
          <w:rFonts w:ascii="Times New Roman" w:hAnsi="Times New Roman" w:cs="Times New Roman"/>
          <w:sz w:val="28"/>
          <w:szCs w:val="28"/>
        </w:rPr>
        <w:tab/>
        <w:t>Determination of recombinant protein solubility</w:t>
      </w:r>
    </w:p>
    <w:p w:rsidR="002D7C9B" w:rsidRDefault="002D7C9B" w:rsidP="002D7C9B">
      <w:pPr>
        <w:spacing w:after="120" w:line="480" w:lineRule="auto"/>
        <w:jc w:val="both"/>
        <w:rPr>
          <w:rFonts w:ascii="Times New Roman" w:hAnsi="Times New Roman" w:cs="Times New Roman"/>
          <w:sz w:val="24"/>
          <w:szCs w:val="24"/>
        </w:rPr>
      </w:pPr>
      <w:r w:rsidRPr="00283133">
        <w:rPr>
          <w:rFonts w:ascii="Times New Roman" w:hAnsi="Times New Roman" w:cs="Times New Roman"/>
          <w:sz w:val="24"/>
          <w:szCs w:val="24"/>
        </w:rPr>
        <w:t>Cells</w:t>
      </w:r>
      <w:r>
        <w:rPr>
          <w:rFonts w:ascii="Times New Roman" w:hAnsi="Times New Roman" w:cs="Times New Roman"/>
          <w:sz w:val="24"/>
          <w:szCs w:val="24"/>
        </w:rPr>
        <w:t xml:space="preserve"> prepared in Chapter 2.12.1 were thawed and resuspended in 5 ml buffer A. The cell suspension was freeze-thawed three times at -80 °C, then sonicated 6 times on ice with a Sanyo Soniprep 150, for 10 s with 30 s chilling on ice between each sonication. The suspension was centrifuged at 10,000 ×g for 25 min at 4 °C. The supernatant </w:t>
      </w:r>
      <w:r>
        <w:rPr>
          <w:rFonts w:ascii="Times New Roman" w:hAnsi="Times New Roman" w:cs="Times New Roman"/>
          <w:sz w:val="24"/>
          <w:szCs w:val="24"/>
        </w:rPr>
        <w:lastRenderedPageBreak/>
        <w:t xml:space="preserve">containing the solubilised cell material was decanted, whilst the insoluble pellet was resuspended in 5 ml START buffer containing 8 M urea. The soluble and insoluble fractions were analysed for the presence of over-expressed recombinant protein by SDS-PAGE. </w:t>
      </w:r>
    </w:p>
    <w:p w:rsidR="002D7C9B" w:rsidRPr="00380861" w:rsidRDefault="002D7C9B" w:rsidP="002D7C9B">
      <w:pPr>
        <w:spacing w:after="120" w:line="480" w:lineRule="auto"/>
        <w:jc w:val="both"/>
        <w:rPr>
          <w:rFonts w:ascii="Times New Roman" w:hAnsi="Times New Roman" w:cs="Times New Roman"/>
          <w:sz w:val="24"/>
          <w:szCs w:val="24"/>
        </w:rPr>
      </w:pPr>
    </w:p>
    <w:p w:rsidR="002D7C9B" w:rsidRDefault="002D7C9B" w:rsidP="002D7C9B">
      <w:pPr>
        <w:spacing w:after="120" w:line="480" w:lineRule="auto"/>
        <w:jc w:val="both"/>
        <w:rPr>
          <w:rFonts w:ascii="Times New Roman" w:hAnsi="Times New Roman" w:cs="Times New Roman"/>
          <w:bCs/>
          <w:sz w:val="28"/>
          <w:szCs w:val="28"/>
        </w:rPr>
      </w:pPr>
      <w:r w:rsidRPr="00380861">
        <w:rPr>
          <w:rFonts w:ascii="Times New Roman" w:hAnsi="Times New Roman" w:cs="Times New Roman"/>
          <w:bCs/>
          <w:sz w:val="28"/>
          <w:szCs w:val="28"/>
        </w:rPr>
        <w:t>2.12.3</w:t>
      </w:r>
      <w:r>
        <w:rPr>
          <w:rFonts w:ascii="Times New Roman" w:hAnsi="Times New Roman" w:cs="Times New Roman"/>
          <w:bCs/>
          <w:sz w:val="28"/>
          <w:szCs w:val="28"/>
        </w:rPr>
        <w:tab/>
      </w:r>
      <w:r>
        <w:rPr>
          <w:rFonts w:ascii="Times New Roman" w:hAnsi="Times New Roman" w:cs="Times New Roman"/>
          <w:bCs/>
          <w:sz w:val="28"/>
          <w:szCs w:val="28"/>
        </w:rPr>
        <w:tab/>
        <w:t>Preparation of cell lysates for purification</w:t>
      </w:r>
    </w:p>
    <w:p w:rsidR="002D7C9B" w:rsidRDefault="002D7C9B" w:rsidP="002D7C9B">
      <w:pPr>
        <w:spacing w:after="120" w:line="480" w:lineRule="auto"/>
        <w:jc w:val="both"/>
        <w:rPr>
          <w:rFonts w:ascii="Times New Roman" w:hAnsi="Times New Roman" w:cs="Times New Roman"/>
          <w:bCs/>
          <w:sz w:val="24"/>
          <w:szCs w:val="24"/>
        </w:rPr>
      </w:pPr>
      <w:r>
        <w:rPr>
          <w:rFonts w:ascii="Times New Roman" w:hAnsi="Times New Roman" w:cs="Times New Roman"/>
          <w:bCs/>
          <w:sz w:val="24"/>
          <w:szCs w:val="24"/>
        </w:rPr>
        <w:t>If over-expressed recombinant protein was deemed to be soluble, the soluble fraction prepared in Chapter 2.12.2 was filtered using 0.45 µm pore size filters prior to HiTrap purification. If the recombinant protein was insoluble, the insoluble fraction was adjusted to 50 ml with START buffer containing 8 M urea and incubated overnight at 4 °C. Cell debris was separated by centrifugation at 10,000 ×g for 25 min at 4 °C, and the supernatant filtered as above.</w:t>
      </w:r>
    </w:p>
    <w:p w:rsidR="002D7C9B" w:rsidRDefault="002D7C9B" w:rsidP="002D7C9B">
      <w:pPr>
        <w:spacing w:after="120" w:line="480" w:lineRule="auto"/>
        <w:jc w:val="both"/>
        <w:rPr>
          <w:rFonts w:ascii="Times New Roman" w:hAnsi="Times New Roman" w:cs="Times New Roman"/>
          <w:sz w:val="24"/>
          <w:szCs w:val="24"/>
        </w:rPr>
      </w:pPr>
    </w:p>
    <w:p w:rsidR="002D7C9B" w:rsidRDefault="002D7C9B" w:rsidP="002D7C9B">
      <w:pPr>
        <w:spacing w:after="120" w:line="480" w:lineRule="auto"/>
        <w:jc w:val="both"/>
        <w:rPr>
          <w:rFonts w:ascii="Times New Roman" w:hAnsi="Times New Roman" w:cs="Times New Roman"/>
          <w:sz w:val="28"/>
          <w:szCs w:val="28"/>
        </w:rPr>
      </w:pPr>
      <w:r>
        <w:rPr>
          <w:rFonts w:ascii="Times New Roman" w:hAnsi="Times New Roman" w:cs="Times New Roman"/>
          <w:sz w:val="28"/>
          <w:szCs w:val="28"/>
        </w:rPr>
        <w:t>2.12.4</w:t>
      </w:r>
      <w:r>
        <w:rPr>
          <w:rFonts w:ascii="Times New Roman" w:hAnsi="Times New Roman" w:cs="Times New Roman"/>
          <w:sz w:val="28"/>
          <w:szCs w:val="28"/>
        </w:rPr>
        <w:tab/>
      </w:r>
      <w:r>
        <w:rPr>
          <w:rFonts w:ascii="Times New Roman" w:hAnsi="Times New Roman" w:cs="Times New Roman"/>
          <w:sz w:val="28"/>
          <w:szCs w:val="28"/>
        </w:rPr>
        <w:tab/>
        <w:t>Protein purification using a HiTrap column</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His-tagged proteins were purified using a </w:t>
      </w:r>
      <w:r w:rsidRPr="00557DCE">
        <w:rPr>
          <w:rFonts w:ascii="Times New Roman" w:hAnsi="Times New Roman" w:cs="Times New Roman"/>
          <w:sz w:val="24"/>
          <w:szCs w:val="24"/>
        </w:rPr>
        <w:t>BioRad Econo Gradient pump and fraction collector</w:t>
      </w:r>
      <w:r>
        <w:rPr>
          <w:rFonts w:ascii="Times New Roman" w:hAnsi="Times New Roman" w:cs="Times New Roman"/>
          <w:sz w:val="24"/>
          <w:szCs w:val="24"/>
        </w:rPr>
        <w:t xml:space="preserve"> with a 280 nm wavelength Econo UV monitor, for detection of eluting material.</w:t>
      </w:r>
      <w:r w:rsidRPr="00557DCE">
        <w:rPr>
          <w:rFonts w:ascii="Times New Roman" w:hAnsi="Times New Roman" w:cs="Times New Roman"/>
          <w:sz w:val="24"/>
          <w:szCs w:val="24"/>
        </w:rPr>
        <w:t xml:space="preserve"> A 5 ml HiTrap chelating column (GE Healthcare) was washed with 15 ml of dH</w:t>
      </w:r>
      <w:r w:rsidRPr="00557DCE">
        <w:rPr>
          <w:rFonts w:ascii="Times New Roman" w:hAnsi="Times New Roman" w:cs="Times New Roman"/>
          <w:sz w:val="24"/>
          <w:szCs w:val="24"/>
          <w:vertAlign w:val="subscript"/>
        </w:rPr>
        <w:t>2</w:t>
      </w:r>
      <w:r w:rsidRPr="00557DCE">
        <w:rPr>
          <w:rFonts w:ascii="Times New Roman" w:hAnsi="Times New Roman" w:cs="Times New Roman"/>
          <w:sz w:val="24"/>
          <w:szCs w:val="24"/>
        </w:rPr>
        <w:t>O, charged with 2.5 ml of 0.1</w:t>
      </w:r>
      <w:r>
        <w:rPr>
          <w:rFonts w:ascii="Times New Roman" w:hAnsi="Times New Roman" w:cs="Times New Roman"/>
          <w:sz w:val="24"/>
          <w:szCs w:val="24"/>
        </w:rPr>
        <w:t xml:space="preserve"> </w:t>
      </w:r>
      <w:r w:rsidRPr="00557DCE">
        <w:rPr>
          <w:rFonts w:ascii="Times New Roman" w:hAnsi="Times New Roman" w:cs="Times New Roman"/>
          <w:sz w:val="24"/>
          <w:szCs w:val="24"/>
        </w:rPr>
        <w:t>M NiSO</w:t>
      </w:r>
      <w:r w:rsidRPr="00557DCE">
        <w:rPr>
          <w:rFonts w:ascii="Times New Roman" w:hAnsi="Times New Roman" w:cs="Times New Roman"/>
          <w:sz w:val="24"/>
          <w:szCs w:val="24"/>
          <w:vertAlign w:val="subscript"/>
        </w:rPr>
        <w:t>4</w:t>
      </w:r>
      <w:r w:rsidRPr="00557DCE">
        <w:rPr>
          <w:rFonts w:ascii="Times New Roman" w:hAnsi="Times New Roman" w:cs="Times New Roman"/>
          <w:sz w:val="24"/>
          <w:szCs w:val="24"/>
        </w:rPr>
        <w:t xml:space="preserve">, </w:t>
      </w:r>
      <w:proofErr w:type="gramStart"/>
      <w:r w:rsidRPr="00557DCE">
        <w:rPr>
          <w:rFonts w:ascii="Times New Roman" w:hAnsi="Times New Roman" w:cs="Times New Roman"/>
          <w:sz w:val="24"/>
          <w:szCs w:val="24"/>
        </w:rPr>
        <w:t>then</w:t>
      </w:r>
      <w:proofErr w:type="gramEnd"/>
      <w:r w:rsidRPr="00557DCE">
        <w:rPr>
          <w:rFonts w:ascii="Times New Roman" w:hAnsi="Times New Roman" w:cs="Times New Roman"/>
          <w:sz w:val="24"/>
          <w:szCs w:val="24"/>
        </w:rPr>
        <w:t xml:space="preserve"> washed again with 15 ml dH</w:t>
      </w:r>
      <w:r w:rsidRPr="00557DCE">
        <w:rPr>
          <w:rFonts w:ascii="Times New Roman" w:hAnsi="Times New Roman" w:cs="Times New Roman"/>
          <w:sz w:val="24"/>
          <w:szCs w:val="24"/>
          <w:vertAlign w:val="subscript"/>
        </w:rPr>
        <w:t>2</w:t>
      </w:r>
      <w:r w:rsidRPr="00557DCE">
        <w:rPr>
          <w:rFonts w:ascii="Times New Roman" w:hAnsi="Times New Roman" w:cs="Times New Roman"/>
          <w:sz w:val="24"/>
          <w:szCs w:val="24"/>
        </w:rPr>
        <w:t>O to remove excess NiSO</w:t>
      </w:r>
      <w:r w:rsidRPr="00557DCE">
        <w:rPr>
          <w:rFonts w:ascii="Times New Roman" w:hAnsi="Times New Roman" w:cs="Times New Roman"/>
          <w:sz w:val="24"/>
          <w:szCs w:val="24"/>
          <w:vertAlign w:val="subscript"/>
        </w:rPr>
        <w:t>4</w:t>
      </w:r>
      <w:r w:rsidRPr="00557DCE">
        <w:rPr>
          <w:rFonts w:ascii="Times New Roman" w:hAnsi="Times New Roman" w:cs="Times New Roman"/>
          <w:sz w:val="24"/>
          <w:szCs w:val="24"/>
        </w:rPr>
        <w:t xml:space="preserve">. The tubing of a BioRad Econo Gradient pump and fraction collector was flushed with </w:t>
      </w:r>
      <w:r>
        <w:rPr>
          <w:rFonts w:ascii="Times New Roman" w:hAnsi="Times New Roman" w:cs="Times New Roman"/>
          <w:sz w:val="24"/>
          <w:szCs w:val="24"/>
        </w:rPr>
        <w:t xml:space="preserve">20 ml </w:t>
      </w:r>
      <w:r w:rsidRPr="00557DCE">
        <w:rPr>
          <w:rFonts w:ascii="Times New Roman" w:hAnsi="Times New Roman" w:cs="Times New Roman"/>
          <w:sz w:val="24"/>
          <w:szCs w:val="24"/>
        </w:rPr>
        <w:t xml:space="preserve">water, and then </w:t>
      </w:r>
      <w:r>
        <w:rPr>
          <w:rFonts w:ascii="Times New Roman" w:hAnsi="Times New Roman" w:cs="Times New Roman"/>
          <w:sz w:val="24"/>
          <w:szCs w:val="24"/>
        </w:rPr>
        <w:t xml:space="preserve">20 ml </w:t>
      </w:r>
      <w:r w:rsidRPr="00557DCE">
        <w:rPr>
          <w:rFonts w:ascii="Times New Roman" w:hAnsi="Times New Roman" w:cs="Times New Roman"/>
          <w:sz w:val="24"/>
          <w:szCs w:val="24"/>
        </w:rPr>
        <w:t>START buffer</w:t>
      </w:r>
      <w:r>
        <w:rPr>
          <w:rFonts w:ascii="Times New Roman" w:hAnsi="Times New Roman" w:cs="Times New Roman"/>
          <w:sz w:val="24"/>
          <w:szCs w:val="24"/>
        </w:rPr>
        <w:t xml:space="preserve"> </w:t>
      </w:r>
      <w:r w:rsidRPr="00557DCE">
        <w:rPr>
          <w:rFonts w:ascii="Times New Roman" w:hAnsi="Times New Roman" w:cs="Times New Roman"/>
          <w:sz w:val="24"/>
          <w:szCs w:val="24"/>
        </w:rPr>
        <w:t>at a rate of 1</w:t>
      </w:r>
      <w:r>
        <w:rPr>
          <w:rFonts w:ascii="Times New Roman" w:hAnsi="Times New Roman" w:cs="Times New Roman"/>
          <w:sz w:val="24"/>
          <w:szCs w:val="24"/>
        </w:rPr>
        <w:t> </w:t>
      </w:r>
      <w:r w:rsidRPr="00557DCE">
        <w:rPr>
          <w:rFonts w:ascii="Times New Roman" w:hAnsi="Times New Roman" w:cs="Times New Roman"/>
          <w:sz w:val="24"/>
          <w:szCs w:val="24"/>
        </w:rPr>
        <w:t>ml min</w:t>
      </w:r>
      <w:r w:rsidRPr="00557DCE">
        <w:rPr>
          <w:rFonts w:ascii="Times New Roman" w:hAnsi="Times New Roman" w:cs="Times New Roman"/>
          <w:sz w:val="24"/>
          <w:szCs w:val="24"/>
          <w:vertAlign w:val="superscript"/>
        </w:rPr>
        <w:t>-1</w:t>
      </w:r>
      <w:r>
        <w:rPr>
          <w:rFonts w:ascii="Times New Roman" w:hAnsi="Times New Roman" w:cs="Times New Roman"/>
          <w:sz w:val="24"/>
          <w:szCs w:val="24"/>
        </w:rPr>
        <w:t>. For insoluble proteins all purification buffers contained 8 M urea</w:t>
      </w:r>
      <w:r w:rsidRPr="00557DCE">
        <w:rPr>
          <w:rFonts w:ascii="Times New Roman" w:hAnsi="Times New Roman" w:cs="Times New Roman"/>
          <w:sz w:val="24"/>
          <w:szCs w:val="24"/>
        </w:rPr>
        <w:t xml:space="preserve">. </w:t>
      </w:r>
      <w:r>
        <w:rPr>
          <w:rFonts w:ascii="Times New Roman" w:hAnsi="Times New Roman" w:cs="Times New Roman"/>
          <w:sz w:val="24"/>
          <w:szCs w:val="24"/>
        </w:rPr>
        <w:t xml:space="preserve">The HiTrap column was attached to the BioRad Econo Gradient pump and equilibrated with 5 column volumes of START buffer. The supernatant containing the His-tagged recombinant protein prepared in Chapter 2.12.3 was applied to the column, and </w:t>
      </w:r>
      <w:r>
        <w:rPr>
          <w:rFonts w:ascii="Times New Roman" w:hAnsi="Times New Roman" w:cs="Times New Roman"/>
          <w:sz w:val="24"/>
          <w:szCs w:val="24"/>
        </w:rPr>
        <w:lastRenderedPageBreak/>
        <w:t>unbound material eluted with START buffer plus 5% elution buffer, until the UV absorbance flatlined. Chelated His-tagged proteins were eluted from the column using a gradient of 5-100% elution buffer containing 0.5 M imidazole. Fractions likely to contain the protein of interest by UV detection were collected and analysed by SDS-PAGE. The HiTrap column was detached and stripped with 5 column volumes of 0.05 M EDTA and washed with 5 column volumes of dH</w:t>
      </w:r>
      <w:r w:rsidRPr="00640BBC">
        <w:rPr>
          <w:rFonts w:ascii="Times New Roman" w:hAnsi="Times New Roman" w:cs="Times New Roman"/>
          <w:sz w:val="24"/>
          <w:szCs w:val="24"/>
          <w:vertAlign w:val="subscript"/>
        </w:rPr>
        <w:t>2</w:t>
      </w:r>
      <w:r>
        <w:rPr>
          <w:rFonts w:ascii="Times New Roman" w:hAnsi="Times New Roman" w:cs="Times New Roman"/>
          <w:sz w:val="24"/>
          <w:szCs w:val="24"/>
        </w:rPr>
        <w:t xml:space="preserve">O, then 3 column volumes of 20% (v/v) ethanol for long-term storage at 4 °C. </w:t>
      </w:r>
      <w:r w:rsidRPr="00557DCE">
        <w:rPr>
          <w:rFonts w:ascii="Times New Roman" w:hAnsi="Times New Roman" w:cs="Times New Roman"/>
          <w:sz w:val="24"/>
          <w:szCs w:val="24"/>
        </w:rPr>
        <w:t>BioRad Econo Gradient pump and fraction collector</w:t>
      </w:r>
      <w:r>
        <w:rPr>
          <w:rFonts w:ascii="Times New Roman" w:hAnsi="Times New Roman" w:cs="Times New Roman"/>
          <w:sz w:val="24"/>
          <w:szCs w:val="24"/>
        </w:rPr>
        <w:t xml:space="preserve"> was flushed with dH</w:t>
      </w:r>
      <w:r w:rsidRPr="00640BBC">
        <w:rPr>
          <w:rFonts w:ascii="Times New Roman" w:hAnsi="Times New Roman" w:cs="Times New Roman"/>
          <w:sz w:val="24"/>
          <w:szCs w:val="24"/>
          <w:vertAlign w:val="subscript"/>
        </w:rPr>
        <w:t>2</w:t>
      </w:r>
      <w:r>
        <w:rPr>
          <w:rFonts w:ascii="Times New Roman" w:hAnsi="Times New Roman" w:cs="Times New Roman"/>
          <w:sz w:val="24"/>
          <w:szCs w:val="24"/>
        </w:rPr>
        <w:t>O followed by 20% (v/v) ethanol.</w:t>
      </w:r>
    </w:p>
    <w:p w:rsidR="002D7C9B" w:rsidRDefault="002D7C9B" w:rsidP="002D7C9B">
      <w:pPr>
        <w:rPr>
          <w:rFonts w:ascii="Times New Roman" w:hAnsi="Times New Roman" w:cs="Times New Roman"/>
          <w:sz w:val="28"/>
          <w:szCs w:val="28"/>
        </w:rPr>
      </w:pPr>
    </w:p>
    <w:p w:rsidR="002D7C9B" w:rsidRDefault="002D7C9B" w:rsidP="002D7C9B">
      <w:pPr>
        <w:spacing w:after="120" w:line="480" w:lineRule="auto"/>
        <w:jc w:val="both"/>
        <w:rPr>
          <w:rFonts w:ascii="Times New Roman" w:hAnsi="Times New Roman" w:cs="Times New Roman"/>
          <w:sz w:val="28"/>
          <w:szCs w:val="28"/>
        </w:rPr>
      </w:pPr>
      <w:r w:rsidRPr="00B3436C">
        <w:rPr>
          <w:rFonts w:ascii="Times New Roman" w:hAnsi="Times New Roman" w:cs="Times New Roman"/>
          <w:sz w:val="28"/>
          <w:szCs w:val="28"/>
        </w:rPr>
        <w:t>2.12.5</w:t>
      </w:r>
      <w:r>
        <w:rPr>
          <w:rFonts w:ascii="Times New Roman" w:hAnsi="Times New Roman" w:cs="Times New Roman"/>
          <w:sz w:val="28"/>
          <w:szCs w:val="28"/>
        </w:rPr>
        <w:t xml:space="preserve"> </w:t>
      </w:r>
      <w:r>
        <w:rPr>
          <w:rFonts w:ascii="Times New Roman" w:hAnsi="Times New Roman" w:cs="Times New Roman"/>
          <w:sz w:val="28"/>
          <w:szCs w:val="28"/>
        </w:rPr>
        <w:tab/>
        <w:t>Protein dialysis</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Fractions containing recombinant protein collected from Chapter 2.12.4 were combined and transferred to dialysis membrane tubing. Soluble proteins were dialysed in PBS for 24 h at 4 °C, with four buffer changes. Insoluble proteins were dialysed sequentially in PBS containing 4 M, 2 M, 1 M and 0 M urea over 24 h at 4 °C. Protein concentration was estimated using the BioRad colorimetric protein assay according to the manufacturers’ instructions.</w:t>
      </w:r>
    </w:p>
    <w:p w:rsidR="002D7C9B" w:rsidRDefault="002D7C9B" w:rsidP="002D7C9B">
      <w:pPr>
        <w:rPr>
          <w:rFonts w:ascii="Times New Roman" w:hAnsi="Times New Roman" w:cs="Times New Roman"/>
          <w:sz w:val="24"/>
          <w:szCs w:val="24"/>
        </w:rPr>
      </w:pPr>
    </w:p>
    <w:p w:rsidR="002D7C9B" w:rsidRDefault="002D7C9B" w:rsidP="002D7C9B">
      <w:pPr>
        <w:spacing w:before="120" w:after="120" w:line="480" w:lineRule="auto"/>
        <w:jc w:val="both"/>
        <w:rPr>
          <w:rFonts w:ascii="Times New Roman" w:hAnsi="Times New Roman" w:cs="Times New Roman"/>
          <w:sz w:val="28"/>
          <w:szCs w:val="28"/>
        </w:rPr>
      </w:pPr>
      <w:r>
        <w:rPr>
          <w:rFonts w:ascii="Times New Roman" w:hAnsi="Times New Roman" w:cs="Times New Roman"/>
          <w:sz w:val="28"/>
          <w:szCs w:val="28"/>
        </w:rPr>
        <w:t>2.13</w:t>
      </w:r>
      <w:r>
        <w:rPr>
          <w:rFonts w:ascii="Times New Roman" w:hAnsi="Times New Roman" w:cs="Times New Roman"/>
          <w:sz w:val="28"/>
          <w:szCs w:val="28"/>
        </w:rPr>
        <w:tab/>
      </w:r>
      <w:r>
        <w:rPr>
          <w:rFonts w:ascii="Times New Roman" w:hAnsi="Times New Roman" w:cs="Times New Roman"/>
          <w:sz w:val="28"/>
          <w:szCs w:val="28"/>
        </w:rPr>
        <w:tab/>
        <w:t>Growth experiments</w:t>
      </w:r>
    </w:p>
    <w:p w:rsidR="002D7C9B" w:rsidRPr="00C31C40" w:rsidRDefault="002D7C9B" w:rsidP="002D7C9B">
      <w:pPr>
        <w:spacing w:before="120" w:after="120" w:line="480" w:lineRule="auto"/>
        <w:jc w:val="both"/>
        <w:rPr>
          <w:rFonts w:ascii="Times New Roman" w:hAnsi="Times New Roman" w:cs="Times New Roman"/>
          <w:i/>
          <w:sz w:val="28"/>
          <w:szCs w:val="28"/>
        </w:rPr>
      </w:pPr>
      <w:r>
        <w:rPr>
          <w:rFonts w:ascii="Times New Roman" w:hAnsi="Times New Roman" w:cs="Times New Roman"/>
          <w:sz w:val="28"/>
          <w:szCs w:val="28"/>
        </w:rPr>
        <w:t>2.13.1</w:t>
      </w:r>
      <w:r>
        <w:rPr>
          <w:rFonts w:ascii="Times New Roman" w:hAnsi="Times New Roman" w:cs="Times New Roman"/>
          <w:sz w:val="28"/>
          <w:szCs w:val="28"/>
        </w:rPr>
        <w:tab/>
      </w:r>
      <w:r>
        <w:rPr>
          <w:rFonts w:ascii="Times New Roman" w:hAnsi="Times New Roman" w:cs="Times New Roman"/>
          <w:sz w:val="28"/>
          <w:szCs w:val="28"/>
        </w:rPr>
        <w:tab/>
      </w:r>
      <w:r w:rsidRPr="00C31C40">
        <w:rPr>
          <w:rFonts w:ascii="Times New Roman" w:hAnsi="Times New Roman" w:cs="Times New Roman"/>
          <w:sz w:val="28"/>
          <w:szCs w:val="28"/>
        </w:rPr>
        <w:t xml:space="preserve">Pulse-chase labelling of nascent cell wall synthesis in </w:t>
      </w:r>
      <w:r w:rsidRPr="00C31C40">
        <w:rPr>
          <w:rFonts w:ascii="Times New Roman" w:hAnsi="Times New Roman" w:cs="Times New Roman"/>
          <w:i/>
          <w:sz w:val="28"/>
          <w:szCs w:val="28"/>
        </w:rPr>
        <w:t>S. aureus</w:t>
      </w:r>
    </w:p>
    <w:p w:rsidR="002D7C9B" w:rsidRPr="00EF3086" w:rsidRDefault="002D7C9B" w:rsidP="002D7C9B">
      <w:pPr>
        <w:spacing w:before="120"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An overnight culture was prepared in BHI supplemented with 125 mM </w:t>
      </w:r>
      <w:r w:rsidRPr="00412518">
        <w:rPr>
          <w:rFonts w:ascii="Times New Roman" w:hAnsi="Times New Roman" w:cs="Times New Roman"/>
          <w:sz w:val="16"/>
          <w:szCs w:val="16"/>
        </w:rPr>
        <w:t>D</w:t>
      </w:r>
      <w:r>
        <w:rPr>
          <w:rFonts w:ascii="Times New Roman" w:hAnsi="Times New Roman" w:cs="Times New Roman"/>
          <w:sz w:val="24"/>
          <w:szCs w:val="24"/>
        </w:rPr>
        <w:t xml:space="preserve">-serine, and used to inoculate a 50 ml culture of pre-warmed BHI containing 125 mM </w:t>
      </w:r>
      <w:r w:rsidRPr="00412518">
        <w:rPr>
          <w:rFonts w:ascii="Times New Roman" w:hAnsi="Times New Roman" w:cs="Times New Roman"/>
          <w:sz w:val="16"/>
          <w:szCs w:val="16"/>
        </w:rPr>
        <w:t>D</w:t>
      </w:r>
      <w:r>
        <w:rPr>
          <w:rFonts w:ascii="Times New Roman" w:hAnsi="Times New Roman" w:cs="Times New Roman"/>
          <w:sz w:val="24"/>
          <w:szCs w:val="24"/>
        </w:rPr>
        <w:t>-serine to OD</w:t>
      </w:r>
      <w:r w:rsidRPr="00EE0B71">
        <w:rPr>
          <w:rFonts w:ascii="Times New Roman" w:hAnsi="Times New Roman" w:cs="Times New Roman"/>
          <w:sz w:val="24"/>
          <w:szCs w:val="24"/>
          <w:vertAlign w:val="subscript"/>
        </w:rPr>
        <w:t>600</w:t>
      </w:r>
      <w:r w:rsidRPr="00EE0B71">
        <w:rPr>
          <w:rFonts w:ascii="Times New Roman" w:hAnsi="Times New Roman" w:cs="Times New Roman"/>
          <w:sz w:val="24"/>
          <w:szCs w:val="24"/>
        </w:rPr>
        <w:t xml:space="preserve"> </w:t>
      </w:r>
      <w:r>
        <w:rPr>
          <w:rFonts w:ascii="Times New Roman" w:hAnsi="Times New Roman" w:cs="Times New Roman"/>
          <w:sz w:val="24"/>
          <w:szCs w:val="24"/>
        </w:rPr>
        <w:t>0.01. The culture was incubated at 37 °C with aeration at 250 rpm. At an OD</w:t>
      </w:r>
      <w:r w:rsidRPr="00EE0B71">
        <w:rPr>
          <w:rFonts w:ascii="Times New Roman" w:hAnsi="Times New Roman" w:cs="Times New Roman"/>
          <w:sz w:val="24"/>
          <w:szCs w:val="24"/>
          <w:vertAlign w:val="subscript"/>
        </w:rPr>
        <w:t>600</w:t>
      </w:r>
      <w:r>
        <w:rPr>
          <w:rFonts w:ascii="Times New Roman" w:hAnsi="Times New Roman" w:cs="Times New Roman"/>
          <w:sz w:val="24"/>
          <w:szCs w:val="24"/>
        </w:rPr>
        <w:t xml:space="preserve"> of approximately 0.4, </w:t>
      </w:r>
      <w:r w:rsidRPr="00EF3086">
        <w:rPr>
          <w:rFonts w:ascii="Times New Roman" w:hAnsi="Times New Roman" w:cs="Times New Roman"/>
          <w:sz w:val="24"/>
          <w:szCs w:val="24"/>
        </w:rPr>
        <w:t xml:space="preserve">the </w:t>
      </w:r>
      <w:r>
        <w:rPr>
          <w:rFonts w:ascii="Times New Roman" w:hAnsi="Times New Roman" w:cs="Times New Roman"/>
          <w:sz w:val="24"/>
          <w:szCs w:val="24"/>
        </w:rPr>
        <w:t xml:space="preserve">cells were harvested by centrifugation at 5000 rpm for 10 min </w:t>
      </w:r>
      <w:r>
        <w:rPr>
          <w:rFonts w:ascii="Times New Roman" w:hAnsi="Times New Roman" w:cs="Times New Roman"/>
          <w:sz w:val="24"/>
          <w:szCs w:val="24"/>
        </w:rPr>
        <w:lastRenderedPageBreak/>
        <w:t xml:space="preserve">at room temperature. The cell pellets were washed three times in 1 ml BHI by centrifugation at 13,000 rpm for 1 min at room temperature, </w:t>
      </w:r>
      <w:proofErr w:type="gramStart"/>
      <w:r>
        <w:rPr>
          <w:rFonts w:ascii="Times New Roman" w:hAnsi="Times New Roman" w:cs="Times New Roman"/>
          <w:sz w:val="24"/>
          <w:szCs w:val="24"/>
        </w:rPr>
        <w:t>then</w:t>
      </w:r>
      <w:proofErr w:type="gramEnd"/>
      <w:r>
        <w:rPr>
          <w:rFonts w:ascii="Times New Roman" w:hAnsi="Times New Roman" w:cs="Times New Roman"/>
          <w:sz w:val="24"/>
          <w:szCs w:val="24"/>
        </w:rPr>
        <w:t xml:space="preserve"> resuspended in 50 ml pre-warmed BHI without </w:t>
      </w:r>
      <w:r w:rsidRPr="00412518">
        <w:rPr>
          <w:rFonts w:ascii="Times New Roman" w:hAnsi="Times New Roman" w:cs="Times New Roman"/>
          <w:sz w:val="16"/>
          <w:szCs w:val="16"/>
        </w:rPr>
        <w:t>D</w:t>
      </w:r>
      <w:r>
        <w:rPr>
          <w:rFonts w:ascii="Times New Roman" w:hAnsi="Times New Roman" w:cs="Times New Roman"/>
          <w:sz w:val="24"/>
          <w:szCs w:val="24"/>
        </w:rPr>
        <w:t xml:space="preserve">-serine. The culture was incubated at 37 °C with aeration at 250 rpm for approximately one doubling time (~25 min), which was confirmed by doubling of optical density. The media was then supplemented with </w:t>
      </w:r>
      <w:r w:rsidRPr="00412518">
        <w:rPr>
          <w:rFonts w:ascii="Times New Roman" w:hAnsi="Times New Roman" w:cs="Times New Roman"/>
          <w:sz w:val="16"/>
          <w:szCs w:val="16"/>
        </w:rPr>
        <w:t>D</w:t>
      </w:r>
      <w:r>
        <w:rPr>
          <w:rFonts w:ascii="Times New Roman" w:hAnsi="Times New Roman" w:cs="Times New Roman"/>
          <w:sz w:val="24"/>
          <w:szCs w:val="24"/>
        </w:rPr>
        <w:t xml:space="preserve">-serine at 125 mM final concentration. One millilitre samples were extracted at 15 minute intervals, transferred to an microcentrifuge tube containing </w:t>
      </w:r>
      <w:r w:rsidRPr="00EE0B71">
        <w:rPr>
          <w:rFonts w:ascii="Times New Roman" w:hAnsi="Times New Roman" w:cs="Times New Roman"/>
          <w:sz w:val="24"/>
          <w:szCs w:val="24"/>
        </w:rPr>
        <w:t xml:space="preserve">1.0 </w:t>
      </w:r>
      <w:r>
        <w:rPr>
          <w:rFonts w:ascii="Times New Roman" w:hAnsi="Times New Roman" w:cs="Times New Roman"/>
          <w:sz w:val="24"/>
          <w:szCs w:val="24"/>
        </w:rPr>
        <w:t>µg ml</w:t>
      </w:r>
      <w:r w:rsidRPr="00A77109">
        <w:rPr>
          <w:rFonts w:ascii="Times New Roman" w:hAnsi="Times New Roman" w:cs="Times New Roman"/>
          <w:sz w:val="24"/>
          <w:szCs w:val="24"/>
          <w:vertAlign w:val="superscript"/>
        </w:rPr>
        <w:t>-1</w:t>
      </w:r>
      <w:r w:rsidRPr="00EE0B71">
        <w:rPr>
          <w:rFonts w:ascii="Times New Roman" w:hAnsi="Times New Roman" w:cs="Times New Roman"/>
          <w:sz w:val="24"/>
          <w:szCs w:val="24"/>
        </w:rPr>
        <w:t xml:space="preserve"> of a 1:1 mix of vancomycin (Sigma):vancomycin-BODIPY (Invitrogen)</w:t>
      </w:r>
      <w:r>
        <w:rPr>
          <w:rFonts w:ascii="Times New Roman" w:hAnsi="Times New Roman" w:cs="Times New Roman"/>
          <w:sz w:val="24"/>
          <w:szCs w:val="24"/>
        </w:rPr>
        <w:t xml:space="preserve"> </w:t>
      </w:r>
      <w:r w:rsidRPr="00EE0B71">
        <w:rPr>
          <w:rFonts w:ascii="Times New Roman" w:hAnsi="Times New Roman" w:cs="Times New Roman"/>
          <w:sz w:val="24"/>
          <w:szCs w:val="24"/>
        </w:rPr>
        <w:t>and incubated for 5 min</w:t>
      </w:r>
      <w:r>
        <w:rPr>
          <w:rFonts w:ascii="Times New Roman" w:hAnsi="Times New Roman" w:cs="Times New Roman"/>
          <w:sz w:val="24"/>
          <w:szCs w:val="24"/>
        </w:rPr>
        <w:t xml:space="preserve"> at the appropriate growth temperature on a rotary mixer</w:t>
      </w:r>
      <w:r w:rsidRPr="00EE0B71">
        <w:rPr>
          <w:rFonts w:ascii="Times New Roman" w:hAnsi="Times New Roman" w:cs="Times New Roman"/>
          <w:sz w:val="24"/>
          <w:szCs w:val="24"/>
        </w:rPr>
        <w:t>.</w:t>
      </w:r>
      <w:r>
        <w:rPr>
          <w:rFonts w:ascii="Times New Roman" w:hAnsi="Times New Roman" w:cs="Times New Roman"/>
          <w:sz w:val="24"/>
          <w:szCs w:val="24"/>
        </w:rPr>
        <w:t xml:space="preserve"> Labelled cells were washed once with PBS then fixed (Chapter 2.15.1) and labelled with vancomycin (Chapter 2.15.2).</w:t>
      </w:r>
    </w:p>
    <w:p w:rsidR="002D7C9B" w:rsidRDefault="002D7C9B" w:rsidP="002D7C9B">
      <w:pPr>
        <w:spacing w:after="120" w:line="480" w:lineRule="auto"/>
        <w:jc w:val="both"/>
        <w:rPr>
          <w:rFonts w:ascii="Times New Roman" w:hAnsi="Times New Roman" w:cs="Times New Roman"/>
          <w:sz w:val="24"/>
          <w:szCs w:val="24"/>
        </w:rPr>
      </w:pPr>
    </w:p>
    <w:p w:rsidR="002D7C9B" w:rsidRDefault="002D7C9B" w:rsidP="002D7C9B">
      <w:pPr>
        <w:spacing w:after="120" w:line="480" w:lineRule="auto"/>
        <w:jc w:val="both"/>
        <w:rPr>
          <w:rFonts w:ascii="Times New Roman" w:hAnsi="Times New Roman" w:cs="Times New Roman"/>
          <w:sz w:val="28"/>
          <w:szCs w:val="28"/>
        </w:rPr>
      </w:pPr>
      <w:r w:rsidRPr="00736CB7">
        <w:rPr>
          <w:rFonts w:ascii="Times New Roman" w:hAnsi="Times New Roman" w:cs="Times New Roman"/>
          <w:sz w:val="28"/>
          <w:szCs w:val="28"/>
        </w:rPr>
        <w:t>2.13.2</w:t>
      </w:r>
      <w:r>
        <w:rPr>
          <w:rFonts w:ascii="Times New Roman" w:hAnsi="Times New Roman" w:cs="Times New Roman"/>
          <w:sz w:val="28"/>
          <w:szCs w:val="28"/>
        </w:rPr>
        <w:tab/>
      </w:r>
      <w:r w:rsidRPr="00736CB7">
        <w:rPr>
          <w:rFonts w:ascii="Times New Roman" w:hAnsi="Times New Roman" w:cs="Times New Roman"/>
          <w:sz w:val="28"/>
          <w:szCs w:val="28"/>
        </w:rPr>
        <w:tab/>
      </w:r>
      <w:r>
        <w:rPr>
          <w:rFonts w:ascii="Times New Roman" w:hAnsi="Times New Roman" w:cs="Times New Roman"/>
          <w:sz w:val="28"/>
          <w:szCs w:val="28"/>
        </w:rPr>
        <w:t xml:space="preserve">Growth of an IPTG-inducible conditional </w:t>
      </w:r>
      <w:r>
        <w:rPr>
          <w:rFonts w:ascii="Times New Roman" w:hAnsi="Times New Roman" w:cs="Times New Roman"/>
          <w:i/>
          <w:sz w:val="28"/>
          <w:szCs w:val="28"/>
        </w:rPr>
        <w:t xml:space="preserve">S. aureus </w:t>
      </w:r>
      <w:r>
        <w:rPr>
          <w:rFonts w:ascii="Times New Roman" w:hAnsi="Times New Roman" w:cs="Times New Roman"/>
          <w:sz w:val="28"/>
          <w:szCs w:val="28"/>
        </w:rPr>
        <w:t xml:space="preserve">mutant </w:t>
      </w:r>
    </w:p>
    <w:p w:rsidR="002D7C9B" w:rsidRPr="004D3C9C" w:rsidRDefault="002D7C9B" w:rsidP="002D7C9B">
      <w:pPr>
        <w:spacing w:after="120" w:line="480" w:lineRule="auto"/>
        <w:jc w:val="both"/>
        <w:rPr>
          <w:rFonts w:ascii="Times New Roman" w:hAnsi="Times New Roman" w:cs="Times New Roman"/>
          <w:sz w:val="24"/>
          <w:szCs w:val="24"/>
        </w:rPr>
      </w:pPr>
      <w:r w:rsidRPr="00D517D6">
        <w:rPr>
          <w:rFonts w:ascii="Times New Roman" w:hAnsi="Times New Roman" w:cs="Times New Roman"/>
          <w:sz w:val="24"/>
          <w:szCs w:val="24"/>
        </w:rPr>
        <w:t xml:space="preserve">The </w:t>
      </w:r>
      <w:r>
        <w:rPr>
          <w:rFonts w:ascii="Times New Roman" w:hAnsi="Times New Roman" w:cs="Times New Roman"/>
          <w:sz w:val="24"/>
          <w:szCs w:val="24"/>
        </w:rPr>
        <w:t xml:space="preserve">conditional </w:t>
      </w:r>
      <w:r w:rsidRPr="00D517D6">
        <w:rPr>
          <w:rFonts w:ascii="Times New Roman" w:hAnsi="Times New Roman" w:cs="Times New Roman"/>
          <w:sz w:val="24"/>
          <w:szCs w:val="24"/>
        </w:rPr>
        <w:t xml:space="preserve">mutant was </w:t>
      </w:r>
      <w:r>
        <w:rPr>
          <w:rFonts w:ascii="Times New Roman" w:hAnsi="Times New Roman" w:cs="Times New Roman"/>
          <w:sz w:val="24"/>
          <w:szCs w:val="24"/>
        </w:rPr>
        <w:t>streaked to single colonies</w:t>
      </w:r>
      <w:r w:rsidRPr="00D517D6">
        <w:rPr>
          <w:rFonts w:ascii="Times New Roman" w:hAnsi="Times New Roman" w:cs="Times New Roman"/>
          <w:sz w:val="24"/>
          <w:szCs w:val="24"/>
        </w:rPr>
        <w:t xml:space="preserve"> onto TSA containing </w:t>
      </w:r>
      <w:proofErr w:type="gramStart"/>
      <w:r w:rsidRPr="00D517D6">
        <w:rPr>
          <w:rFonts w:ascii="Times New Roman" w:hAnsi="Times New Roman" w:cs="Times New Roman"/>
          <w:sz w:val="24"/>
          <w:szCs w:val="24"/>
        </w:rPr>
        <w:t xml:space="preserve">30 </w:t>
      </w:r>
      <w:r>
        <w:rPr>
          <w:rFonts w:ascii="Times New Roman" w:hAnsi="Times New Roman" w:cs="Times New Roman"/>
          <w:sz w:val="24"/>
          <w:szCs w:val="24"/>
        </w:rPr>
        <w:t>µg ml</w:t>
      </w:r>
      <w:r w:rsidRPr="00D517D6">
        <w:rPr>
          <w:rFonts w:ascii="Times New Roman" w:hAnsi="Times New Roman" w:cs="Times New Roman"/>
          <w:sz w:val="24"/>
          <w:szCs w:val="24"/>
          <w:vertAlign w:val="superscript"/>
        </w:rPr>
        <w:t>-1</w:t>
      </w:r>
      <w:r w:rsidRPr="00D517D6">
        <w:rPr>
          <w:rFonts w:ascii="Times New Roman" w:hAnsi="Times New Roman" w:cs="Times New Roman"/>
          <w:sz w:val="24"/>
          <w:szCs w:val="24"/>
        </w:rPr>
        <w:t xml:space="preserve"> </w:t>
      </w:r>
      <w:r>
        <w:rPr>
          <w:rFonts w:ascii="Times New Roman" w:hAnsi="Times New Roman" w:cs="Times New Roman"/>
          <w:sz w:val="24"/>
          <w:szCs w:val="24"/>
        </w:rPr>
        <w:t>chloramphenicol, without IPTG,</w:t>
      </w:r>
      <w:proofErr w:type="gramEnd"/>
      <w:r>
        <w:rPr>
          <w:rFonts w:ascii="Times New Roman" w:hAnsi="Times New Roman" w:cs="Times New Roman"/>
          <w:sz w:val="24"/>
          <w:szCs w:val="24"/>
        </w:rPr>
        <w:t xml:space="preserve"> and incubated at 37 °C for 24-36 h. A single colony</w:t>
      </w:r>
      <w:r w:rsidRPr="00D517D6">
        <w:rPr>
          <w:rFonts w:ascii="Times New Roman" w:hAnsi="Times New Roman" w:cs="Times New Roman"/>
          <w:sz w:val="24"/>
          <w:szCs w:val="24"/>
        </w:rPr>
        <w:t xml:space="preserve"> inoculated into 10 ml TSB containing 30 </w:t>
      </w:r>
      <w:r>
        <w:rPr>
          <w:rFonts w:ascii="Times New Roman" w:hAnsi="Times New Roman" w:cs="Times New Roman"/>
          <w:sz w:val="24"/>
          <w:szCs w:val="24"/>
        </w:rPr>
        <w:t>µg ml</w:t>
      </w:r>
      <w:r w:rsidRPr="00D517D6">
        <w:rPr>
          <w:rFonts w:ascii="Times New Roman" w:hAnsi="Times New Roman" w:cs="Times New Roman"/>
          <w:sz w:val="24"/>
          <w:szCs w:val="24"/>
          <w:vertAlign w:val="superscript"/>
        </w:rPr>
        <w:t>-1</w:t>
      </w:r>
      <w:r w:rsidRPr="00D517D6">
        <w:rPr>
          <w:rFonts w:ascii="Times New Roman" w:hAnsi="Times New Roman" w:cs="Times New Roman"/>
          <w:sz w:val="24"/>
          <w:szCs w:val="24"/>
        </w:rPr>
        <w:t xml:space="preserve"> </w:t>
      </w:r>
      <w:r>
        <w:rPr>
          <w:rFonts w:ascii="Times New Roman" w:hAnsi="Times New Roman" w:cs="Times New Roman"/>
          <w:sz w:val="24"/>
          <w:szCs w:val="24"/>
        </w:rPr>
        <w:t xml:space="preserve">chloramphenicol and no IPTG and incubated for ~8 h at 37 °C with aeration. Exponential phase cells were sonicated gently with a Sanyo Soniprep 150 for ~30 s to disperse aggregates. The optical density of dispersed cells was measured. The suspension was then used to inoculate 400ml pre-warmed TSB containing </w:t>
      </w:r>
      <w:r w:rsidRPr="00D517D6">
        <w:rPr>
          <w:rFonts w:ascii="Times New Roman" w:hAnsi="Times New Roman" w:cs="Times New Roman"/>
          <w:sz w:val="24"/>
          <w:szCs w:val="24"/>
        </w:rPr>
        <w:t xml:space="preserve">30 </w:t>
      </w:r>
      <w:r>
        <w:rPr>
          <w:rFonts w:ascii="Times New Roman" w:hAnsi="Times New Roman" w:cs="Times New Roman"/>
          <w:sz w:val="24"/>
          <w:szCs w:val="24"/>
        </w:rPr>
        <w:t>µg ml</w:t>
      </w:r>
      <w:r w:rsidRPr="00D517D6">
        <w:rPr>
          <w:rFonts w:ascii="Times New Roman" w:hAnsi="Times New Roman" w:cs="Times New Roman"/>
          <w:sz w:val="24"/>
          <w:szCs w:val="24"/>
          <w:vertAlign w:val="superscript"/>
        </w:rPr>
        <w:t>-1</w:t>
      </w:r>
      <w:r w:rsidRPr="00D517D6">
        <w:rPr>
          <w:rFonts w:ascii="Times New Roman" w:hAnsi="Times New Roman" w:cs="Times New Roman"/>
          <w:sz w:val="24"/>
          <w:szCs w:val="24"/>
        </w:rPr>
        <w:t xml:space="preserve"> </w:t>
      </w:r>
      <w:r>
        <w:rPr>
          <w:rFonts w:ascii="Times New Roman" w:hAnsi="Times New Roman" w:cs="Times New Roman"/>
          <w:sz w:val="24"/>
          <w:szCs w:val="24"/>
        </w:rPr>
        <w:t>chloramphenicol, and either 0 M or 1 mM IPTG, to equivalent OD</w:t>
      </w:r>
      <w:r w:rsidRPr="004D3C9C">
        <w:rPr>
          <w:rFonts w:ascii="Times New Roman" w:hAnsi="Times New Roman" w:cs="Times New Roman"/>
          <w:sz w:val="24"/>
          <w:szCs w:val="24"/>
          <w:vertAlign w:val="subscript"/>
        </w:rPr>
        <w:t>600</w:t>
      </w:r>
      <w:r>
        <w:rPr>
          <w:rFonts w:ascii="Times New Roman" w:hAnsi="Times New Roman" w:cs="Times New Roman"/>
          <w:sz w:val="24"/>
          <w:szCs w:val="24"/>
        </w:rPr>
        <w:t xml:space="preserve"> 10</w:t>
      </w:r>
      <w:r w:rsidRPr="004D3C9C">
        <w:rPr>
          <w:rFonts w:ascii="Times New Roman" w:hAnsi="Times New Roman" w:cs="Times New Roman"/>
          <w:sz w:val="24"/>
          <w:szCs w:val="24"/>
          <w:vertAlign w:val="superscript"/>
        </w:rPr>
        <w:t>-5</w:t>
      </w:r>
      <w:r>
        <w:rPr>
          <w:rFonts w:ascii="Times New Roman" w:hAnsi="Times New Roman" w:cs="Times New Roman"/>
          <w:sz w:val="24"/>
          <w:szCs w:val="24"/>
        </w:rPr>
        <w:t xml:space="preserve"> (~10</w:t>
      </w:r>
      <w:r>
        <w:rPr>
          <w:rFonts w:ascii="Times New Roman" w:hAnsi="Times New Roman" w:cs="Times New Roman"/>
          <w:sz w:val="24"/>
          <w:szCs w:val="24"/>
          <w:vertAlign w:val="superscript"/>
        </w:rPr>
        <w:t xml:space="preserve">4 </w:t>
      </w:r>
      <w:r>
        <w:rPr>
          <w:rFonts w:ascii="Times New Roman" w:hAnsi="Times New Roman" w:cs="Times New Roman"/>
          <w:sz w:val="24"/>
          <w:szCs w:val="24"/>
        </w:rPr>
        <w:t>cfu ml</w:t>
      </w:r>
      <w:r w:rsidRPr="004D3C9C">
        <w:rPr>
          <w:rFonts w:ascii="Times New Roman" w:hAnsi="Times New Roman" w:cs="Times New Roman"/>
          <w:sz w:val="24"/>
          <w:szCs w:val="24"/>
          <w:vertAlign w:val="superscript"/>
        </w:rPr>
        <w:t>-1</w:t>
      </w:r>
      <w:r>
        <w:rPr>
          <w:rFonts w:ascii="Times New Roman" w:hAnsi="Times New Roman" w:cs="Times New Roman"/>
          <w:sz w:val="24"/>
          <w:szCs w:val="24"/>
        </w:rPr>
        <w:t>). Optical density was measured every hour for growth experiments. Cell were harvested at OD</w:t>
      </w:r>
      <w:r w:rsidRPr="003320D4">
        <w:rPr>
          <w:rFonts w:ascii="Times New Roman" w:hAnsi="Times New Roman" w:cs="Times New Roman"/>
          <w:sz w:val="24"/>
          <w:szCs w:val="24"/>
          <w:vertAlign w:val="subscript"/>
        </w:rPr>
        <w:t>600</w:t>
      </w:r>
      <w:r>
        <w:rPr>
          <w:rFonts w:ascii="Times New Roman" w:hAnsi="Times New Roman" w:cs="Times New Roman"/>
          <w:sz w:val="24"/>
          <w:szCs w:val="24"/>
        </w:rPr>
        <w:t xml:space="preserve"> 0.5 for phenotype analysis.</w:t>
      </w:r>
    </w:p>
    <w:p w:rsidR="002D7C9B" w:rsidRDefault="002D7C9B" w:rsidP="002D7C9B">
      <w:pPr>
        <w:spacing w:after="120" w:line="480" w:lineRule="auto"/>
        <w:jc w:val="both"/>
        <w:rPr>
          <w:rFonts w:ascii="Times New Roman" w:hAnsi="Times New Roman" w:cs="Times New Roman"/>
          <w:sz w:val="24"/>
          <w:szCs w:val="24"/>
        </w:rPr>
      </w:pPr>
    </w:p>
    <w:p w:rsidR="002D7C9B" w:rsidRDefault="002D7C9B" w:rsidP="002D7C9B">
      <w:pPr>
        <w:spacing w:after="120" w:line="480" w:lineRule="auto"/>
        <w:jc w:val="both"/>
        <w:rPr>
          <w:rFonts w:ascii="Times New Roman" w:hAnsi="Times New Roman" w:cs="Times New Roman"/>
          <w:sz w:val="28"/>
          <w:szCs w:val="28"/>
        </w:rPr>
      </w:pPr>
      <w:r w:rsidRPr="003320D4">
        <w:rPr>
          <w:rFonts w:ascii="Times New Roman" w:hAnsi="Times New Roman" w:cs="Times New Roman"/>
          <w:sz w:val="28"/>
          <w:szCs w:val="28"/>
        </w:rPr>
        <w:t>2.13.3</w:t>
      </w:r>
      <w:r w:rsidRPr="003320D4">
        <w:rPr>
          <w:rFonts w:ascii="Times New Roman" w:hAnsi="Times New Roman" w:cs="Times New Roman"/>
          <w:sz w:val="28"/>
          <w:szCs w:val="28"/>
        </w:rPr>
        <w:tab/>
      </w:r>
      <w:r w:rsidRPr="003320D4">
        <w:rPr>
          <w:rFonts w:ascii="Times New Roman" w:hAnsi="Times New Roman" w:cs="Times New Roman"/>
          <w:sz w:val="28"/>
          <w:szCs w:val="28"/>
        </w:rPr>
        <w:tab/>
        <w:t xml:space="preserve">Growth </w:t>
      </w:r>
      <w:r>
        <w:rPr>
          <w:rFonts w:ascii="Times New Roman" w:hAnsi="Times New Roman" w:cs="Times New Roman"/>
          <w:sz w:val="28"/>
          <w:szCs w:val="28"/>
        </w:rPr>
        <w:t>at</w:t>
      </w:r>
      <w:r w:rsidRPr="003320D4">
        <w:rPr>
          <w:rFonts w:ascii="Times New Roman" w:hAnsi="Times New Roman" w:cs="Times New Roman"/>
          <w:sz w:val="28"/>
          <w:szCs w:val="28"/>
        </w:rPr>
        <w:t xml:space="preserve"> </w:t>
      </w:r>
      <w:r>
        <w:rPr>
          <w:rFonts w:ascii="Times New Roman" w:hAnsi="Times New Roman" w:cs="Times New Roman"/>
          <w:sz w:val="28"/>
          <w:szCs w:val="28"/>
        </w:rPr>
        <w:t>high salt concentration</w:t>
      </w:r>
    </w:p>
    <w:p w:rsidR="002D7C9B" w:rsidRPr="003320D4"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For studies of salt sensitivity, TSA media was prepared with various concentrations of NaCl up to 2.0 M, and autoclaved. The presence of salt affected the melting temperature of the </w:t>
      </w:r>
      <w:proofErr w:type="gramStart"/>
      <w:r>
        <w:rPr>
          <w:rFonts w:ascii="Times New Roman" w:hAnsi="Times New Roman" w:cs="Times New Roman"/>
          <w:sz w:val="24"/>
          <w:szCs w:val="24"/>
        </w:rPr>
        <w:t>agar,</w:t>
      </w:r>
      <w:proofErr w:type="gramEnd"/>
      <w:r>
        <w:rPr>
          <w:rFonts w:ascii="Times New Roman" w:hAnsi="Times New Roman" w:cs="Times New Roman"/>
          <w:sz w:val="24"/>
          <w:szCs w:val="24"/>
        </w:rPr>
        <w:t xml:space="preserve"> therefore molten media was removed from the autoclave and cooled to ~60 °C with addition of appropriate antibiotics immediately before pouring of plates.</w:t>
      </w:r>
    </w:p>
    <w:p w:rsidR="002D7C9B" w:rsidRPr="00CB7907"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For the salt sensitivity assay, </w:t>
      </w:r>
      <w:r>
        <w:rPr>
          <w:rFonts w:ascii="Times New Roman" w:hAnsi="Times New Roman" w:cs="Times New Roman"/>
          <w:i/>
          <w:sz w:val="24"/>
          <w:szCs w:val="24"/>
        </w:rPr>
        <w:t>S. aureus</w:t>
      </w:r>
      <w:r>
        <w:rPr>
          <w:rFonts w:ascii="Times New Roman" w:hAnsi="Times New Roman" w:cs="Times New Roman"/>
          <w:sz w:val="24"/>
          <w:szCs w:val="24"/>
        </w:rPr>
        <w:t xml:space="preserve"> strains were grown to mid-exponential phase in TSB, washed once in PBS, then adjusted to OD</w:t>
      </w:r>
      <w:r w:rsidRPr="00CB7907">
        <w:rPr>
          <w:rFonts w:ascii="Times New Roman" w:hAnsi="Times New Roman" w:cs="Times New Roman"/>
          <w:sz w:val="24"/>
          <w:szCs w:val="24"/>
          <w:vertAlign w:val="subscript"/>
        </w:rPr>
        <w:t>600</w:t>
      </w:r>
      <w:r>
        <w:rPr>
          <w:rFonts w:ascii="Times New Roman" w:hAnsi="Times New Roman" w:cs="Times New Roman"/>
          <w:sz w:val="24"/>
          <w:szCs w:val="24"/>
          <w:vertAlign w:val="superscript"/>
        </w:rPr>
        <w:t xml:space="preserve"> </w:t>
      </w:r>
      <w:r>
        <w:rPr>
          <w:rFonts w:ascii="Times New Roman" w:hAnsi="Times New Roman" w:cs="Times New Roman"/>
          <w:sz w:val="24"/>
          <w:szCs w:val="24"/>
        </w:rPr>
        <w:t>0.1. Ten-fold serial dilutions were prepared, and 5 µl or 10 µl of each cell suspension spotted onto TSA-NaCl plates.</w:t>
      </w:r>
    </w:p>
    <w:p w:rsidR="002D7C9B" w:rsidRPr="00B3436C" w:rsidRDefault="002D7C9B" w:rsidP="002D7C9B">
      <w:pPr>
        <w:spacing w:after="120" w:line="480" w:lineRule="auto"/>
        <w:jc w:val="both"/>
        <w:rPr>
          <w:rFonts w:ascii="Times New Roman" w:hAnsi="Times New Roman" w:cs="Times New Roman"/>
          <w:sz w:val="24"/>
          <w:szCs w:val="24"/>
        </w:rPr>
      </w:pPr>
    </w:p>
    <w:p w:rsidR="002D7C9B" w:rsidRPr="0076399D" w:rsidRDefault="002D7C9B" w:rsidP="002D7C9B">
      <w:pPr>
        <w:spacing w:after="120" w:line="480" w:lineRule="auto"/>
        <w:jc w:val="both"/>
        <w:rPr>
          <w:rFonts w:ascii="Times New Roman" w:hAnsi="Times New Roman" w:cs="Times New Roman"/>
          <w:sz w:val="28"/>
          <w:szCs w:val="28"/>
        </w:rPr>
      </w:pPr>
      <w:r w:rsidRPr="0076399D">
        <w:rPr>
          <w:rFonts w:ascii="Times New Roman" w:hAnsi="Times New Roman" w:cs="Times New Roman"/>
          <w:sz w:val="28"/>
          <w:szCs w:val="28"/>
        </w:rPr>
        <w:t>2.</w:t>
      </w:r>
      <w:r>
        <w:rPr>
          <w:rFonts w:ascii="Times New Roman" w:hAnsi="Times New Roman" w:cs="Times New Roman"/>
          <w:sz w:val="28"/>
          <w:szCs w:val="28"/>
        </w:rPr>
        <w:t>14</w:t>
      </w:r>
      <w:r w:rsidRPr="0076399D">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sidRPr="0076399D">
        <w:rPr>
          <w:rFonts w:ascii="Times New Roman" w:hAnsi="Times New Roman" w:cs="Times New Roman"/>
          <w:sz w:val="28"/>
          <w:szCs w:val="28"/>
        </w:rPr>
        <w:t xml:space="preserve">Preparation of </w:t>
      </w:r>
      <w:r>
        <w:rPr>
          <w:rFonts w:ascii="Times New Roman" w:hAnsi="Times New Roman" w:cs="Times New Roman"/>
          <w:sz w:val="28"/>
          <w:szCs w:val="28"/>
        </w:rPr>
        <w:t xml:space="preserve">purified </w:t>
      </w:r>
      <w:r w:rsidRPr="0076399D">
        <w:rPr>
          <w:rFonts w:ascii="Times New Roman" w:hAnsi="Times New Roman" w:cs="Times New Roman"/>
          <w:sz w:val="28"/>
          <w:szCs w:val="28"/>
        </w:rPr>
        <w:t>cell walls</w:t>
      </w:r>
      <w:r>
        <w:rPr>
          <w:rFonts w:ascii="Times New Roman" w:hAnsi="Times New Roman" w:cs="Times New Roman"/>
          <w:sz w:val="28"/>
          <w:szCs w:val="28"/>
        </w:rPr>
        <w:t xml:space="preserve"> and sacculi</w:t>
      </w:r>
    </w:p>
    <w:p w:rsidR="002D7C9B" w:rsidRDefault="002D7C9B" w:rsidP="002D7C9B">
      <w:pPr>
        <w:spacing w:after="120" w:line="480" w:lineRule="auto"/>
        <w:jc w:val="both"/>
        <w:rPr>
          <w:rFonts w:ascii="Times New Roman" w:hAnsi="Times New Roman" w:cs="Times New Roman"/>
          <w:sz w:val="24"/>
          <w:szCs w:val="24"/>
        </w:rPr>
      </w:pPr>
      <w:r w:rsidRPr="0076399D">
        <w:rPr>
          <w:rFonts w:ascii="Times New Roman" w:hAnsi="Times New Roman" w:cs="Times New Roman"/>
          <w:sz w:val="28"/>
          <w:szCs w:val="28"/>
        </w:rPr>
        <w:t>2.</w:t>
      </w:r>
      <w:r>
        <w:rPr>
          <w:rFonts w:ascii="Times New Roman" w:hAnsi="Times New Roman" w:cs="Times New Roman"/>
          <w:sz w:val="28"/>
          <w:szCs w:val="28"/>
        </w:rPr>
        <w:t>14</w:t>
      </w:r>
      <w:r w:rsidRPr="0076399D">
        <w:rPr>
          <w:rFonts w:ascii="Times New Roman" w:hAnsi="Times New Roman" w:cs="Times New Roman"/>
          <w:sz w:val="28"/>
          <w:szCs w:val="28"/>
        </w:rPr>
        <w:t>.1</w:t>
      </w:r>
      <w:r w:rsidRPr="0076399D">
        <w:rPr>
          <w:rFonts w:ascii="Times New Roman" w:hAnsi="Times New Roman" w:cs="Times New Roman"/>
          <w:sz w:val="24"/>
          <w:szCs w:val="24"/>
        </w:rPr>
        <w:t xml:space="preserve"> </w:t>
      </w:r>
      <w:r>
        <w:rPr>
          <w:rFonts w:ascii="Times New Roman" w:hAnsi="Times New Roman" w:cs="Times New Roman"/>
          <w:sz w:val="24"/>
          <w:szCs w:val="24"/>
        </w:rPr>
        <w:tab/>
      </w:r>
      <w:r w:rsidRPr="003644D2">
        <w:rPr>
          <w:rFonts w:ascii="Times New Roman" w:hAnsi="Times New Roman" w:cs="Times New Roman"/>
          <w:sz w:val="28"/>
          <w:szCs w:val="28"/>
        </w:rPr>
        <w:t>Breakage of cell walls for imaging</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When broken cell walls were required for imaging purposes, cell breakage was carried out immediately prior to boiling in 5% (w/v) SDS during cell wall purification (Chapter </w:t>
      </w:r>
      <w:r w:rsidRPr="007C25EF">
        <w:rPr>
          <w:rFonts w:ascii="Times New Roman" w:hAnsi="Times New Roman" w:cs="Times New Roman"/>
          <w:sz w:val="24"/>
          <w:szCs w:val="24"/>
        </w:rPr>
        <w:t>2.14</w:t>
      </w:r>
      <w:r>
        <w:rPr>
          <w:rFonts w:ascii="Times New Roman" w:hAnsi="Times New Roman" w:cs="Times New Roman"/>
          <w:sz w:val="24"/>
          <w:szCs w:val="24"/>
        </w:rPr>
        <w:t xml:space="preserve">.3). </w:t>
      </w:r>
      <w:r w:rsidRPr="003644D2">
        <w:rPr>
          <w:rFonts w:ascii="Times New Roman" w:hAnsi="Times New Roman" w:cs="Times New Roman"/>
          <w:sz w:val="24"/>
          <w:szCs w:val="24"/>
        </w:rPr>
        <w:t>Breakage</w:t>
      </w:r>
      <w:r>
        <w:rPr>
          <w:rFonts w:ascii="Times New Roman" w:hAnsi="Times New Roman" w:cs="Times New Roman"/>
          <w:sz w:val="24"/>
          <w:szCs w:val="24"/>
        </w:rPr>
        <w:t xml:space="preserve"> of </w:t>
      </w:r>
      <w:r w:rsidRPr="003644D2">
        <w:rPr>
          <w:rFonts w:ascii="Times New Roman" w:hAnsi="Times New Roman" w:cs="Times New Roman"/>
          <w:i/>
          <w:sz w:val="24"/>
          <w:szCs w:val="24"/>
        </w:rPr>
        <w:t>B. subtilis</w:t>
      </w:r>
      <w:r>
        <w:rPr>
          <w:rFonts w:ascii="Times New Roman" w:hAnsi="Times New Roman" w:cs="Times New Roman"/>
          <w:sz w:val="24"/>
          <w:szCs w:val="24"/>
        </w:rPr>
        <w:t xml:space="preserve"> cells was achieved by passing 20-30 ml cell suspensions through a French press at approximately 1000 psi. </w:t>
      </w:r>
      <w:r>
        <w:rPr>
          <w:rFonts w:ascii="Times New Roman" w:hAnsi="Times New Roman" w:cs="Times New Roman"/>
          <w:i/>
          <w:sz w:val="24"/>
          <w:szCs w:val="24"/>
        </w:rPr>
        <w:t xml:space="preserve">S. aureus </w:t>
      </w:r>
      <w:r>
        <w:rPr>
          <w:rFonts w:ascii="Times New Roman" w:hAnsi="Times New Roman" w:cs="Times New Roman"/>
          <w:sz w:val="24"/>
          <w:szCs w:val="24"/>
        </w:rPr>
        <w:t>cells were broken by applying 800 µl of a thick cell suspension to lysing matrix tubes containing 0.1 mm silica spheres (Lysing Matrix B; MP Biomedicals), and mechanically shearing 6 times using an MP Biomedicals FastPrep 24</w:t>
      </w:r>
      <w:r w:rsidRPr="00716F95">
        <w:rPr>
          <w:rFonts w:ascii="Times New Roman" w:hAnsi="Times New Roman" w:cs="Times New Roman"/>
          <w:sz w:val="24"/>
          <w:szCs w:val="24"/>
        </w:rPr>
        <w:t xml:space="preserve"> </w:t>
      </w:r>
      <w:r>
        <w:rPr>
          <w:rFonts w:ascii="Times New Roman" w:hAnsi="Times New Roman" w:cs="Times New Roman"/>
          <w:sz w:val="24"/>
          <w:szCs w:val="24"/>
        </w:rPr>
        <w:t>Homogeniser. Ovococci were broken either by French press at approximately 1500 psi or by mechanical breakage as described above.</w:t>
      </w:r>
    </w:p>
    <w:p w:rsidR="002D7C9B" w:rsidRDefault="002D7C9B" w:rsidP="002D7C9B">
      <w:pPr>
        <w:spacing w:after="120" w:line="480" w:lineRule="auto"/>
        <w:jc w:val="both"/>
        <w:rPr>
          <w:rFonts w:ascii="Times New Roman" w:hAnsi="Times New Roman" w:cs="Times New Roman"/>
          <w:sz w:val="24"/>
          <w:szCs w:val="24"/>
        </w:rPr>
      </w:pPr>
    </w:p>
    <w:p w:rsidR="002D7C9B" w:rsidRPr="00CB7907" w:rsidRDefault="002D7C9B" w:rsidP="002D7C9B">
      <w:pPr>
        <w:spacing w:after="120" w:line="480" w:lineRule="auto"/>
        <w:jc w:val="both"/>
        <w:rPr>
          <w:rFonts w:ascii="Times New Roman" w:hAnsi="Times New Roman" w:cs="Times New Roman"/>
          <w:sz w:val="28"/>
          <w:szCs w:val="28"/>
        </w:rPr>
      </w:pPr>
      <w:r>
        <w:rPr>
          <w:rFonts w:ascii="Times New Roman" w:hAnsi="Times New Roman" w:cs="Times New Roman"/>
          <w:sz w:val="28"/>
          <w:szCs w:val="28"/>
        </w:rPr>
        <w:t>2.14</w:t>
      </w:r>
      <w:r w:rsidRPr="00CB7907">
        <w:rPr>
          <w:rFonts w:ascii="Times New Roman" w:hAnsi="Times New Roman" w:cs="Times New Roman"/>
          <w:sz w:val="28"/>
          <w:szCs w:val="28"/>
        </w:rPr>
        <w:t>.</w:t>
      </w:r>
      <w:r>
        <w:rPr>
          <w:rFonts w:ascii="Times New Roman" w:hAnsi="Times New Roman" w:cs="Times New Roman"/>
          <w:sz w:val="28"/>
          <w:szCs w:val="28"/>
        </w:rPr>
        <w:t>2</w:t>
      </w:r>
      <w:r>
        <w:rPr>
          <w:rFonts w:ascii="Times New Roman" w:hAnsi="Times New Roman" w:cs="Times New Roman"/>
          <w:sz w:val="28"/>
          <w:szCs w:val="28"/>
        </w:rPr>
        <w:tab/>
      </w:r>
      <w:r>
        <w:rPr>
          <w:rFonts w:ascii="Times New Roman" w:hAnsi="Times New Roman" w:cs="Times New Roman"/>
          <w:sz w:val="28"/>
          <w:szCs w:val="28"/>
        </w:rPr>
        <w:tab/>
        <w:t>Extraction of cell walls for fluorescence microscopy</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An</w:t>
      </w:r>
      <w:r w:rsidRPr="00EB48B2">
        <w:rPr>
          <w:rFonts w:ascii="Times New Roman" w:hAnsi="Times New Roman" w:cs="Times New Roman"/>
          <w:sz w:val="24"/>
          <w:szCs w:val="24"/>
        </w:rPr>
        <w:t xml:space="preserve"> overnight culture</w:t>
      </w:r>
      <w:r>
        <w:rPr>
          <w:rFonts w:ascii="Times New Roman" w:hAnsi="Times New Roman" w:cs="Times New Roman"/>
          <w:sz w:val="24"/>
          <w:szCs w:val="24"/>
        </w:rPr>
        <w:t xml:space="preserve"> was used to inoculate 50 ml of appropriate pre-warmed media</w:t>
      </w:r>
      <w:r w:rsidRPr="00EB48B2">
        <w:rPr>
          <w:rFonts w:ascii="Times New Roman" w:hAnsi="Times New Roman" w:cs="Times New Roman"/>
          <w:sz w:val="24"/>
          <w:szCs w:val="24"/>
        </w:rPr>
        <w:t xml:space="preserve"> </w:t>
      </w:r>
      <w:r>
        <w:rPr>
          <w:rFonts w:ascii="Times New Roman" w:hAnsi="Times New Roman" w:cs="Times New Roman"/>
          <w:sz w:val="24"/>
          <w:szCs w:val="24"/>
        </w:rPr>
        <w:t>to OD</w:t>
      </w:r>
      <w:r w:rsidRPr="00C027B5">
        <w:rPr>
          <w:rFonts w:ascii="Times New Roman" w:hAnsi="Times New Roman" w:cs="Times New Roman"/>
          <w:sz w:val="24"/>
          <w:szCs w:val="24"/>
          <w:vertAlign w:val="subscript"/>
        </w:rPr>
        <w:t>600</w:t>
      </w:r>
      <w:r>
        <w:rPr>
          <w:rFonts w:ascii="Times New Roman" w:hAnsi="Times New Roman" w:cs="Times New Roman"/>
          <w:sz w:val="24"/>
          <w:szCs w:val="24"/>
        </w:rPr>
        <w:t xml:space="preserve"> and incubated under the required growth conditions (Chapter 2.4),</w:t>
      </w:r>
      <w:r w:rsidRPr="00EB48B2">
        <w:rPr>
          <w:rFonts w:ascii="Times New Roman" w:hAnsi="Times New Roman" w:cs="Times New Roman"/>
          <w:sz w:val="24"/>
          <w:szCs w:val="24"/>
        </w:rPr>
        <w:t xml:space="preserve"> until exponential phase (final OD</w:t>
      </w:r>
      <w:r w:rsidRPr="00EB48B2">
        <w:rPr>
          <w:rFonts w:ascii="Times New Roman" w:hAnsi="Times New Roman" w:cs="Times New Roman"/>
          <w:sz w:val="24"/>
          <w:szCs w:val="24"/>
          <w:vertAlign w:val="subscript"/>
        </w:rPr>
        <w:t>600</w:t>
      </w:r>
      <w:r w:rsidRPr="00EB48B2">
        <w:rPr>
          <w:rFonts w:ascii="Times New Roman" w:hAnsi="Times New Roman" w:cs="Times New Roman"/>
          <w:sz w:val="24"/>
          <w:szCs w:val="24"/>
        </w:rPr>
        <w:t xml:space="preserve"> ~0.3)</w:t>
      </w:r>
      <w:r>
        <w:rPr>
          <w:rFonts w:ascii="Times New Roman" w:hAnsi="Times New Roman" w:cs="Times New Roman"/>
          <w:sz w:val="24"/>
          <w:szCs w:val="24"/>
        </w:rPr>
        <w:t>.</w:t>
      </w:r>
      <w:r w:rsidRPr="00EB48B2">
        <w:rPr>
          <w:rFonts w:ascii="Times New Roman" w:hAnsi="Times New Roman" w:cs="Times New Roman"/>
          <w:sz w:val="24"/>
          <w:szCs w:val="24"/>
        </w:rPr>
        <w:t xml:space="preserve"> </w:t>
      </w:r>
      <w:r>
        <w:rPr>
          <w:rFonts w:ascii="Times New Roman" w:hAnsi="Times New Roman" w:cs="Times New Roman"/>
          <w:sz w:val="24"/>
          <w:szCs w:val="24"/>
        </w:rPr>
        <w:t xml:space="preserve">The culture was </w:t>
      </w:r>
      <w:r w:rsidRPr="00EB48B2">
        <w:rPr>
          <w:rFonts w:ascii="Times New Roman" w:hAnsi="Times New Roman" w:cs="Times New Roman"/>
          <w:sz w:val="24"/>
          <w:szCs w:val="24"/>
        </w:rPr>
        <w:t>immediately</w:t>
      </w:r>
      <w:r>
        <w:rPr>
          <w:rFonts w:ascii="Times New Roman" w:hAnsi="Times New Roman" w:cs="Times New Roman"/>
          <w:sz w:val="24"/>
          <w:szCs w:val="24"/>
        </w:rPr>
        <w:t xml:space="preserve"> decanted into</w:t>
      </w:r>
      <w:r w:rsidRPr="00EB48B2">
        <w:rPr>
          <w:rFonts w:ascii="Times New Roman" w:hAnsi="Times New Roman" w:cs="Times New Roman"/>
          <w:sz w:val="24"/>
          <w:szCs w:val="24"/>
        </w:rPr>
        <w:t xml:space="preserve"> excess </w:t>
      </w:r>
      <w:r w:rsidRPr="00EB48B2">
        <w:rPr>
          <w:rFonts w:ascii="Times New Roman" w:hAnsi="Times New Roman" w:cs="Times New Roman"/>
          <w:sz w:val="24"/>
          <w:szCs w:val="24"/>
        </w:rPr>
        <w:lastRenderedPageBreak/>
        <w:t xml:space="preserve">boiling 5% </w:t>
      </w:r>
      <w:r>
        <w:rPr>
          <w:rFonts w:ascii="Times New Roman" w:hAnsi="Times New Roman" w:cs="Times New Roman"/>
          <w:sz w:val="24"/>
          <w:szCs w:val="24"/>
        </w:rPr>
        <w:t>(</w:t>
      </w:r>
      <w:r w:rsidRPr="00EB48B2">
        <w:rPr>
          <w:rFonts w:ascii="Times New Roman" w:hAnsi="Times New Roman" w:cs="Times New Roman"/>
          <w:sz w:val="24"/>
          <w:szCs w:val="24"/>
        </w:rPr>
        <w:t>w/v</w:t>
      </w:r>
      <w:r>
        <w:rPr>
          <w:rFonts w:ascii="Times New Roman" w:hAnsi="Times New Roman" w:cs="Times New Roman"/>
          <w:sz w:val="24"/>
          <w:szCs w:val="24"/>
        </w:rPr>
        <w:t>)</w:t>
      </w:r>
      <w:r w:rsidRPr="00EB48B2">
        <w:rPr>
          <w:rFonts w:ascii="Times New Roman" w:hAnsi="Times New Roman" w:cs="Times New Roman"/>
          <w:sz w:val="24"/>
          <w:szCs w:val="24"/>
        </w:rPr>
        <w:t xml:space="preserve"> SD</w:t>
      </w:r>
      <w:r>
        <w:rPr>
          <w:rFonts w:ascii="Times New Roman" w:hAnsi="Times New Roman" w:cs="Times New Roman"/>
          <w:sz w:val="24"/>
          <w:szCs w:val="24"/>
        </w:rPr>
        <w:t xml:space="preserve">S. Cells were then incubated </w:t>
      </w:r>
      <w:r w:rsidRPr="00EB48B2">
        <w:rPr>
          <w:rFonts w:ascii="Times New Roman" w:hAnsi="Times New Roman" w:cs="Times New Roman"/>
          <w:sz w:val="24"/>
          <w:szCs w:val="24"/>
        </w:rPr>
        <w:t>for 30 min at 50°C</w:t>
      </w:r>
      <w:r>
        <w:rPr>
          <w:rFonts w:ascii="Times New Roman" w:hAnsi="Times New Roman" w:cs="Times New Roman"/>
          <w:sz w:val="24"/>
          <w:szCs w:val="24"/>
        </w:rPr>
        <w:t>, then</w:t>
      </w:r>
      <w:r w:rsidRPr="00EB48B2">
        <w:rPr>
          <w:rFonts w:ascii="Times New Roman" w:hAnsi="Times New Roman" w:cs="Times New Roman"/>
          <w:sz w:val="24"/>
          <w:szCs w:val="24"/>
        </w:rPr>
        <w:t xml:space="preserve"> harvested </w:t>
      </w:r>
      <w:r>
        <w:rPr>
          <w:rFonts w:ascii="Times New Roman" w:hAnsi="Times New Roman" w:cs="Times New Roman"/>
          <w:sz w:val="24"/>
          <w:szCs w:val="24"/>
        </w:rPr>
        <w:t>by centrifugation at 8000 rpm at room temperature for 15 min. Cells were</w:t>
      </w:r>
      <w:r w:rsidRPr="00EB48B2">
        <w:rPr>
          <w:rFonts w:ascii="Times New Roman" w:hAnsi="Times New Roman" w:cs="Times New Roman"/>
          <w:sz w:val="24"/>
          <w:szCs w:val="24"/>
        </w:rPr>
        <w:t xml:space="preserve"> washed </w:t>
      </w:r>
      <w:r>
        <w:rPr>
          <w:rFonts w:ascii="Times New Roman" w:hAnsi="Times New Roman" w:cs="Times New Roman"/>
          <w:sz w:val="24"/>
          <w:szCs w:val="24"/>
        </w:rPr>
        <w:t>six times with 60 °C</w:t>
      </w:r>
      <w:r w:rsidRPr="00EB48B2">
        <w:rPr>
          <w:rFonts w:ascii="Times New Roman" w:hAnsi="Times New Roman" w:cs="Times New Roman"/>
          <w:sz w:val="24"/>
          <w:szCs w:val="24"/>
        </w:rPr>
        <w:t xml:space="preserve"> water by centrifugation </w:t>
      </w:r>
      <w:r>
        <w:rPr>
          <w:rFonts w:ascii="Times New Roman" w:hAnsi="Times New Roman" w:cs="Times New Roman"/>
          <w:sz w:val="24"/>
          <w:szCs w:val="24"/>
        </w:rPr>
        <w:t>as above, then</w:t>
      </w:r>
      <w:r w:rsidRPr="00EB48B2">
        <w:rPr>
          <w:rFonts w:ascii="Times New Roman" w:hAnsi="Times New Roman" w:cs="Times New Roman"/>
          <w:sz w:val="24"/>
          <w:szCs w:val="24"/>
        </w:rPr>
        <w:t xml:space="preserve"> incubated </w:t>
      </w:r>
      <w:r>
        <w:rPr>
          <w:rFonts w:ascii="Times New Roman" w:hAnsi="Times New Roman" w:cs="Times New Roman"/>
          <w:sz w:val="24"/>
          <w:szCs w:val="24"/>
        </w:rPr>
        <w:t xml:space="preserve">in 250 µl of </w:t>
      </w:r>
      <w:r w:rsidRPr="00EB48B2">
        <w:rPr>
          <w:rFonts w:ascii="Times New Roman" w:hAnsi="Times New Roman" w:cs="Times New Roman"/>
          <w:sz w:val="24"/>
          <w:szCs w:val="24"/>
        </w:rPr>
        <w:t xml:space="preserve">48% </w:t>
      </w:r>
      <w:r>
        <w:rPr>
          <w:rFonts w:ascii="Times New Roman" w:hAnsi="Times New Roman" w:cs="Times New Roman"/>
          <w:sz w:val="24"/>
          <w:szCs w:val="24"/>
        </w:rPr>
        <w:t>(</w:t>
      </w:r>
      <w:r w:rsidRPr="00EB48B2">
        <w:rPr>
          <w:rFonts w:ascii="Times New Roman" w:hAnsi="Times New Roman" w:cs="Times New Roman"/>
          <w:sz w:val="24"/>
          <w:szCs w:val="24"/>
        </w:rPr>
        <w:t>v/v</w:t>
      </w:r>
      <w:r>
        <w:rPr>
          <w:rFonts w:ascii="Times New Roman" w:hAnsi="Times New Roman" w:cs="Times New Roman"/>
          <w:sz w:val="24"/>
          <w:szCs w:val="24"/>
        </w:rPr>
        <w:t>)</w:t>
      </w:r>
      <w:r w:rsidRPr="00EB48B2">
        <w:rPr>
          <w:rFonts w:ascii="Times New Roman" w:hAnsi="Times New Roman" w:cs="Times New Roman"/>
          <w:sz w:val="24"/>
          <w:szCs w:val="24"/>
        </w:rPr>
        <w:t xml:space="preserve"> HF</w:t>
      </w:r>
      <w:r>
        <w:rPr>
          <w:rFonts w:ascii="Times New Roman" w:hAnsi="Times New Roman" w:cs="Times New Roman"/>
          <w:sz w:val="24"/>
          <w:szCs w:val="24"/>
        </w:rPr>
        <w:t xml:space="preserve"> for 48 h</w:t>
      </w:r>
      <w:r w:rsidRPr="00EB48B2">
        <w:rPr>
          <w:rFonts w:ascii="Times New Roman" w:hAnsi="Times New Roman" w:cs="Times New Roman"/>
          <w:sz w:val="24"/>
          <w:szCs w:val="24"/>
        </w:rPr>
        <w:t xml:space="preserve">. Extracted cell walls were then washed </w:t>
      </w:r>
      <w:r>
        <w:rPr>
          <w:rFonts w:ascii="Times New Roman" w:hAnsi="Times New Roman" w:cs="Times New Roman"/>
          <w:sz w:val="24"/>
          <w:szCs w:val="24"/>
        </w:rPr>
        <w:t>at least six times</w:t>
      </w:r>
      <w:r w:rsidRPr="00EB48B2">
        <w:rPr>
          <w:rFonts w:ascii="Times New Roman" w:hAnsi="Times New Roman" w:cs="Times New Roman"/>
          <w:sz w:val="24"/>
          <w:szCs w:val="24"/>
        </w:rPr>
        <w:t xml:space="preserve"> </w:t>
      </w:r>
      <w:r>
        <w:rPr>
          <w:rFonts w:ascii="Times New Roman" w:hAnsi="Times New Roman" w:cs="Times New Roman"/>
          <w:sz w:val="24"/>
          <w:szCs w:val="24"/>
        </w:rPr>
        <w:t xml:space="preserve">by centrifugation and resuspension </w:t>
      </w:r>
      <w:r w:rsidRPr="00EB48B2">
        <w:rPr>
          <w:rFonts w:ascii="Times New Roman" w:hAnsi="Times New Roman" w:cs="Times New Roman"/>
          <w:sz w:val="24"/>
          <w:szCs w:val="24"/>
        </w:rPr>
        <w:t>with</w:t>
      </w:r>
      <w:r>
        <w:rPr>
          <w:rFonts w:ascii="Times New Roman" w:hAnsi="Times New Roman" w:cs="Times New Roman"/>
          <w:sz w:val="24"/>
          <w:szCs w:val="24"/>
        </w:rPr>
        <w:t xml:space="preserve"> sterile</w:t>
      </w:r>
      <w:r w:rsidRPr="00EB48B2">
        <w:rPr>
          <w:rFonts w:ascii="Times New Roman" w:hAnsi="Times New Roman" w:cs="Times New Roman"/>
          <w:sz w:val="24"/>
          <w:szCs w:val="24"/>
        </w:rPr>
        <w:t xml:space="preserve"> </w:t>
      </w:r>
      <w:r>
        <w:rPr>
          <w:rFonts w:ascii="Times New Roman" w:hAnsi="Times New Roman" w:cs="Times New Roman"/>
          <w:sz w:val="24"/>
          <w:szCs w:val="24"/>
        </w:rPr>
        <w:t>dH</w:t>
      </w:r>
      <w:r w:rsidRPr="005463A3">
        <w:rPr>
          <w:rFonts w:ascii="Times New Roman" w:hAnsi="Times New Roman" w:cs="Times New Roman"/>
          <w:sz w:val="24"/>
          <w:szCs w:val="24"/>
          <w:vertAlign w:val="subscript"/>
        </w:rPr>
        <w:t>2</w:t>
      </w:r>
      <w:r>
        <w:rPr>
          <w:rFonts w:ascii="Times New Roman" w:hAnsi="Times New Roman" w:cs="Times New Roman"/>
          <w:sz w:val="24"/>
          <w:szCs w:val="24"/>
        </w:rPr>
        <w:t>0, until the pH was at least 5.</w:t>
      </w:r>
    </w:p>
    <w:p w:rsidR="002D7C9B" w:rsidRDefault="002D7C9B" w:rsidP="002D7C9B">
      <w:pPr>
        <w:spacing w:after="120" w:line="480" w:lineRule="auto"/>
        <w:jc w:val="both"/>
        <w:rPr>
          <w:rFonts w:ascii="Times New Roman" w:hAnsi="Times New Roman" w:cs="Times New Roman"/>
          <w:sz w:val="28"/>
          <w:szCs w:val="28"/>
        </w:rPr>
      </w:pPr>
    </w:p>
    <w:p w:rsidR="002D7C9B" w:rsidRPr="0076399D" w:rsidRDefault="002D7C9B" w:rsidP="002D7C9B">
      <w:pPr>
        <w:spacing w:after="120" w:line="480" w:lineRule="auto"/>
        <w:jc w:val="both"/>
        <w:rPr>
          <w:rFonts w:ascii="Times New Roman" w:hAnsi="Times New Roman" w:cs="Times New Roman"/>
          <w:sz w:val="28"/>
          <w:szCs w:val="28"/>
        </w:rPr>
      </w:pPr>
      <w:r>
        <w:rPr>
          <w:rFonts w:ascii="Times New Roman" w:hAnsi="Times New Roman" w:cs="Times New Roman"/>
          <w:sz w:val="28"/>
          <w:szCs w:val="28"/>
        </w:rPr>
        <w:t>2.14</w:t>
      </w:r>
      <w:r w:rsidRPr="00C802AE">
        <w:rPr>
          <w:rFonts w:ascii="Times New Roman" w:hAnsi="Times New Roman" w:cs="Times New Roman"/>
          <w:sz w:val="28"/>
          <w:szCs w:val="28"/>
        </w:rPr>
        <w:t>.</w:t>
      </w:r>
      <w:r>
        <w:rPr>
          <w:rFonts w:ascii="Times New Roman" w:hAnsi="Times New Roman" w:cs="Times New Roman"/>
          <w:sz w:val="28"/>
          <w:szCs w:val="28"/>
        </w:rPr>
        <w:t>3</w:t>
      </w:r>
      <w:r w:rsidRPr="00C802AE">
        <w:rPr>
          <w:rFonts w:ascii="Times New Roman" w:hAnsi="Times New Roman" w:cs="Times New Roman"/>
          <w:sz w:val="28"/>
          <w:szCs w:val="28"/>
        </w:rPr>
        <w:tab/>
      </w:r>
      <w:r w:rsidRPr="00C802AE">
        <w:rPr>
          <w:rFonts w:ascii="Times New Roman" w:hAnsi="Times New Roman" w:cs="Times New Roman"/>
          <w:sz w:val="28"/>
          <w:szCs w:val="28"/>
        </w:rPr>
        <w:tab/>
      </w:r>
      <w:r>
        <w:rPr>
          <w:rFonts w:ascii="Times New Roman" w:hAnsi="Times New Roman" w:cs="Times New Roman"/>
          <w:sz w:val="28"/>
          <w:szCs w:val="28"/>
        </w:rPr>
        <w:t xml:space="preserve">Extraction of </w:t>
      </w:r>
      <w:r w:rsidRPr="0076399D">
        <w:rPr>
          <w:rFonts w:ascii="Times New Roman" w:hAnsi="Times New Roman" w:cs="Times New Roman"/>
          <w:sz w:val="28"/>
          <w:szCs w:val="28"/>
        </w:rPr>
        <w:t>cell walls</w:t>
      </w:r>
      <w:r>
        <w:rPr>
          <w:rFonts w:ascii="Times New Roman" w:hAnsi="Times New Roman" w:cs="Times New Roman"/>
          <w:sz w:val="28"/>
          <w:szCs w:val="28"/>
        </w:rPr>
        <w:t xml:space="preserve"> for AFM</w:t>
      </w:r>
    </w:p>
    <w:p w:rsidR="002D7C9B" w:rsidRDefault="002D7C9B" w:rsidP="002D7C9B">
      <w:pPr>
        <w:spacing w:after="120" w:line="480" w:lineRule="auto"/>
        <w:jc w:val="both"/>
        <w:rPr>
          <w:rFonts w:ascii="Times New Roman" w:hAnsi="Times New Roman" w:cs="Times New Roman"/>
          <w:sz w:val="24"/>
          <w:szCs w:val="24"/>
        </w:rPr>
      </w:pPr>
      <w:r w:rsidRPr="0076399D">
        <w:rPr>
          <w:rFonts w:ascii="Times New Roman" w:hAnsi="Times New Roman" w:cs="Times New Roman"/>
          <w:sz w:val="24"/>
          <w:szCs w:val="24"/>
        </w:rPr>
        <w:t>An exponential phase culture (OD</w:t>
      </w:r>
      <w:r w:rsidRPr="0076399D">
        <w:rPr>
          <w:rFonts w:ascii="Times New Roman" w:hAnsi="Times New Roman" w:cs="Times New Roman"/>
          <w:sz w:val="24"/>
          <w:szCs w:val="24"/>
          <w:vertAlign w:val="subscript"/>
        </w:rPr>
        <w:t>600</w:t>
      </w:r>
      <w:r w:rsidRPr="0076399D">
        <w:rPr>
          <w:rFonts w:ascii="Times New Roman" w:hAnsi="Times New Roman" w:cs="Times New Roman"/>
          <w:sz w:val="24"/>
          <w:szCs w:val="24"/>
        </w:rPr>
        <w:t xml:space="preserve"> ~0.4) was harvested by centrifugation (5000 xg for 10 min at room temperature) and supernatant discarded. The pellet was </w:t>
      </w:r>
      <w:r>
        <w:rPr>
          <w:rFonts w:ascii="Times New Roman" w:hAnsi="Times New Roman" w:cs="Times New Roman"/>
          <w:sz w:val="24"/>
          <w:szCs w:val="24"/>
        </w:rPr>
        <w:t xml:space="preserve">immediately </w:t>
      </w:r>
      <w:r w:rsidRPr="0076399D">
        <w:rPr>
          <w:rFonts w:ascii="Times New Roman" w:hAnsi="Times New Roman" w:cs="Times New Roman"/>
          <w:sz w:val="24"/>
          <w:szCs w:val="24"/>
        </w:rPr>
        <w:t xml:space="preserve">resuspended in ~20ml </w:t>
      </w:r>
      <w:r>
        <w:rPr>
          <w:rFonts w:ascii="Times New Roman" w:hAnsi="Times New Roman" w:cs="Times New Roman"/>
          <w:sz w:val="24"/>
          <w:szCs w:val="24"/>
        </w:rPr>
        <w:t xml:space="preserve">boiling </w:t>
      </w:r>
      <w:r w:rsidRPr="0076399D">
        <w:rPr>
          <w:rFonts w:ascii="Times New Roman" w:hAnsi="Times New Roman" w:cs="Times New Roman"/>
          <w:sz w:val="24"/>
          <w:szCs w:val="24"/>
        </w:rPr>
        <w:t>dH</w:t>
      </w:r>
      <w:r w:rsidRPr="0076399D">
        <w:rPr>
          <w:rFonts w:ascii="Times New Roman" w:hAnsi="Times New Roman" w:cs="Times New Roman"/>
          <w:sz w:val="24"/>
          <w:szCs w:val="24"/>
          <w:vertAlign w:val="subscript"/>
        </w:rPr>
        <w:t>2</w:t>
      </w:r>
      <w:r w:rsidRPr="0076399D">
        <w:rPr>
          <w:rFonts w:ascii="Times New Roman" w:hAnsi="Times New Roman" w:cs="Times New Roman"/>
          <w:sz w:val="24"/>
          <w:szCs w:val="24"/>
        </w:rPr>
        <w:t>O and boiled in a water bath for 10 min</w:t>
      </w:r>
      <w:r>
        <w:rPr>
          <w:rFonts w:ascii="Times New Roman" w:hAnsi="Times New Roman" w:cs="Times New Roman"/>
          <w:sz w:val="24"/>
          <w:szCs w:val="24"/>
        </w:rPr>
        <w:t xml:space="preserve"> to kill the cells and inactivate autolysins. Cells were resuspended in 10 ml pre-heated 5% (w/v) SDS and boiled for 25 min for removal of non-covalently bound cell wall components. Cell suspensions were transferred as 1 ml aliquots to 1.5 ml microfuge tubes and harvested by centrifugation at 14,000 </w:t>
      </w:r>
      <w:r w:rsidRPr="0076399D">
        <w:rPr>
          <w:rFonts w:ascii="Times New Roman" w:hAnsi="Times New Roman" w:cs="Times New Roman"/>
          <w:sz w:val="24"/>
          <w:szCs w:val="24"/>
        </w:rPr>
        <w:t>xg for 10</w:t>
      </w:r>
      <w:r>
        <w:rPr>
          <w:rFonts w:ascii="Times New Roman" w:hAnsi="Times New Roman" w:cs="Times New Roman"/>
          <w:sz w:val="24"/>
          <w:szCs w:val="24"/>
        </w:rPr>
        <w:t xml:space="preserve"> min at room temperature, then resuspended in pre-heated 4% (w/v) SDS and boiled for 15 min. Material was then washed six times by centrifugation and resuspension (as above) in dH</w:t>
      </w:r>
      <w:r w:rsidRPr="00A97F1D">
        <w:rPr>
          <w:rFonts w:ascii="Times New Roman" w:hAnsi="Times New Roman" w:cs="Times New Roman"/>
          <w:sz w:val="24"/>
          <w:szCs w:val="24"/>
          <w:vertAlign w:val="subscript"/>
        </w:rPr>
        <w:t>2</w:t>
      </w:r>
      <w:r>
        <w:rPr>
          <w:rFonts w:ascii="Times New Roman" w:hAnsi="Times New Roman" w:cs="Times New Roman"/>
          <w:sz w:val="24"/>
          <w:szCs w:val="24"/>
        </w:rPr>
        <w:t>O (60 °C) to remove SDS. For hydrolysis of covalently bound proteins, pellets were resuspended in 1 ml 50 mM Tris-HCl (pH 7.5) containing 2 mg ml</w:t>
      </w:r>
      <w:r w:rsidRPr="00A97F1D">
        <w:rPr>
          <w:rFonts w:ascii="Times New Roman" w:hAnsi="Times New Roman" w:cs="Times New Roman"/>
          <w:sz w:val="24"/>
          <w:szCs w:val="24"/>
          <w:vertAlign w:val="superscript"/>
        </w:rPr>
        <w:t>-1</w:t>
      </w:r>
      <w:r>
        <w:rPr>
          <w:rFonts w:ascii="Times New Roman" w:hAnsi="Times New Roman" w:cs="Times New Roman"/>
          <w:sz w:val="24"/>
          <w:szCs w:val="24"/>
        </w:rPr>
        <w:t xml:space="preserve"> pronase and incubated at 60 °C for 90 min. The resulting walls were harvested by centrifugation and washed once with water.</w:t>
      </w:r>
    </w:p>
    <w:p w:rsidR="002D7C9B" w:rsidRDefault="002D7C9B" w:rsidP="002D7C9B">
      <w:pPr>
        <w:spacing w:after="120" w:line="480" w:lineRule="auto"/>
        <w:jc w:val="both"/>
        <w:rPr>
          <w:rFonts w:ascii="Times New Roman" w:hAnsi="Times New Roman" w:cs="Times New Roman"/>
          <w:sz w:val="24"/>
          <w:szCs w:val="24"/>
        </w:rPr>
      </w:pPr>
    </w:p>
    <w:p w:rsidR="002D7C9B" w:rsidRPr="00C802AE" w:rsidRDefault="002D7C9B" w:rsidP="002D7C9B">
      <w:pPr>
        <w:spacing w:after="120" w:line="480" w:lineRule="auto"/>
        <w:jc w:val="both"/>
        <w:rPr>
          <w:rFonts w:ascii="Times New Roman" w:hAnsi="Times New Roman" w:cs="Times New Roman"/>
          <w:sz w:val="28"/>
          <w:szCs w:val="28"/>
        </w:rPr>
      </w:pPr>
      <w:r>
        <w:rPr>
          <w:rFonts w:ascii="Times New Roman" w:hAnsi="Times New Roman" w:cs="Times New Roman"/>
          <w:sz w:val="28"/>
          <w:szCs w:val="28"/>
        </w:rPr>
        <w:t>2.14</w:t>
      </w:r>
      <w:r w:rsidRPr="003644D2">
        <w:rPr>
          <w:rFonts w:ascii="Times New Roman" w:hAnsi="Times New Roman" w:cs="Times New Roman"/>
          <w:sz w:val="28"/>
          <w:szCs w:val="28"/>
        </w:rPr>
        <w:t>.</w:t>
      </w:r>
      <w:r>
        <w:rPr>
          <w:rFonts w:ascii="Times New Roman" w:hAnsi="Times New Roman" w:cs="Times New Roman"/>
          <w:sz w:val="28"/>
          <w:szCs w:val="28"/>
        </w:rPr>
        <w:t>4</w:t>
      </w:r>
      <w:r w:rsidRPr="003644D2">
        <w:rPr>
          <w:rFonts w:ascii="Times New Roman" w:hAnsi="Times New Roman" w:cs="Times New Roman"/>
          <w:sz w:val="28"/>
          <w:szCs w:val="28"/>
        </w:rPr>
        <w:t xml:space="preserve"> </w:t>
      </w:r>
      <w:r>
        <w:rPr>
          <w:rFonts w:ascii="Times New Roman" w:hAnsi="Times New Roman" w:cs="Times New Roman"/>
          <w:sz w:val="28"/>
          <w:szCs w:val="28"/>
        </w:rPr>
        <w:tab/>
      </w:r>
      <w:r w:rsidRPr="00C802AE">
        <w:rPr>
          <w:rFonts w:ascii="Times New Roman" w:hAnsi="Times New Roman" w:cs="Times New Roman"/>
          <w:sz w:val="28"/>
          <w:szCs w:val="28"/>
        </w:rPr>
        <w:t>Chemical purification of sacculi</w:t>
      </w:r>
    </w:p>
    <w:p w:rsidR="002D7C9B" w:rsidRPr="00A97F1D"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Following chemical extraction of cell walls, r</w:t>
      </w:r>
      <w:r w:rsidRPr="00A97F1D">
        <w:rPr>
          <w:rFonts w:ascii="Times New Roman" w:hAnsi="Times New Roman" w:cs="Times New Roman"/>
          <w:sz w:val="24"/>
          <w:szCs w:val="24"/>
        </w:rPr>
        <w:t>emoval of accessory polymers was achieved by incubation in</w:t>
      </w:r>
      <w:r>
        <w:rPr>
          <w:rFonts w:ascii="Times New Roman" w:hAnsi="Times New Roman" w:cs="Times New Roman"/>
          <w:sz w:val="24"/>
          <w:szCs w:val="24"/>
        </w:rPr>
        <w:t xml:space="preserve"> 250 µl of </w:t>
      </w:r>
      <w:r w:rsidRPr="00A97F1D">
        <w:rPr>
          <w:rFonts w:ascii="Times New Roman" w:hAnsi="Times New Roman" w:cs="Times New Roman"/>
          <w:sz w:val="24"/>
          <w:szCs w:val="24"/>
        </w:rPr>
        <w:t xml:space="preserve">48% </w:t>
      </w:r>
      <w:r>
        <w:rPr>
          <w:rFonts w:ascii="Times New Roman" w:hAnsi="Times New Roman" w:cs="Times New Roman"/>
          <w:sz w:val="24"/>
          <w:szCs w:val="24"/>
        </w:rPr>
        <w:t>(</w:t>
      </w:r>
      <w:r w:rsidRPr="00A97F1D">
        <w:rPr>
          <w:rFonts w:ascii="Times New Roman" w:hAnsi="Times New Roman" w:cs="Times New Roman"/>
          <w:sz w:val="24"/>
          <w:szCs w:val="24"/>
        </w:rPr>
        <w:t>v/v</w:t>
      </w:r>
      <w:r>
        <w:rPr>
          <w:rFonts w:ascii="Times New Roman" w:hAnsi="Times New Roman" w:cs="Times New Roman"/>
          <w:sz w:val="24"/>
          <w:szCs w:val="24"/>
        </w:rPr>
        <w:t>)</w:t>
      </w:r>
      <w:r w:rsidRPr="00A97F1D">
        <w:rPr>
          <w:rFonts w:ascii="Times New Roman" w:hAnsi="Times New Roman" w:cs="Times New Roman"/>
          <w:sz w:val="24"/>
          <w:szCs w:val="24"/>
        </w:rPr>
        <w:t xml:space="preserve"> </w:t>
      </w:r>
      <w:r>
        <w:rPr>
          <w:rFonts w:ascii="Times New Roman" w:hAnsi="Times New Roman" w:cs="Times New Roman"/>
          <w:sz w:val="24"/>
          <w:szCs w:val="24"/>
        </w:rPr>
        <w:t>hydrofluoric acid (HF) at 4 °C for 48 h</w:t>
      </w:r>
      <w:r w:rsidRPr="00A97F1D">
        <w:rPr>
          <w:rFonts w:ascii="Times New Roman" w:hAnsi="Times New Roman" w:cs="Times New Roman"/>
          <w:sz w:val="24"/>
          <w:szCs w:val="24"/>
        </w:rPr>
        <w:t xml:space="preserve">. Purified </w:t>
      </w:r>
      <w:r>
        <w:rPr>
          <w:rFonts w:ascii="Times New Roman" w:hAnsi="Times New Roman" w:cs="Times New Roman"/>
          <w:sz w:val="24"/>
          <w:szCs w:val="24"/>
        </w:rPr>
        <w:t xml:space="preserve">peptidoglycan </w:t>
      </w:r>
      <w:r w:rsidRPr="00A97F1D">
        <w:rPr>
          <w:rFonts w:ascii="Times New Roman" w:hAnsi="Times New Roman" w:cs="Times New Roman"/>
          <w:sz w:val="24"/>
          <w:szCs w:val="24"/>
        </w:rPr>
        <w:t xml:space="preserve">sacculi </w:t>
      </w:r>
      <w:r>
        <w:rPr>
          <w:rFonts w:ascii="Times New Roman" w:hAnsi="Times New Roman" w:cs="Times New Roman"/>
          <w:sz w:val="24"/>
          <w:szCs w:val="24"/>
        </w:rPr>
        <w:t>were recovered by centrifugation and washed at least six times with</w:t>
      </w:r>
      <w:r w:rsidRPr="00A97F1D">
        <w:rPr>
          <w:rFonts w:ascii="Times New Roman" w:hAnsi="Times New Roman" w:cs="Times New Roman"/>
          <w:sz w:val="24"/>
          <w:szCs w:val="24"/>
        </w:rPr>
        <w:t xml:space="preserve"> LC-MS CHROMASOLV® grade water (Fluka) at room temperature</w:t>
      </w:r>
      <w:r>
        <w:rPr>
          <w:rFonts w:ascii="Times New Roman" w:hAnsi="Times New Roman" w:cs="Times New Roman"/>
          <w:sz w:val="24"/>
          <w:szCs w:val="24"/>
        </w:rPr>
        <w:t>, until the pH reached at least 5.0.</w:t>
      </w:r>
      <w:r w:rsidRPr="00A97F1D">
        <w:rPr>
          <w:rFonts w:ascii="Times New Roman" w:hAnsi="Times New Roman" w:cs="Times New Roman"/>
          <w:sz w:val="24"/>
          <w:szCs w:val="24"/>
        </w:rPr>
        <w:t xml:space="preserve"> </w:t>
      </w:r>
      <w:r>
        <w:rPr>
          <w:rFonts w:ascii="Times New Roman" w:hAnsi="Times New Roman" w:cs="Times New Roman"/>
          <w:sz w:val="24"/>
          <w:szCs w:val="24"/>
        </w:rPr>
        <w:t xml:space="preserve">Purified sacculi were stored as pellets </w:t>
      </w:r>
      <w:r w:rsidRPr="00A97F1D">
        <w:rPr>
          <w:rFonts w:ascii="Times New Roman" w:hAnsi="Times New Roman" w:cs="Times New Roman"/>
          <w:sz w:val="24"/>
          <w:szCs w:val="24"/>
        </w:rPr>
        <w:t>at -20 °C.</w:t>
      </w:r>
    </w:p>
    <w:p w:rsidR="002D7C9B" w:rsidRDefault="002D7C9B" w:rsidP="002D7C9B">
      <w:pPr>
        <w:spacing w:after="120" w:line="480" w:lineRule="auto"/>
        <w:jc w:val="both"/>
        <w:rPr>
          <w:rFonts w:ascii="Times New Roman" w:hAnsi="Times New Roman" w:cs="Times New Roman"/>
          <w:sz w:val="24"/>
          <w:szCs w:val="24"/>
        </w:rPr>
      </w:pPr>
    </w:p>
    <w:p w:rsidR="002D7C9B" w:rsidRPr="00242659" w:rsidRDefault="002D7C9B" w:rsidP="002D7C9B">
      <w:pPr>
        <w:spacing w:after="120" w:line="480" w:lineRule="auto"/>
        <w:jc w:val="both"/>
        <w:rPr>
          <w:rFonts w:ascii="Times New Roman" w:hAnsi="Times New Roman" w:cs="Times New Roman"/>
          <w:sz w:val="28"/>
          <w:szCs w:val="28"/>
        </w:rPr>
      </w:pPr>
      <w:r>
        <w:rPr>
          <w:rFonts w:ascii="Times New Roman" w:hAnsi="Times New Roman" w:cs="Times New Roman"/>
          <w:sz w:val="28"/>
          <w:szCs w:val="28"/>
        </w:rPr>
        <w:t>2.14</w:t>
      </w:r>
      <w:r w:rsidRPr="00242659">
        <w:rPr>
          <w:rFonts w:ascii="Times New Roman" w:hAnsi="Times New Roman" w:cs="Times New Roman"/>
          <w:sz w:val="28"/>
          <w:szCs w:val="28"/>
        </w:rPr>
        <w:t>.</w:t>
      </w:r>
      <w:r>
        <w:rPr>
          <w:rFonts w:ascii="Times New Roman" w:hAnsi="Times New Roman" w:cs="Times New Roman"/>
          <w:sz w:val="28"/>
          <w:szCs w:val="28"/>
        </w:rPr>
        <w:t>5</w:t>
      </w:r>
      <w:r w:rsidRPr="00242659">
        <w:rPr>
          <w:rFonts w:ascii="Times New Roman" w:hAnsi="Times New Roman" w:cs="Times New Roman"/>
          <w:sz w:val="28"/>
          <w:szCs w:val="28"/>
        </w:rPr>
        <w:tab/>
      </w:r>
      <w:r w:rsidRPr="00242659">
        <w:rPr>
          <w:rFonts w:ascii="Times New Roman" w:hAnsi="Times New Roman" w:cs="Times New Roman"/>
          <w:sz w:val="28"/>
          <w:szCs w:val="28"/>
        </w:rPr>
        <w:tab/>
        <w:t xml:space="preserve">Preparation of cell walls </w:t>
      </w:r>
      <w:r>
        <w:rPr>
          <w:rFonts w:ascii="Times New Roman" w:hAnsi="Times New Roman" w:cs="Times New Roman"/>
          <w:sz w:val="28"/>
          <w:szCs w:val="28"/>
        </w:rPr>
        <w:t xml:space="preserve">and sacculi </w:t>
      </w:r>
      <w:r w:rsidRPr="00242659">
        <w:rPr>
          <w:rFonts w:ascii="Times New Roman" w:hAnsi="Times New Roman" w:cs="Times New Roman"/>
          <w:sz w:val="28"/>
          <w:szCs w:val="28"/>
        </w:rPr>
        <w:t>for AFM imaging</w:t>
      </w:r>
    </w:p>
    <w:p w:rsidR="002D7C9B" w:rsidRDefault="002D7C9B" w:rsidP="002D7C9B">
      <w:pPr>
        <w:spacing w:before="120" w:after="120" w:line="480" w:lineRule="auto"/>
        <w:jc w:val="both"/>
        <w:rPr>
          <w:rFonts w:ascii="Times New Roman" w:hAnsi="Times New Roman" w:cs="Times New Roman"/>
          <w:sz w:val="24"/>
          <w:szCs w:val="24"/>
        </w:rPr>
      </w:pPr>
      <w:r>
        <w:rPr>
          <w:rFonts w:ascii="Times New Roman" w:hAnsi="Times New Roman" w:cs="Times New Roman"/>
          <w:sz w:val="24"/>
          <w:szCs w:val="24"/>
        </w:rPr>
        <w:t>Purified cell walls were thawed and washed by centrifugation (13,000rpm for 5 min) and resuspension at least six times with</w:t>
      </w:r>
      <w:r w:rsidRPr="00242659">
        <w:rPr>
          <w:rFonts w:ascii="Times New Roman" w:hAnsi="Times New Roman" w:cs="Times New Roman"/>
          <w:sz w:val="24"/>
          <w:szCs w:val="24"/>
        </w:rPr>
        <w:t xml:space="preserve"> </w:t>
      </w:r>
      <w:r w:rsidRPr="00A97F1D">
        <w:rPr>
          <w:rFonts w:ascii="Times New Roman" w:hAnsi="Times New Roman" w:cs="Times New Roman"/>
          <w:sz w:val="24"/>
          <w:szCs w:val="24"/>
        </w:rPr>
        <w:t>LC-MS CHROMASOLV® grade water (Fluka)</w:t>
      </w:r>
      <w:r>
        <w:rPr>
          <w:rFonts w:ascii="Times New Roman" w:hAnsi="Times New Roman" w:cs="Times New Roman"/>
          <w:sz w:val="24"/>
          <w:szCs w:val="24"/>
        </w:rPr>
        <w:t xml:space="preserve"> at room temperature. Sacculi were prepared at an appropriate working concentration for imaging of the cell walls (approximately 10-fold), and sonicated gently with a Sanyo Soniprep 150 for 10-20 s to disperse cell wall aggregates. Around 5 µl was transferred to a freshly cleaved mica sheet attached to a magnetic stub, and dried gently under nitrogen gas.</w:t>
      </w:r>
    </w:p>
    <w:p w:rsidR="002D7C9B" w:rsidRDefault="002D7C9B" w:rsidP="002D7C9B">
      <w:pPr>
        <w:rPr>
          <w:rFonts w:ascii="Times New Roman" w:hAnsi="Times New Roman" w:cs="Times New Roman"/>
          <w:sz w:val="24"/>
          <w:szCs w:val="24"/>
        </w:rPr>
      </w:pPr>
      <w:r>
        <w:rPr>
          <w:rFonts w:ascii="Times New Roman" w:hAnsi="Times New Roman" w:cs="Times New Roman"/>
          <w:sz w:val="24"/>
          <w:szCs w:val="24"/>
        </w:rPr>
        <w:br w:type="page"/>
      </w:r>
    </w:p>
    <w:p w:rsidR="002D7C9B" w:rsidRDefault="002D7C9B" w:rsidP="002D7C9B">
      <w:pPr>
        <w:spacing w:before="120" w:after="120" w:line="480" w:lineRule="auto"/>
        <w:jc w:val="both"/>
        <w:rPr>
          <w:rFonts w:ascii="Times New Roman" w:hAnsi="Times New Roman" w:cs="Times New Roman"/>
          <w:sz w:val="28"/>
          <w:szCs w:val="28"/>
        </w:rPr>
      </w:pPr>
      <w:r>
        <w:rPr>
          <w:rFonts w:ascii="Times New Roman" w:hAnsi="Times New Roman" w:cs="Times New Roman"/>
          <w:sz w:val="28"/>
          <w:szCs w:val="28"/>
        </w:rPr>
        <w:lastRenderedPageBreak/>
        <w:t>2.15</w:t>
      </w:r>
      <w:r>
        <w:rPr>
          <w:rFonts w:ascii="Times New Roman" w:hAnsi="Times New Roman" w:cs="Times New Roman"/>
          <w:sz w:val="28"/>
          <w:szCs w:val="28"/>
        </w:rPr>
        <w:tab/>
      </w:r>
      <w:r>
        <w:rPr>
          <w:rFonts w:ascii="Times New Roman" w:hAnsi="Times New Roman" w:cs="Times New Roman"/>
          <w:sz w:val="28"/>
          <w:szCs w:val="28"/>
        </w:rPr>
        <w:tab/>
        <w:t>Microscopy</w:t>
      </w:r>
    </w:p>
    <w:p w:rsidR="002D7C9B" w:rsidRDefault="002D7C9B" w:rsidP="002D7C9B">
      <w:pPr>
        <w:spacing w:before="120" w:after="120" w:line="480" w:lineRule="auto"/>
        <w:jc w:val="both"/>
        <w:rPr>
          <w:rFonts w:ascii="Times New Roman" w:hAnsi="Times New Roman" w:cs="Times New Roman"/>
          <w:sz w:val="28"/>
          <w:szCs w:val="28"/>
        </w:rPr>
      </w:pPr>
      <w:r>
        <w:rPr>
          <w:rFonts w:ascii="Times New Roman" w:hAnsi="Times New Roman" w:cs="Times New Roman"/>
          <w:sz w:val="28"/>
          <w:szCs w:val="28"/>
        </w:rPr>
        <w:t>2.15.1</w:t>
      </w:r>
      <w:r>
        <w:rPr>
          <w:rFonts w:ascii="Times New Roman" w:hAnsi="Times New Roman" w:cs="Times New Roman"/>
          <w:sz w:val="28"/>
          <w:szCs w:val="28"/>
        </w:rPr>
        <w:tab/>
      </w:r>
      <w:r>
        <w:rPr>
          <w:rFonts w:ascii="Times New Roman" w:hAnsi="Times New Roman" w:cs="Times New Roman"/>
          <w:sz w:val="28"/>
          <w:szCs w:val="28"/>
        </w:rPr>
        <w:tab/>
        <w:t>Fixing of cells for microscopy</w:t>
      </w:r>
    </w:p>
    <w:p w:rsidR="002D7C9B" w:rsidRDefault="002D7C9B" w:rsidP="002D7C9B">
      <w:pPr>
        <w:spacing w:before="120" w:after="120" w:line="480" w:lineRule="auto"/>
        <w:jc w:val="both"/>
        <w:rPr>
          <w:rFonts w:ascii="Times New Roman" w:hAnsi="Times New Roman" w:cs="Times New Roman"/>
          <w:sz w:val="24"/>
          <w:szCs w:val="24"/>
        </w:rPr>
      </w:pPr>
      <w:r w:rsidRPr="00EE0B71">
        <w:rPr>
          <w:rFonts w:ascii="Times New Roman" w:hAnsi="Times New Roman" w:cs="Times New Roman"/>
          <w:sz w:val="24"/>
          <w:szCs w:val="24"/>
        </w:rPr>
        <w:t>Cell</w:t>
      </w:r>
      <w:r>
        <w:rPr>
          <w:rFonts w:ascii="Times New Roman" w:hAnsi="Times New Roman" w:cs="Times New Roman"/>
          <w:sz w:val="24"/>
          <w:szCs w:val="24"/>
        </w:rPr>
        <w:t xml:space="preserve"> pellets</w:t>
      </w:r>
      <w:r w:rsidRPr="00EE0B71">
        <w:rPr>
          <w:rFonts w:ascii="Times New Roman" w:hAnsi="Times New Roman" w:cs="Times New Roman"/>
          <w:sz w:val="24"/>
          <w:szCs w:val="24"/>
        </w:rPr>
        <w:t xml:space="preserve"> were </w:t>
      </w:r>
      <w:r>
        <w:rPr>
          <w:rFonts w:ascii="Times New Roman" w:hAnsi="Times New Roman" w:cs="Times New Roman"/>
          <w:sz w:val="24"/>
          <w:szCs w:val="24"/>
        </w:rPr>
        <w:t xml:space="preserve">resuspended in fixative (Chapter 2.3.9) for 30 min at room temperature. Fixed cells were </w:t>
      </w:r>
      <w:r w:rsidRPr="00EE0B71">
        <w:rPr>
          <w:rFonts w:ascii="Times New Roman" w:hAnsi="Times New Roman" w:cs="Times New Roman"/>
          <w:sz w:val="24"/>
          <w:szCs w:val="24"/>
        </w:rPr>
        <w:t xml:space="preserve">washed at least twice in </w:t>
      </w:r>
      <w:r>
        <w:rPr>
          <w:rFonts w:ascii="Times New Roman" w:hAnsi="Times New Roman" w:cs="Times New Roman"/>
          <w:sz w:val="24"/>
          <w:szCs w:val="24"/>
        </w:rPr>
        <w:t>sterile dH</w:t>
      </w:r>
      <w:r w:rsidRPr="00E802EA">
        <w:rPr>
          <w:rFonts w:ascii="Times New Roman" w:hAnsi="Times New Roman" w:cs="Times New Roman"/>
          <w:sz w:val="24"/>
          <w:szCs w:val="24"/>
          <w:vertAlign w:val="subscript"/>
        </w:rPr>
        <w:t>2</w:t>
      </w:r>
      <w:r>
        <w:rPr>
          <w:rFonts w:ascii="Times New Roman" w:hAnsi="Times New Roman" w:cs="Times New Roman"/>
          <w:sz w:val="24"/>
          <w:szCs w:val="24"/>
        </w:rPr>
        <w:t xml:space="preserve">O </w:t>
      </w:r>
      <w:r w:rsidRPr="00EE0B71">
        <w:rPr>
          <w:rFonts w:ascii="Times New Roman" w:hAnsi="Times New Roman" w:cs="Times New Roman"/>
          <w:sz w:val="24"/>
          <w:szCs w:val="24"/>
        </w:rPr>
        <w:t>by centrifugation</w:t>
      </w:r>
      <w:r>
        <w:rPr>
          <w:rFonts w:ascii="Times New Roman" w:hAnsi="Times New Roman" w:cs="Times New Roman"/>
          <w:sz w:val="24"/>
          <w:szCs w:val="24"/>
        </w:rPr>
        <w:t xml:space="preserve"> at 13,000 rpm for 2 min at room temperature</w:t>
      </w:r>
      <w:r w:rsidRPr="00EE0B71">
        <w:rPr>
          <w:rFonts w:ascii="Times New Roman" w:hAnsi="Times New Roman" w:cs="Times New Roman"/>
          <w:sz w:val="24"/>
          <w:szCs w:val="24"/>
        </w:rPr>
        <w:t>.</w:t>
      </w:r>
    </w:p>
    <w:p w:rsidR="002D7C9B" w:rsidRDefault="002D7C9B" w:rsidP="002D7C9B">
      <w:pPr>
        <w:spacing w:before="120" w:after="120" w:line="480" w:lineRule="auto"/>
        <w:jc w:val="both"/>
        <w:rPr>
          <w:rFonts w:ascii="Times New Roman" w:hAnsi="Times New Roman" w:cs="Times New Roman"/>
          <w:sz w:val="28"/>
          <w:szCs w:val="28"/>
        </w:rPr>
      </w:pPr>
    </w:p>
    <w:p w:rsidR="002D7C9B" w:rsidRPr="00EE0B71" w:rsidRDefault="002D7C9B" w:rsidP="002D7C9B">
      <w:pPr>
        <w:spacing w:before="120" w:after="120" w:line="480" w:lineRule="auto"/>
        <w:ind w:left="1440" w:hanging="1440"/>
        <w:jc w:val="both"/>
        <w:rPr>
          <w:rFonts w:ascii="Times New Roman" w:hAnsi="Times New Roman" w:cs="Times New Roman"/>
          <w:sz w:val="28"/>
          <w:szCs w:val="28"/>
        </w:rPr>
      </w:pPr>
      <w:r>
        <w:rPr>
          <w:rFonts w:ascii="Times New Roman" w:hAnsi="Times New Roman" w:cs="Times New Roman"/>
          <w:sz w:val="28"/>
          <w:szCs w:val="28"/>
        </w:rPr>
        <w:t>2.15.2</w:t>
      </w:r>
      <w:r>
        <w:rPr>
          <w:rFonts w:ascii="Times New Roman" w:hAnsi="Times New Roman" w:cs="Times New Roman"/>
          <w:sz w:val="28"/>
          <w:szCs w:val="28"/>
        </w:rPr>
        <w:tab/>
        <w:t>F</w:t>
      </w:r>
      <w:r w:rsidRPr="00EE0B71">
        <w:rPr>
          <w:rFonts w:ascii="Times New Roman" w:hAnsi="Times New Roman" w:cs="Times New Roman"/>
          <w:sz w:val="28"/>
          <w:szCs w:val="28"/>
        </w:rPr>
        <w:t>luorescent vancomycin</w:t>
      </w:r>
      <w:r>
        <w:rPr>
          <w:rFonts w:ascii="Times New Roman" w:hAnsi="Times New Roman" w:cs="Times New Roman"/>
          <w:sz w:val="28"/>
          <w:szCs w:val="28"/>
        </w:rPr>
        <w:t xml:space="preserve"> l</w:t>
      </w:r>
      <w:r w:rsidRPr="00EE0B71">
        <w:rPr>
          <w:rFonts w:ascii="Times New Roman" w:hAnsi="Times New Roman" w:cs="Times New Roman"/>
          <w:sz w:val="28"/>
          <w:szCs w:val="28"/>
        </w:rPr>
        <w:t xml:space="preserve">abelling of </w:t>
      </w:r>
      <w:r>
        <w:rPr>
          <w:rFonts w:ascii="Times New Roman" w:hAnsi="Times New Roman" w:cs="Times New Roman"/>
          <w:sz w:val="28"/>
          <w:szCs w:val="28"/>
        </w:rPr>
        <w:t>nascent cell wall synthesis.</w:t>
      </w:r>
    </w:p>
    <w:p w:rsidR="002D7C9B" w:rsidRDefault="002D7C9B" w:rsidP="002D7C9B">
      <w:pPr>
        <w:spacing w:before="120" w:after="120" w:line="480" w:lineRule="auto"/>
        <w:jc w:val="both"/>
        <w:rPr>
          <w:rFonts w:ascii="Times New Roman" w:hAnsi="Times New Roman" w:cs="Times New Roman"/>
          <w:sz w:val="24"/>
          <w:szCs w:val="24"/>
        </w:rPr>
      </w:pPr>
      <w:r w:rsidRPr="00EE0B71">
        <w:rPr>
          <w:rFonts w:ascii="Times New Roman" w:hAnsi="Times New Roman" w:cs="Times New Roman"/>
          <w:sz w:val="24"/>
          <w:szCs w:val="24"/>
        </w:rPr>
        <w:t xml:space="preserve">A 1 ml aliquot of </w:t>
      </w:r>
      <w:r>
        <w:rPr>
          <w:rFonts w:ascii="Times New Roman" w:hAnsi="Times New Roman" w:cs="Times New Roman"/>
          <w:sz w:val="24"/>
          <w:szCs w:val="24"/>
        </w:rPr>
        <w:t xml:space="preserve">exponential phase </w:t>
      </w:r>
      <w:r w:rsidRPr="00EE0B71">
        <w:rPr>
          <w:rFonts w:ascii="Times New Roman" w:hAnsi="Times New Roman" w:cs="Times New Roman"/>
          <w:sz w:val="24"/>
          <w:szCs w:val="24"/>
        </w:rPr>
        <w:t xml:space="preserve">culture was </w:t>
      </w:r>
      <w:r>
        <w:rPr>
          <w:rFonts w:ascii="Times New Roman" w:hAnsi="Times New Roman" w:cs="Times New Roman"/>
          <w:sz w:val="24"/>
          <w:szCs w:val="24"/>
        </w:rPr>
        <w:t xml:space="preserve">transferred to a microcentrifuge tube containing </w:t>
      </w:r>
      <w:r w:rsidRPr="00EE0B71">
        <w:rPr>
          <w:rFonts w:ascii="Times New Roman" w:hAnsi="Times New Roman" w:cs="Times New Roman"/>
          <w:sz w:val="24"/>
          <w:szCs w:val="24"/>
        </w:rPr>
        <w:t xml:space="preserve">1.0 </w:t>
      </w:r>
      <w:r>
        <w:rPr>
          <w:rFonts w:ascii="Times New Roman" w:hAnsi="Times New Roman" w:cs="Times New Roman"/>
          <w:sz w:val="24"/>
          <w:szCs w:val="24"/>
        </w:rPr>
        <w:t>µg ml</w:t>
      </w:r>
      <w:r w:rsidRPr="00A77109">
        <w:rPr>
          <w:rFonts w:ascii="Times New Roman" w:hAnsi="Times New Roman" w:cs="Times New Roman"/>
          <w:sz w:val="24"/>
          <w:szCs w:val="24"/>
          <w:vertAlign w:val="superscript"/>
        </w:rPr>
        <w:t>-1</w:t>
      </w:r>
      <w:r w:rsidRPr="00EE0B71">
        <w:rPr>
          <w:rFonts w:ascii="Times New Roman" w:hAnsi="Times New Roman" w:cs="Times New Roman"/>
          <w:sz w:val="24"/>
          <w:szCs w:val="24"/>
        </w:rPr>
        <w:t xml:space="preserve"> of a 1:1 mix of vancomycin (Sigma):vancomycin-BODIPY (Invitrogen)</w:t>
      </w:r>
      <w:r>
        <w:rPr>
          <w:rFonts w:ascii="Times New Roman" w:hAnsi="Times New Roman" w:cs="Times New Roman"/>
          <w:sz w:val="24"/>
          <w:szCs w:val="24"/>
        </w:rPr>
        <w:t xml:space="preserve"> </w:t>
      </w:r>
      <w:r w:rsidRPr="00EE0B71">
        <w:rPr>
          <w:rFonts w:ascii="Times New Roman" w:hAnsi="Times New Roman" w:cs="Times New Roman"/>
          <w:sz w:val="24"/>
          <w:szCs w:val="24"/>
        </w:rPr>
        <w:t>and incubated for 5 min</w:t>
      </w:r>
      <w:r>
        <w:rPr>
          <w:rFonts w:ascii="Times New Roman" w:hAnsi="Times New Roman" w:cs="Times New Roman"/>
          <w:sz w:val="24"/>
          <w:szCs w:val="24"/>
        </w:rPr>
        <w:t xml:space="preserve"> at the appropriate growth temperature on a rotary mixer</w:t>
      </w:r>
      <w:r w:rsidRPr="00EE0B71">
        <w:rPr>
          <w:rFonts w:ascii="Times New Roman" w:hAnsi="Times New Roman" w:cs="Times New Roman"/>
          <w:sz w:val="24"/>
          <w:szCs w:val="24"/>
        </w:rPr>
        <w:t xml:space="preserve">. </w:t>
      </w:r>
      <w:r>
        <w:rPr>
          <w:rFonts w:ascii="Times New Roman" w:hAnsi="Times New Roman" w:cs="Times New Roman"/>
          <w:sz w:val="24"/>
          <w:szCs w:val="24"/>
        </w:rPr>
        <w:t xml:space="preserve">Aliquots were </w:t>
      </w:r>
      <w:r w:rsidRPr="00EE0B71">
        <w:rPr>
          <w:rFonts w:ascii="Times New Roman" w:hAnsi="Times New Roman" w:cs="Times New Roman"/>
          <w:sz w:val="24"/>
          <w:szCs w:val="24"/>
        </w:rPr>
        <w:t xml:space="preserve">washed twice </w:t>
      </w:r>
      <w:r>
        <w:rPr>
          <w:rFonts w:ascii="Times New Roman" w:hAnsi="Times New Roman" w:cs="Times New Roman"/>
          <w:sz w:val="24"/>
          <w:szCs w:val="24"/>
        </w:rPr>
        <w:t>with sterile dH</w:t>
      </w:r>
      <w:r w:rsidRPr="009D0503">
        <w:rPr>
          <w:rFonts w:ascii="Times New Roman" w:hAnsi="Times New Roman" w:cs="Times New Roman"/>
          <w:sz w:val="24"/>
          <w:szCs w:val="24"/>
          <w:vertAlign w:val="subscript"/>
        </w:rPr>
        <w:t>2</w:t>
      </w:r>
      <w:r>
        <w:rPr>
          <w:rFonts w:ascii="Times New Roman" w:hAnsi="Times New Roman" w:cs="Times New Roman"/>
          <w:sz w:val="24"/>
          <w:szCs w:val="24"/>
        </w:rPr>
        <w:t xml:space="preserve">O </w:t>
      </w:r>
      <w:r w:rsidRPr="00EE0B71">
        <w:rPr>
          <w:rFonts w:ascii="Times New Roman" w:hAnsi="Times New Roman" w:cs="Times New Roman"/>
          <w:sz w:val="24"/>
          <w:szCs w:val="24"/>
        </w:rPr>
        <w:t xml:space="preserve">by centrifugation </w:t>
      </w:r>
      <w:r>
        <w:rPr>
          <w:rFonts w:ascii="Times New Roman" w:hAnsi="Times New Roman" w:cs="Times New Roman"/>
          <w:sz w:val="24"/>
          <w:szCs w:val="24"/>
        </w:rPr>
        <w:t>(13,000 rpm for 1 min) and resuspension, then fixed as described previously (Chapter 2.15.1)</w:t>
      </w:r>
    </w:p>
    <w:p w:rsidR="002D7C9B" w:rsidRPr="00C31C40" w:rsidRDefault="002D7C9B" w:rsidP="002D7C9B">
      <w:pPr>
        <w:spacing w:before="120" w:after="120" w:line="480" w:lineRule="auto"/>
        <w:jc w:val="both"/>
        <w:rPr>
          <w:rFonts w:ascii="Times New Roman" w:hAnsi="Times New Roman" w:cs="Times New Roman"/>
          <w:sz w:val="24"/>
          <w:szCs w:val="24"/>
        </w:rPr>
      </w:pPr>
    </w:p>
    <w:p w:rsidR="002D7C9B" w:rsidRPr="00EE0B71" w:rsidRDefault="002D7C9B" w:rsidP="002D7C9B">
      <w:pPr>
        <w:spacing w:before="120" w:after="120" w:line="480" w:lineRule="auto"/>
        <w:jc w:val="both"/>
        <w:rPr>
          <w:rFonts w:ascii="Times New Roman" w:hAnsi="Times New Roman" w:cs="Times New Roman"/>
          <w:sz w:val="28"/>
          <w:szCs w:val="28"/>
        </w:rPr>
      </w:pPr>
      <w:r>
        <w:rPr>
          <w:rFonts w:ascii="Times New Roman" w:hAnsi="Times New Roman" w:cs="Times New Roman"/>
          <w:sz w:val="28"/>
          <w:szCs w:val="28"/>
        </w:rPr>
        <w:t>2.15.3</w:t>
      </w:r>
      <w:r>
        <w:rPr>
          <w:rFonts w:ascii="Times New Roman" w:hAnsi="Times New Roman" w:cs="Times New Roman"/>
          <w:sz w:val="28"/>
          <w:szCs w:val="28"/>
        </w:rPr>
        <w:tab/>
      </w:r>
      <w:r w:rsidRPr="00EE0B71">
        <w:rPr>
          <w:rFonts w:ascii="Times New Roman" w:hAnsi="Times New Roman" w:cs="Times New Roman"/>
          <w:sz w:val="28"/>
          <w:szCs w:val="28"/>
        </w:rPr>
        <w:tab/>
        <w:t xml:space="preserve">Labelling </w:t>
      </w:r>
      <w:r>
        <w:rPr>
          <w:rFonts w:ascii="Times New Roman" w:hAnsi="Times New Roman" w:cs="Times New Roman"/>
          <w:sz w:val="28"/>
          <w:szCs w:val="28"/>
        </w:rPr>
        <w:t xml:space="preserve">of cell walls </w:t>
      </w:r>
      <w:r w:rsidRPr="00EE0B71">
        <w:rPr>
          <w:rFonts w:ascii="Times New Roman" w:hAnsi="Times New Roman" w:cs="Times New Roman"/>
          <w:sz w:val="28"/>
          <w:szCs w:val="28"/>
        </w:rPr>
        <w:t xml:space="preserve">with fluorescent lectins. </w:t>
      </w:r>
    </w:p>
    <w:p w:rsidR="002D7C9B" w:rsidRDefault="002D7C9B" w:rsidP="002D7C9B">
      <w:pPr>
        <w:spacing w:before="120"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An appropriate dilution of the extracted cell or purified sacculi was </w:t>
      </w:r>
      <w:r w:rsidRPr="00EB48B2">
        <w:rPr>
          <w:rFonts w:ascii="Times New Roman" w:hAnsi="Times New Roman" w:cs="Times New Roman"/>
          <w:sz w:val="24"/>
          <w:szCs w:val="24"/>
        </w:rPr>
        <w:t xml:space="preserve">resuspended to 250 µl volume </w:t>
      </w:r>
      <w:r>
        <w:rPr>
          <w:rFonts w:ascii="Times New Roman" w:hAnsi="Times New Roman" w:cs="Times New Roman"/>
          <w:sz w:val="24"/>
          <w:szCs w:val="24"/>
        </w:rPr>
        <w:t>in dH</w:t>
      </w:r>
      <w:r w:rsidRPr="00EE0B71">
        <w:rPr>
          <w:rFonts w:ascii="Times New Roman" w:hAnsi="Times New Roman" w:cs="Times New Roman"/>
          <w:sz w:val="24"/>
          <w:szCs w:val="24"/>
          <w:vertAlign w:val="subscript"/>
        </w:rPr>
        <w:t>2</w:t>
      </w:r>
      <w:r>
        <w:rPr>
          <w:rFonts w:ascii="Times New Roman" w:hAnsi="Times New Roman" w:cs="Times New Roman"/>
          <w:sz w:val="24"/>
          <w:szCs w:val="24"/>
        </w:rPr>
        <w:t xml:space="preserve">O </w:t>
      </w:r>
      <w:r w:rsidRPr="00EB48B2">
        <w:rPr>
          <w:rFonts w:ascii="Times New Roman" w:hAnsi="Times New Roman" w:cs="Times New Roman"/>
          <w:sz w:val="24"/>
          <w:szCs w:val="24"/>
        </w:rPr>
        <w:t>with 1.0 mM CaCl</w:t>
      </w:r>
      <w:r w:rsidRPr="00EB48B2">
        <w:rPr>
          <w:rFonts w:ascii="Times New Roman" w:hAnsi="Times New Roman" w:cs="Times New Roman"/>
          <w:sz w:val="24"/>
          <w:szCs w:val="24"/>
          <w:vertAlign w:val="subscript"/>
        </w:rPr>
        <w:t>2</w:t>
      </w:r>
      <w:r>
        <w:rPr>
          <w:rFonts w:ascii="Times New Roman" w:hAnsi="Times New Roman" w:cs="Times New Roman"/>
          <w:sz w:val="24"/>
          <w:szCs w:val="24"/>
        </w:rPr>
        <w:t xml:space="preserve"> and</w:t>
      </w:r>
      <w:r w:rsidRPr="00EB48B2">
        <w:rPr>
          <w:rFonts w:ascii="Times New Roman" w:hAnsi="Times New Roman" w:cs="Times New Roman"/>
          <w:sz w:val="24"/>
          <w:szCs w:val="24"/>
        </w:rPr>
        <w:t xml:space="preserve"> 10</w:t>
      </w:r>
      <w:r>
        <w:rPr>
          <w:rFonts w:ascii="Times New Roman" w:hAnsi="Times New Roman" w:cs="Times New Roman"/>
          <w:sz w:val="24"/>
          <w:szCs w:val="24"/>
        </w:rPr>
        <w:t>0</w:t>
      </w:r>
      <w:r w:rsidRPr="00EB48B2">
        <w:rPr>
          <w:rFonts w:ascii="Times New Roman" w:hAnsi="Times New Roman" w:cs="Times New Roman"/>
          <w:sz w:val="24"/>
          <w:szCs w:val="24"/>
        </w:rPr>
        <w:t xml:space="preserve"> </w:t>
      </w:r>
      <w:r>
        <w:rPr>
          <w:rFonts w:ascii="Times New Roman" w:hAnsi="Times New Roman" w:cs="Times New Roman"/>
          <w:sz w:val="24"/>
          <w:szCs w:val="24"/>
        </w:rPr>
        <w:t>µg ml</w:t>
      </w:r>
      <w:r w:rsidRPr="00A77109">
        <w:rPr>
          <w:rFonts w:ascii="Times New Roman" w:hAnsi="Times New Roman" w:cs="Times New Roman"/>
          <w:sz w:val="24"/>
          <w:szCs w:val="24"/>
          <w:vertAlign w:val="superscript"/>
        </w:rPr>
        <w:t>-1</w:t>
      </w:r>
      <w:r w:rsidRPr="00EB48B2">
        <w:rPr>
          <w:rFonts w:ascii="Times New Roman" w:hAnsi="Times New Roman" w:cs="Times New Roman"/>
          <w:sz w:val="24"/>
          <w:szCs w:val="24"/>
        </w:rPr>
        <w:t xml:space="preserve"> </w:t>
      </w:r>
      <w:r>
        <w:rPr>
          <w:rFonts w:ascii="Times New Roman" w:hAnsi="Times New Roman" w:cs="Times New Roman"/>
          <w:sz w:val="24"/>
          <w:szCs w:val="24"/>
        </w:rPr>
        <w:t>of the appropriate fluorescent lectin</w:t>
      </w:r>
      <w:r w:rsidRPr="00EB48B2">
        <w:rPr>
          <w:rFonts w:ascii="Times New Roman" w:hAnsi="Times New Roman" w:cs="Times New Roman"/>
          <w:sz w:val="24"/>
          <w:szCs w:val="24"/>
        </w:rPr>
        <w:t xml:space="preserve"> for 30 min. Labelled pellets were washed</w:t>
      </w:r>
      <w:r>
        <w:rPr>
          <w:rFonts w:ascii="Times New Roman" w:hAnsi="Times New Roman" w:cs="Times New Roman"/>
          <w:sz w:val="24"/>
          <w:szCs w:val="24"/>
        </w:rPr>
        <w:t xml:space="preserve"> at least 3 times</w:t>
      </w:r>
      <w:r w:rsidRPr="00EB48B2">
        <w:rPr>
          <w:rFonts w:ascii="Times New Roman" w:hAnsi="Times New Roman" w:cs="Times New Roman"/>
          <w:sz w:val="24"/>
          <w:szCs w:val="24"/>
        </w:rPr>
        <w:t xml:space="preserve"> by centrifugation</w:t>
      </w:r>
      <w:r>
        <w:rPr>
          <w:rFonts w:ascii="Times New Roman" w:hAnsi="Times New Roman" w:cs="Times New Roman"/>
          <w:sz w:val="24"/>
          <w:szCs w:val="24"/>
        </w:rPr>
        <w:t xml:space="preserve"> (13,000 rpm for 5 min)</w:t>
      </w:r>
      <w:r w:rsidRPr="00EB48B2">
        <w:rPr>
          <w:rFonts w:ascii="Times New Roman" w:hAnsi="Times New Roman" w:cs="Times New Roman"/>
          <w:sz w:val="24"/>
          <w:szCs w:val="24"/>
        </w:rPr>
        <w:t xml:space="preserve"> to remove excess lectin.</w:t>
      </w:r>
    </w:p>
    <w:p w:rsidR="002D7C9B" w:rsidRDefault="002D7C9B" w:rsidP="002D7C9B">
      <w:pPr>
        <w:rPr>
          <w:rFonts w:ascii="Times New Roman" w:hAnsi="Times New Roman" w:cs="Times New Roman"/>
          <w:sz w:val="24"/>
          <w:szCs w:val="24"/>
        </w:rPr>
      </w:pPr>
      <w:r>
        <w:rPr>
          <w:rFonts w:ascii="Times New Roman" w:hAnsi="Times New Roman" w:cs="Times New Roman"/>
          <w:sz w:val="24"/>
          <w:szCs w:val="24"/>
        </w:rPr>
        <w:br w:type="page"/>
      </w:r>
    </w:p>
    <w:p w:rsidR="002D7C9B" w:rsidRDefault="002D7C9B" w:rsidP="002D7C9B">
      <w:pPr>
        <w:spacing w:before="120" w:after="120" w:line="480" w:lineRule="auto"/>
        <w:jc w:val="both"/>
        <w:rPr>
          <w:rFonts w:ascii="Times New Roman" w:hAnsi="Times New Roman" w:cs="Times New Roman"/>
          <w:sz w:val="28"/>
          <w:szCs w:val="28"/>
        </w:rPr>
      </w:pPr>
      <w:r w:rsidRPr="00CB7907">
        <w:rPr>
          <w:rFonts w:ascii="Times New Roman" w:hAnsi="Times New Roman" w:cs="Times New Roman"/>
          <w:sz w:val="28"/>
          <w:szCs w:val="28"/>
        </w:rPr>
        <w:lastRenderedPageBreak/>
        <w:t>2.1</w:t>
      </w:r>
      <w:r>
        <w:rPr>
          <w:rFonts w:ascii="Times New Roman" w:hAnsi="Times New Roman" w:cs="Times New Roman"/>
          <w:sz w:val="28"/>
          <w:szCs w:val="28"/>
        </w:rPr>
        <w:t>5</w:t>
      </w:r>
      <w:r w:rsidRPr="00CB7907">
        <w:rPr>
          <w:rFonts w:ascii="Times New Roman" w:hAnsi="Times New Roman" w:cs="Times New Roman"/>
          <w:sz w:val="28"/>
          <w:szCs w:val="28"/>
        </w:rPr>
        <w:t>.4</w:t>
      </w:r>
      <w:r>
        <w:rPr>
          <w:rFonts w:ascii="Times New Roman" w:hAnsi="Times New Roman" w:cs="Times New Roman"/>
          <w:sz w:val="28"/>
          <w:szCs w:val="28"/>
        </w:rPr>
        <w:tab/>
      </w:r>
      <w:r>
        <w:rPr>
          <w:rFonts w:ascii="Times New Roman" w:hAnsi="Times New Roman" w:cs="Times New Roman"/>
          <w:sz w:val="28"/>
          <w:szCs w:val="28"/>
        </w:rPr>
        <w:tab/>
        <w:t>Labelling of cell walls with chemical probes.</w:t>
      </w:r>
    </w:p>
    <w:p w:rsidR="002D7C9B" w:rsidRDefault="002D7C9B" w:rsidP="002D7C9B">
      <w:pPr>
        <w:spacing w:before="120" w:after="120" w:line="480" w:lineRule="auto"/>
        <w:jc w:val="both"/>
        <w:rPr>
          <w:rFonts w:ascii="Times New Roman" w:hAnsi="Times New Roman" w:cs="Times New Roman"/>
          <w:sz w:val="24"/>
          <w:szCs w:val="24"/>
        </w:rPr>
      </w:pPr>
      <w:r>
        <w:rPr>
          <w:rFonts w:ascii="Times New Roman" w:hAnsi="Times New Roman" w:cs="Times New Roman"/>
          <w:sz w:val="24"/>
          <w:szCs w:val="24"/>
        </w:rPr>
        <w:t>Extracted cells or purified sacculi were used for labelling. The sample was washed once in 0.1 M sodium carbonate (pH 8.3) buffer and resuspended in the same buffer, and sonicated gently using a Sanyo Soniprep 150 to disperse aggregates. BODIPY SSE or HAF488 was added to a final concentration of 100 µg ml</w:t>
      </w:r>
      <w:r w:rsidRPr="00CB7907">
        <w:rPr>
          <w:rFonts w:ascii="Times New Roman" w:hAnsi="Times New Roman" w:cs="Times New Roman"/>
          <w:sz w:val="24"/>
          <w:szCs w:val="24"/>
          <w:vertAlign w:val="superscript"/>
        </w:rPr>
        <w:t>-1</w:t>
      </w:r>
      <w:r w:rsidRPr="00CB7907">
        <w:rPr>
          <w:rFonts w:ascii="Times New Roman" w:hAnsi="Times New Roman" w:cs="Times New Roman"/>
          <w:sz w:val="24"/>
          <w:szCs w:val="24"/>
        </w:rPr>
        <w:t>. The</w:t>
      </w:r>
      <w:r>
        <w:rPr>
          <w:rFonts w:ascii="Times New Roman" w:hAnsi="Times New Roman" w:cs="Times New Roman"/>
          <w:sz w:val="24"/>
          <w:szCs w:val="24"/>
        </w:rPr>
        <w:t xml:space="preserve"> total reaction volume was 200 µl. The suspension was incubated in the dark on a rotary mixer at room temperature for 1 h. Samples were washed by centrifugation (13,000 rpm for 5 min) at least twice in dH</w:t>
      </w:r>
      <w:r w:rsidRPr="00CB7907">
        <w:rPr>
          <w:rFonts w:ascii="Times New Roman" w:hAnsi="Times New Roman" w:cs="Times New Roman"/>
          <w:sz w:val="24"/>
          <w:szCs w:val="24"/>
          <w:vertAlign w:val="subscript"/>
        </w:rPr>
        <w:t>2</w:t>
      </w:r>
      <w:r>
        <w:rPr>
          <w:rFonts w:ascii="Times New Roman" w:hAnsi="Times New Roman" w:cs="Times New Roman"/>
          <w:sz w:val="24"/>
          <w:szCs w:val="24"/>
        </w:rPr>
        <w:t>O. Sacculi provide little contrast by brightfield microscopy, and were typically dual labelled with WGA Alexa Fluor 350 (Chapter 2.15.3) to aid visualisation for the sample field without bleaching the BODIPY SSE or HAF488 signal.</w:t>
      </w:r>
    </w:p>
    <w:p w:rsidR="002D7C9B" w:rsidRDefault="002D7C9B" w:rsidP="002D7C9B">
      <w:pPr>
        <w:rPr>
          <w:rFonts w:ascii="Times New Roman" w:hAnsi="Times New Roman" w:cs="Times New Roman"/>
          <w:sz w:val="28"/>
          <w:szCs w:val="28"/>
        </w:rPr>
      </w:pPr>
    </w:p>
    <w:p w:rsidR="002D7C9B" w:rsidRDefault="002D7C9B" w:rsidP="002D7C9B">
      <w:pPr>
        <w:spacing w:before="120" w:after="120" w:line="480" w:lineRule="auto"/>
        <w:jc w:val="both"/>
        <w:rPr>
          <w:rFonts w:ascii="Times New Roman" w:hAnsi="Times New Roman" w:cs="Times New Roman"/>
          <w:sz w:val="28"/>
          <w:szCs w:val="28"/>
        </w:rPr>
      </w:pPr>
      <w:r>
        <w:rPr>
          <w:rFonts w:ascii="Times New Roman" w:hAnsi="Times New Roman" w:cs="Times New Roman"/>
          <w:sz w:val="28"/>
          <w:szCs w:val="28"/>
        </w:rPr>
        <w:t>2.15.5</w:t>
      </w:r>
      <w:r>
        <w:rPr>
          <w:rFonts w:ascii="Times New Roman" w:hAnsi="Times New Roman" w:cs="Times New Roman"/>
          <w:sz w:val="28"/>
          <w:szCs w:val="28"/>
        </w:rPr>
        <w:tab/>
      </w:r>
      <w:r>
        <w:rPr>
          <w:rFonts w:ascii="Times New Roman" w:hAnsi="Times New Roman" w:cs="Times New Roman"/>
          <w:sz w:val="28"/>
          <w:szCs w:val="28"/>
        </w:rPr>
        <w:tab/>
        <w:t>Slide preparation for light microscopy</w:t>
      </w:r>
    </w:p>
    <w:p w:rsidR="002D7C9B" w:rsidRDefault="002D7C9B" w:rsidP="002D7C9B">
      <w:pPr>
        <w:spacing w:before="120" w:after="120" w:line="480" w:lineRule="auto"/>
        <w:jc w:val="both"/>
        <w:rPr>
          <w:rFonts w:ascii="Times New Roman" w:hAnsi="Times New Roman" w:cs="Times New Roman"/>
          <w:sz w:val="24"/>
          <w:szCs w:val="24"/>
        </w:rPr>
      </w:pPr>
      <w:r w:rsidRPr="00314A52">
        <w:rPr>
          <w:rFonts w:ascii="Times New Roman" w:hAnsi="Times New Roman" w:cs="Times New Roman"/>
          <w:sz w:val="24"/>
          <w:szCs w:val="24"/>
        </w:rPr>
        <w:t xml:space="preserve">Glass </w:t>
      </w:r>
      <w:r>
        <w:rPr>
          <w:rFonts w:ascii="Times New Roman" w:hAnsi="Times New Roman" w:cs="Times New Roman"/>
          <w:sz w:val="24"/>
          <w:szCs w:val="24"/>
        </w:rPr>
        <w:t>slides were washed once with soap, the rinsed thoroughly with dH</w:t>
      </w:r>
      <w:r w:rsidRPr="00314A52">
        <w:rPr>
          <w:rFonts w:ascii="Times New Roman" w:hAnsi="Times New Roman" w:cs="Times New Roman"/>
          <w:sz w:val="24"/>
          <w:szCs w:val="24"/>
          <w:vertAlign w:val="subscript"/>
        </w:rPr>
        <w:t>2</w:t>
      </w:r>
      <w:r>
        <w:rPr>
          <w:rFonts w:ascii="Times New Roman" w:hAnsi="Times New Roman" w:cs="Times New Roman"/>
          <w:sz w:val="24"/>
          <w:szCs w:val="24"/>
        </w:rPr>
        <w:t>O followed by 70 % (v/v) ethanol. Slides were air-dried, then 10 µl of 0.01 % (w/v) poly-L-lysine (Sigma) applied to aid attachment of the sample to the slide surface, and set on a flat surface to air-dry. An appropriate sample dilution was prepared in dH</w:t>
      </w:r>
      <w:r w:rsidRPr="00646D6A">
        <w:rPr>
          <w:rFonts w:ascii="Times New Roman" w:hAnsi="Times New Roman" w:cs="Times New Roman"/>
          <w:sz w:val="24"/>
          <w:szCs w:val="24"/>
          <w:vertAlign w:val="subscript"/>
        </w:rPr>
        <w:t>2</w:t>
      </w:r>
      <w:r>
        <w:rPr>
          <w:rFonts w:ascii="Times New Roman" w:hAnsi="Times New Roman" w:cs="Times New Roman"/>
          <w:sz w:val="24"/>
          <w:szCs w:val="24"/>
        </w:rPr>
        <w:t>O, and 5 µl spread gently onto the poly-L-lysine coated slide and left to air-dry. A coverslip was then mounted with 5 µl SlowFade Gold antifade reagent (Molecular Probes), and sealed by spotting DPX mountant (BDH) at each corner.</w:t>
      </w:r>
    </w:p>
    <w:p w:rsidR="002D7C9B" w:rsidRDefault="002D7C9B" w:rsidP="002D7C9B">
      <w:pPr>
        <w:spacing w:before="120" w:after="120" w:line="480" w:lineRule="auto"/>
        <w:jc w:val="both"/>
        <w:rPr>
          <w:rFonts w:ascii="Times New Roman" w:hAnsi="Times New Roman" w:cs="Times New Roman"/>
          <w:sz w:val="24"/>
          <w:szCs w:val="24"/>
        </w:rPr>
      </w:pPr>
      <w:r w:rsidRPr="009D0503">
        <w:rPr>
          <w:rFonts w:ascii="Times New Roman" w:hAnsi="Times New Roman" w:cs="Times New Roman"/>
          <w:sz w:val="24"/>
          <w:szCs w:val="24"/>
        </w:rPr>
        <w:t xml:space="preserve"> </w:t>
      </w:r>
    </w:p>
    <w:p w:rsidR="002D7C9B" w:rsidRDefault="002D7C9B" w:rsidP="002D7C9B">
      <w:pPr>
        <w:spacing w:before="120" w:after="120" w:line="480" w:lineRule="auto"/>
        <w:jc w:val="both"/>
        <w:rPr>
          <w:rFonts w:ascii="Times New Roman" w:hAnsi="Times New Roman" w:cs="Times New Roman"/>
          <w:sz w:val="24"/>
          <w:szCs w:val="24"/>
        </w:rPr>
      </w:pPr>
      <w:r w:rsidRPr="00B3592A">
        <w:rPr>
          <w:rFonts w:ascii="Times New Roman" w:hAnsi="Times New Roman" w:cs="Times New Roman"/>
          <w:sz w:val="28"/>
          <w:szCs w:val="28"/>
        </w:rPr>
        <w:t>2.1</w:t>
      </w:r>
      <w:r>
        <w:rPr>
          <w:rFonts w:ascii="Times New Roman" w:hAnsi="Times New Roman" w:cs="Times New Roman"/>
          <w:sz w:val="28"/>
          <w:szCs w:val="28"/>
        </w:rPr>
        <w:t>5</w:t>
      </w:r>
      <w:r w:rsidRPr="00B3592A">
        <w:rPr>
          <w:rFonts w:ascii="Times New Roman" w:hAnsi="Times New Roman" w:cs="Times New Roman"/>
          <w:sz w:val="28"/>
          <w:szCs w:val="28"/>
        </w:rPr>
        <w:t>.</w:t>
      </w:r>
      <w:r>
        <w:rPr>
          <w:rFonts w:ascii="Times New Roman" w:hAnsi="Times New Roman" w:cs="Times New Roman"/>
          <w:sz w:val="28"/>
          <w:szCs w:val="28"/>
        </w:rPr>
        <w:t>6</w:t>
      </w:r>
      <w:r w:rsidRPr="00B3592A">
        <w:rPr>
          <w:rFonts w:ascii="Times New Roman" w:hAnsi="Times New Roman" w:cs="Times New Roman"/>
          <w:sz w:val="28"/>
          <w:szCs w:val="28"/>
        </w:rPr>
        <w:tab/>
      </w:r>
      <w:r>
        <w:rPr>
          <w:rFonts w:ascii="Times New Roman" w:hAnsi="Times New Roman" w:cs="Times New Roman"/>
          <w:sz w:val="28"/>
          <w:szCs w:val="28"/>
        </w:rPr>
        <w:tab/>
      </w:r>
      <w:r w:rsidRPr="00B3592A">
        <w:rPr>
          <w:rFonts w:ascii="Times New Roman" w:hAnsi="Times New Roman" w:cs="Times New Roman"/>
          <w:sz w:val="28"/>
          <w:szCs w:val="28"/>
        </w:rPr>
        <w:t>Fluorescence microscopy.</w:t>
      </w:r>
    </w:p>
    <w:p w:rsidR="002D7C9B" w:rsidRDefault="002D7C9B" w:rsidP="002D7C9B">
      <w:pPr>
        <w:spacing w:before="120" w:after="120" w:line="480" w:lineRule="auto"/>
        <w:jc w:val="both"/>
        <w:rPr>
          <w:rFonts w:ascii="Times New Roman" w:hAnsi="Times New Roman" w:cs="Times New Roman"/>
          <w:sz w:val="24"/>
          <w:szCs w:val="24"/>
        </w:rPr>
      </w:pPr>
      <w:r>
        <w:rPr>
          <w:rFonts w:ascii="Times New Roman" w:hAnsi="Times New Roman" w:cs="Times New Roman"/>
          <w:sz w:val="24"/>
          <w:szCs w:val="24"/>
        </w:rPr>
        <w:t>Fluorescence microscopy was carried out using a</w:t>
      </w:r>
      <w:r w:rsidRPr="009D0503">
        <w:rPr>
          <w:rFonts w:ascii="Times New Roman" w:hAnsi="Times New Roman" w:cs="Times New Roman"/>
          <w:sz w:val="24"/>
          <w:szCs w:val="24"/>
        </w:rPr>
        <w:t xml:space="preserve"> DeltaVision deconvolution microscope (Applied precision)</w:t>
      </w:r>
      <w:r>
        <w:rPr>
          <w:rFonts w:ascii="Times New Roman" w:hAnsi="Times New Roman" w:cs="Times New Roman"/>
          <w:sz w:val="24"/>
          <w:szCs w:val="24"/>
        </w:rPr>
        <w:t xml:space="preserve"> equipped with appropriate filters for imaging of each </w:t>
      </w:r>
      <w:r w:rsidRPr="00F115D3">
        <w:rPr>
          <w:rFonts w:ascii="Times New Roman" w:hAnsi="Times New Roman" w:cs="Times New Roman"/>
          <w:color w:val="000000" w:themeColor="text1"/>
          <w:sz w:val="24"/>
          <w:szCs w:val="24"/>
        </w:rPr>
        <w:lastRenderedPageBreak/>
        <w:t>fluorophore (Table 2.9). Images</w:t>
      </w:r>
      <w:r w:rsidRPr="009D0503">
        <w:rPr>
          <w:rFonts w:ascii="Times New Roman" w:hAnsi="Times New Roman" w:cs="Times New Roman"/>
          <w:sz w:val="24"/>
          <w:szCs w:val="24"/>
        </w:rPr>
        <w:t xml:space="preserve"> were deconvolved using SoftWoRx suite v.3.5.1.</w:t>
      </w:r>
      <w:r>
        <w:rPr>
          <w:rFonts w:ascii="Times New Roman" w:hAnsi="Times New Roman" w:cs="Times New Roman"/>
          <w:sz w:val="24"/>
          <w:szCs w:val="24"/>
        </w:rPr>
        <w:t xml:space="preserve"> Deconvolved fluorescence images were processed, and cell measurements carried out, using ImageJ version 1.43u.</w:t>
      </w:r>
    </w:p>
    <w:p w:rsidR="002D7C9B" w:rsidRDefault="002D7C9B" w:rsidP="002D7C9B">
      <w:pPr>
        <w:spacing w:before="120" w:after="120" w:line="480" w:lineRule="auto"/>
        <w:jc w:val="both"/>
        <w:rPr>
          <w:rFonts w:ascii="Times New Roman" w:hAnsi="Times New Roman" w:cs="Times New Roman"/>
          <w:sz w:val="24"/>
          <w:szCs w:val="24"/>
        </w:rPr>
      </w:pPr>
    </w:p>
    <w:p w:rsidR="002D7C9B" w:rsidRDefault="002D7C9B" w:rsidP="002D7C9B">
      <w:pPr>
        <w:spacing w:before="120" w:after="120" w:line="480" w:lineRule="auto"/>
        <w:ind w:left="1440" w:hanging="1440"/>
        <w:jc w:val="both"/>
        <w:rPr>
          <w:rFonts w:ascii="Times New Roman" w:hAnsi="Times New Roman" w:cs="Times New Roman"/>
          <w:sz w:val="24"/>
          <w:szCs w:val="24"/>
        </w:rPr>
      </w:pPr>
      <w:r>
        <w:rPr>
          <w:rFonts w:ascii="Times New Roman" w:hAnsi="Times New Roman" w:cs="Times New Roman"/>
          <w:sz w:val="28"/>
          <w:szCs w:val="28"/>
        </w:rPr>
        <w:t>2.15.7</w:t>
      </w:r>
      <w:r>
        <w:rPr>
          <w:rFonts w:ascii="Times New Roman" w:hAnsi="Times New Roman" w:cs="Times New Roman"/>
          <w:sz w:val="28"/>
          <w:szCs w:val="28"/>
        </w:rPr>
        <w:tab/>
      </w:r>
      <w:r w:rsidRPr="00BF433C">
        <w:rPr>
          <w:rFonts w:ascii="Times New Roman" w:hAnsi="Times New Roman" w:cs="Times New Roman"/>
          <w:sz w:val="28"/>
          <w:szCs w:val="28"/>
        </w:rPr>
        <w:t>Three dimensional structured illumination microscopy</w:t>
      </w:r>
      <w:r>
        <w:rPr>
          <w:rFonts w:ascii="Times New Roman" w:hAnsi="Times New Roman" w:cs="Times New Roman"/>
          <w:sz w:val="28"/>
          <w:szCs w:val="28"/>
        </w:rPr>
        <w:t xml:space="preserve"> (3D-SIM)</w:t>
      </w:r>
      <w:r w:rsidRPr="00BF433C">
        <w:rPr>
          <w:rFonts w:ascii="Times New Roman" w:hAnsi="Times New Roman" w:cs="Times New Roman"/>
          <w:sz w:val="28"/>
          <w:szCs w:val="28"/>
        </w:rPr>
        <w:t xml:space="preserve"> </w:t>
      </w:r>
    </w:p>
    <w:p w:rsidR="002D7C9B" w:rsidRDefault="002D7C9B" w:rsidP="002D7C9B">
      <w:pPr>
        <w:spacing w:before="120"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Super-resolution 3D-SIM </w:t>
      </w:r>
      <w:r w:rsidRPr="009D0503">
        <w:rPr>
          <w:rFonts w:ascii="Times New Roman" w:hAnsi="Times New Roman" w:cs="Times New Roman"/>
          <w:sz w:val="24"/>
          <w:szCs w:val="24"/>
        </w:rPr>
        <w:t xml:space="preserve">was carried out at the University of Dundee Light Microscope Facility using an OMX v.3 system (Applied Precision). Images were reconstructed and aligned using SoftWoRx suite v.4.5.0 (unreleased development version). </w:t>
      </w:r>
      <w:r>
        <w:rPr>
          <w:rFonts w:ascii="Times New Roman" w:hAnsi="Times New Roman" w:cs="Times New Roman"/>
          <w:sz w:val="24"/>
          <w:szCs w:val="24"/>
        </w:rPr>
        <w:t>C</w:t>
      </w:r>
      <w:r w:rsidRPr="009D0503">
        <w:rPr>
          <w:rFonts w:ascii="Times New Roman" w:hAnsi="Times New Roman" w:cs="Times New Roman"/>
          <w:sz w:val="24"/>
          <w:szCs w:val="24"/>
        </w:rPr>
        <w:t>ontrast optimisation, 3D reconstruction and cell measurements were performed using ImageJ v.1.43u</w:t>
      </w:r>
      <w:r>
        <w:rPr>
          <w:rFonts w:ascii="Times New Roman" w:hAnsi="Times New Roman" w:cs="Times New Roman"/>
          <w:sz w:val="24"/>
          <w:szCs w:val="24"/>
        </w:rPr>
        <w:t>.</w:t>
      </w:r>
    </w:p>
    <w:p w:rsidR="002D7C9B" w:rsidRDefault="002D7C9B" w:rsidP="002D7C9B">
      <w:pPr>
        <w:spacing w:before="120" w:after="120" w:line="480" w:lineRule="auto"/>
        <w:jc w:val="both"/>
        <w:rPr>
          <w:rFonts w:ascii="Times New Roman" w:hAnsi="Times New Roman" w:cs="Times New Roman"/>
          <w:sz w:val="24"/>
          <w:szCs w:val="24"/>
        </w:rPr>
      </w:pPr>
    </w:p>
    <w:p w:rsidR="002D7C9B" w:rsidRDefault="002D7C9B" w:rsidP="002D7C9B">
      <w:pPr>
        <w:spacing w:before="120" w:after="120" w:line="480" w:lineRule="auto"/>
        <w:jc w:val="both"/>
        <w:rPr>
          <w:rFonts w:ascii="Times New Roman" w:hAnsi="Times New Roman" w:cs="Times New Roman"/>
          <w:sz w:val="28"/>
          <w:szCs w:val="28"/>
        </w:rPr>
      </w:pPr>
      <w:r>
        <w:rPr>
          <w:rFonts w:ascii="Times New Roman" w:hAnsi="Times New Roman" w:cs="Times New Roman"/>
          <w:sz w:val="28"/>
          <w:szCs w:val="28"/>
        </w:rPr>
        <w:t>2.15.8</w:t>
      </w:r>
      <w:r>
        <w:rPr>
          <w:rFonts w:ascii="Times New Roman" w:hAnsi="Times New Roman" w:cs="Times New Roman"/>
          <w:sz w:val="28"/>
          <w:szCs w:val="28"/>
        </w:rPr>
        <w:tab/>
      </w:r>
      <w:r>
        <w:rPr>
          <w:rFonts w:ascii="Times New Roman" w:hAnsi="Times New Roman" w:cs="Times New Roman"/>
          <w:sz w:val="28"/>
          <w:szCs w:val="28"/>
        </w:rPr>
        <w:tab/>
      </w:r>
      <w:r w:rsidRPr="00AD7ECD">
        <w:rPr>
          <w:rFonts w:ascii="Times New Roman" w:hAnsi="Times New Roman" w:cs="Times New Roman"/>
          <w:sz w:val="28"/>
          <w:szCs w:val="28"/>
        </w:rPr>
        <w:t xml:space="preserve">Imaging of </w:t>
      </w:r>
      <w:r>
        <w:rPr>
          <w:rFonts w:ascii="Times New Roman" w:hAnsi="Times New Roman" w:cs="Times New Roman"/>
          <w:sz w:val="28"/>
          <w:szCs w:val="28"/>
        </w:rPr>
        <w:t>purified cell walls by AFM</w:t>
      </w:r>
    </w:p>
    <w:p w:rsidR="002D7C9B" w:rsidRPr="00AD7ECD" w:rsidRDefault="002D7C9B" w:rsidP="002D7C9B">
      <w:pPr>
        <w:spacing w:before="120" w:after="120" w:line="480" w:lineRule="auto"/>
        <w:jc w:val="both"/>
        <w:rPr>
          <w:rFonts w:ascii="Times New Roman" w:hAnsi="Times New Roman" w:cs="Times New Roman"/>
          <w:sz w:val="24"/>
          <w:szCs w:val="24"/>
        </w:rPr>
      </w:pPr>
      <w:r>
        <w:rPr>
          <w:rFonts w:ascii="Times New Roman" w:hAnsi="Times New Roman" w:cs="Times New Roman"/>
          <w:sz w:val="24"/>
          <w:szCs w:val="24"/>
        </w:rPr>
        <w:t>Sacculi were imaged using a Multimode AFM with and Extended Nanoscope IIIa controller (Veeco Instruments). Imaging was carried out in tapping mode using silicon tips (Olympus) under ambient conditions. Post-processing of images was performed using Gwyddeon v2.19 software.</w:t>
      </w:r>
    </w:p>
    <w:p w:rsidR="002D7C9B" w:rsidRPr="00347EF3" w:rsidRDefault="002D7C9B" w:rsidP="002D7C9B">
      <w:pPr>
        <w:autoSpaceDE w:val="0"/>
        <w:autoSpaceDN w:val="0"/>
        <w:adjustRightInd w:val="0"/>
        <w:spacing w:after="120" w:line="480" w:lineRule="auto"/>
        <w:jc w:val="both"/>
        <w:rPr>
          <w:rFonts w:ascii="Times New Roman" w:hAnsi="Times New Roman" w:cs="Times New Roman"/>
        </w:rPr>
      </w:pPr>
    </w:p>
    <w:p w:rsidR="002D7C9B" w:rsidRDefault="002D7C9B" w:rsidP="002D7C9B">
      <w:pPr>
        <w:autoSpaceDE w:val="0"/>
        <w:autoSpaceDN w:val="0"/>
        <w:adjustRightInd w:val="0"/>
        <w:spacing w:after="120" w:line="480" w:lineRule="auto"/>
        <w:jc w:val="both"/>
        <w:rPr>
          <w:rFonts w:ascii="Times New Roman" w:hAnsi="Times New Roman" w:cs="Times New Roman"/>
          <w:sz w:val="28"/>
          <w:szCs w:val="28"/>
        </w:rPr>
      </w:pPr>
      <w:r w:rsidRPr="00BF433C">
        <w:rPr>
          <w:rFonts w:ascii="Times New Roman" w:hAnsi="Times New Roman" w:cs="Times New Roman"/>
          <w:sz w:val="28"/>
          <w:szCs w:val="28"/>
        </w:rPr>
        <w:t>2.1</w:t>
      </w:r>
      <w:r>
        <w:rPr>
          <w:rFonts w:ascii="Times New Roman" w:hAnsi="Times New Roman" w:cs="Times New Roman"/>
          <w:sz w:val="28"/>
          <w:szCs w:val="28"/>
        </w:rPr>
        <w:t>5</w:t>
      </w:r>
      <w:r w:rsidRPr="00BF433C">
        <w:rPr>
          <w:rFonts w:ascii="Times New Roman" w:hAnsi="Times New Roman" w:cs="Times New Roman"/>
          <w:sz w:val="28"/>
          <w:szCs w:val="28"/>
        </w:rPr>
        <w:t>.</w:t>
      </w:r>
      <w:r>
        <w:rPr>
          <w:rFonts w:ascii="Times New Roman" w:hAnsi="Times New Roman" w:cs="Times New Roman"/>
          <w:sz w:val="28"/>
          <w:szCs w:val="28"/>
        </w:rPr>
        <w:t>9</w:t>
      </w:r>
      <w:r>
        <w:rPr>
          <w:rFonts w:ascii="Times New Roman" w:hAnsi="Times New Roman" w:cs="Times New Roman"/>
          <w:sz w:val="28"/>
          <w:szCs w:val="28"/>
        </w:rPr>
        <w:tab/>
      </w:r>
      <w:r>
        <w:rPr>
          <w:rFonts w:ascii="Times New Roman" w:hAnsi="Times New Roman" w:cs="Times New Roman"/>
          <w:sz w:val="28"/>
          <w:szCs w:val="28"/>
        </w:rPr>
        <w:tab/>
      </w:r>
      <w:r w:rsidRPr="00BF433C">
        <w:rPr>
          <w:rFonts w:ascii="Times New Roman" w:hAnsi="Times New Roman" w:cs="Times New Roman"/>
          <w:sz w:val="28"/>
          <w:szCs w:val="28"/>
        </w:rPr>
        <w:t>Electron microscopy</w:t>
      </w:r>
    </w:p>
    <w:p w:rsidR="002D7C9B" w:rsidRDefault="002D7C9B" w:rsidP="002D7C9B">
      <w:pPr>
        <w:autoSpaceDE w:val="0"/>
        <w:autoSpaceDN w:val="0"/>
        <w:adjustRightInd w:val="0"/>
        <w:spacing w:after="120" w:line="480" w:lineRule="auto"/>
        <w:jc w:val="both"/>
        <w:rPr>
          <w:rFonts w:ascii="Times New Roman" w:hAnsi="Times New Roman" w:cs="Times New Roman"/>
          <w:sz w:val="24"/>
          <w:szCs w:val="24"/>
        </w:rPr>
      </w:pPr>
      <w:r w:rsidRPr="00BF433C">
        <w:rPr>
          <w:rFonts w:ascii="Times New Roman" w:hAnsi="Times New Roman" w:cs="Times New Roman"/>
          <w:sz w:val="24"/>
          <w:szCs w:val="24"/>
        </w:rPr>
        <w:t>Cells were grown to exponential phase (final OD</w:t>
      </w:r>
      <w:r w:rsidRPr="00BF433C">
        <w:rPr>
          <w:rFonts w:ascii="Times New Roman" w:hAnsi="Times New Roman" w:cs="Times New Roman"/>
          <w:sz w:val="24"/>
          <w:szCs w:val="24"/>
          <w:vertAlign w:val="subscript"/>
        </w:rPr>
        <w:t>600</w:t>
      </w:r>
      <w:r w:rsidRPr="00BF433C">
        <w:rPr>
          <w:rFonts w:ascii="Times New Roman" w:hAnsi="Times New Roman" w:cs="Times New Roman"/>
          <w:sz w:val="24"/>
          <w:szCs w:val="24"/>
        </w:rPr>
        <w:t xml:space="preserve"> ~ 0.5), washed by centrifugation with distilled water and fixed with 3% (v/v) </w:t>
      </w:r>
      <w:r>
        <w:rPr>
          <w:rFonts w:ascii="Times New Roman" w:hAnsi="Times New Roman" w:cs="Times New Roman"/>
          <w:sz w:val="24"/>
          <w:szCs w:val="24"/>
        </w:rPr>
        <w:t>glutaraldehyde</w:t>
      </w:r>
      <w:r w:rsidRPr="00BF433C">
        <w:rPr>
          <w:rFonts w:ascii="Times New Roman" w:hAnsi="Times New Roman" w:cs="Times New Roman"/>
          <w:sz w:val="24"/>
          <w:szCs w:val="24"/>
        </w:rPr>
        <w:t xml:space="preserve"> in 0.1 M sodium cacodylate </w:t>
      </w:r>
      <w:r>
        <w:rPr>
          <w:rFonts w:ascii="Times New Roman" w:hAnsi="Times New Roman" w:cs="Times New Roman"/>
          <w:sz w:val="24"/>
          <w:szCs w:val="24"/>
        </w:rPr>
        <w:t>buffer pH 7.4 overnight at 4°C.</w:t>
      </w:r>
    </w:p>
    <w:p w:rsidR="002D7C9B" w:rsidRDefault="002D7C9B" w:rsidP="002D7C9B">
      <w:pPr>
        <w:autoSpaceDE w:val="0"/>
        <w:autoSpaceDN w:val="0"/>
        <w:adjustRightInd w:val="0"/>
        <w:spacing w:after="120" w:line="480" w:lineRule="auto"/>
        <w:jc w:val="both"/>
        <w:rPr>
          <w:rFonts w:ascii="Times New Roman" w:hAnsi="Times New Roman" w:cs="Times New Roman"/>
          <w:sz w:val="24"/>
          <w:szCs w:val="24"/>
        </w:rPr>
      </w:pPr>
    </w:p>
    <w:p w:rsidR="002D7C9B" w:rsidRPr="007C25EF" w:rsidRDefault="002D7C9B" w:rsidP="002D7C9B">
      <w:pPr>
        <w:spacing w:before="120" w:after="120" w:line="360" w:lineRule="auto"/>
        <w:jc w:val="both"/>
        <w:rPr>
          <w:rFonts w:ascii="Times New Roman" w:hAnsi="Times New Roman" w:cs="Times New Roman"/>
          <w:b/>
          <w:sz w:val="24"/>
          <w:szCs w:val="24"/>
        </w:rPr>
      </w:pPr>
      <w:r w:rsidRPr="007C25EF">
        <w:rPr>
          <w:rFonts w:ascii="Times New Roman" w:hAnsi="Times New Roman" w:cs="Times New Roman"/>
          <w:b/>
          <w:sz w:val="24"/>
          <w:szCs w:val="24"/>
        </w:rPr>
        <w:lastRenderedPageBreak/>
        <w:t>Table 2.</w:t>
      </w:r>
      <w:r>
        <w:rPr>
          <w:rFonts w:ascii="Times New Roman" w:hAnsi="Times New Roman" w:cs="Times New Roman"/>
          <w:b/>
          <w:sz w:val="24"/>
          <w:szCs w:val="24"/>
        </w:rPr>
        <w:t>9</w:t>
      </w:r>
      <w:r w:rsidRPr="007C25EF">
        <w:rPr>
          <w:rFonts w:ascii="Times New Roman" w:hAnsi="Times New Roman" w:cs="Times New Roman"/>
          <w:b/>
          <w:sz w:val="24"/>
          <w:szCs w:val="24"/>
        </w:rPr>
        <w:t xml:space="preserve"> DeltaVision filter sets.</w:t>
      </w:r>
    </w:p>
    <w:tbl>
      <w:tblPr>
        <w:tblStyle w:val="TableGrid"/>
        <w:tblW w:w="0" w:type="auto"/>
        <w:tblLook w:val="04A0"/>
      </w:tblPr>
      <w:tblGrid>
        <w:gridCol w:w="1360"/>
        <w:gridCol w:w="2930"/>
        <w:gridCol w:w="2215"/>
        <w:gridCol w:w="2215"/>
      </w:tblGrid>
      <w:tr w:rsidR="002D7C9B" w:rsidTr="002D7C9B">
        <w:tc>
          <w:tcPr>
            <w:tcW w:w="1384" w:type="dxa"/>
            <w:tcBorders>
              <w:left w:val="nil"/>
              <w:bottom w:val="single" w:sz="4" w:space="0" w:color="auto"/>
              <w:right w:val="nil"/>
            </w:tcBorders>
          </w:tcPr>
          <w:p w:rsidR="002D7C9B" w:rsidRPr="00314A52" w:rsidRDefault="002D7C9B" w:rsidP="002D7C9B">
            <w:pPr>
              <w:spacing w:before="120" w:after="120"/>
              <w:rPr>
                <w:rFonts w:ascii="Times New Roman" w:hAnsi="Times New Roman" w:cs="Times New Roman"/>
                <w:b/>
                <w:sz w:val="24"/>
                <w:szCs w:val="24"/>
              </w:rPr>
            </w:pPr>
            <w:r w:rsidRPr="00314A52">
              <w:rPr>
                <w:rFonts w:ascii="Times New Roman" w:hAnsi="Times New Roman" w:cs="Times New Roman"/>
                <w:b/>
                <w:sz w:val="24"/>
                <w:szCs w:val="24"/>
              </w:rPr>
              <w:t>Filter</w:t>
            </w:r>
          </w:p>
        </w:tc>
        <w:tc>
          <w:tcPr>
            <w:tcW w:w="3236" w:type="dxa"/>
            <w:tcBorders>
              <w:left w:val="nil"/>
              <w:bottom w:val="single" w:sz="4" w:space="0" w:color="auto"/>
              <w:right w:val="nil"/>
            </w:tcBorders>
          </w:tcPr>
          <w:p w:rsidR="002D7C9B" w:rsidRPr="00314A52" w:rsidRDefault="002D7C9B" w:rsidP="002D7C9B">
            <w:pPr>
              <w:spacing w:before="120" w:after="120"/>
              <w:jc w:val="center"/>
              <w:rPr>
                <w:rFonts w:ascii="Times New Roman" w:hAnsi="Times New Roman" w:cs="Times New Roman"/>
                <w:b/>
                <w:sz w:val="24"/>
                <w:szCs w:val="24"/>
              </w:rPr>
            </w:pPr>
            <w:r w:rsidRPr="00314A52">
              <w:rPr>
                <w:rFonts w:ascii="Times New Roman" w:hAnsi="Times New Roman" w:cs="Times New Roman"/>
                <w:b/>
                <w:sz w:val="24"/>
                <w:szCs w:val="24"/>
              </w:rPr>
              <w:t>Compatible fluorophore</w:t>
            </w:r>
          </w:p>
        </w:tc>
        <w:tc>
          <w:tcPr>
            <w:tcW w:w="2311" w:type="dxa"/>
            <w:tcBorders>
              <w:left w:val="nil"/>
              <w:bottom w:val="single" w:sz="4" w:space="0" w:color="auto"/>
              <w:right w:val="nil"/>
            </w:tcBorders>
          </w:tcPr>
          <w:p w:rsidR="002D7C9B" w:rsidRPr="00314A52" w:rsidRDefault="002D7C9B" w:rsidP="002D7C9B">
            <w:pPr>
              <w:spacing w:before="120" w:after="120"/>
              <w:jc w:val="center"/>
              <w:rPr>
                <w:rFonts w:ascii="Times New Roman" w:hAnsi="Times New Roman" w:cs="Times New Roman"/>
                <w:b/>
                <w:sz w:val="24"/>
                <w:szCs w:val="24"/>
              </w:rPr>
            </w:pPr>
            <w:r w:rsidRPr="00314A52">
              <w:rPr>
                <w:rFonts w:ascii="Times New Roman" w:hAnsi="Times New Roman" w:cs="Times New Roman"/>
                <w:b/>
                <w:sz w:val="24"/>
                <w:szCs w:val="24"/>
              </w:rPr>
              <w:t>Excitation</w:t>
            </w:r>
          </w:p>
          <w:p w:rsidR="002D7C9B" w:rsidRPr="00314A52" w:rsidRDefault="002D7C9B" w:rsidP="002D7C9B">
            <w:pPr>
              <w:spacing w:before="120" w:after="120"/>
              <w:jc w:val="center"/>
              <w:rPr>
                <w:rFonts w:ascii="Times New Roman" w:hAnsi="Times New Roman" w:cs="Times New Roman"/>
                <w:b/>
                <w:sz w:val="24"/>
                <w:szCs w:val="24"/>
              </w:rPr>
            </w:pPr>
            <w:r w:rsidRPr="00314A52">
              <w:rPr>
                <w:rFonts w:ascii="Times New Roman" w:hAnsi="Times New Roman" w:cs="Times New Roman"/>
                <w:b/>
                <w:sz w:val="24"/>
                <w:szCs w:val="24"/>
              </w:rPr>
              <w:t>filter/bandpass (nm)</w:t>
            </w:r>
          </w:p>
        </w:tc>
        <w:tc>
          <w:tcPr>
            <w:tcW w:w="2311" w:type="dxa"/>
            <w:tcBorders>
              <w:left w:val="nil"/>
              <w:bottom w:val="single" w:sz="4" w:space="0" w:color="auto"/>
              <w:right w:val="nil"/>
            </w:tcBorders>
          </w:tcPr>
          <w:p w:rsidR="002D7C9B" w:rsidRPr="00314A52" w:rsidRDefault="002D7C9B" w:rsidP="002D7C9B">
            <w:pPr>
              <w:spacing w:before="120" w:after="120"/>
              <w:jc w:val="center"/>
              <w:rPr>
                <w:rFonts w:ascii="Times New Roman" w:hAnsi="Times New Roman" w:cs="Times New Roman"/>
                <w:b/>
                <w:sz w:val="24"/>
                <w:szCs w:val="24"/>
              </w:rPr>
            </w:pPr>
            <w:r w:rsidRPr="00314A52">
              <w:rPr>
                <w:rFonts w:ascii="Times New Roman" w:hAnsi="Times New Roman" w:cs="Times New Roman"/>
                <w:b/>
                <w:sz w:val="24"/>
                <w:szCs w:val="24"/>
              </w:rPr>
              <w:t>Excitation</w:t>
            </w:r>
          </w:p>
          <w:p w:rsidR="002D7C9B" w:rsidRPr="00314A52" w:rsidRDefault="002D7C9B" w:rsidP="002D7C9B">
            <w:pPr>
              <w:spacing w:before="120" w:after="120"/>
              <w:jc w:val="center"/>
              <w:rPr>
                <w:rFonts w:ascii="Times New Roman" w:hAnsi="Times New Roman" w:cs="Times New Roman"/>
                <w:b/>
                <w:sz w:val="24"/>
                <w:szCs w:val="24"/>
              </w:rPr>
            </w:pPr>
            <w:r w:rsidRPr="00314A52">
              <w:rPr>
                <w:rFonts w:ascii="Times New Roman" w:hAnsi="Times New Roman" w:cs="Times New Roman"/>
                <w:b/>
                <w:sz w:val="24"/>
                <w:szCs w:val="24"/>
              </w:rPr>
              <w:t>filter/bandpass (nm)</w:t>
            </w:r>
          </w:p>
        </w:tc>
      </w:tr>
      <w:tr w:rsidR="002D7C9B" w:rsidTr="002D7C9B">
        <w:tc>
          <w:tcPr>
            <w:tcW w:w="1384" w:type="dxa"/>
            <w:tcBorders>
              <w:left w:val="nil"/>
              <w:bottom w:val="nil"/>
              <w:right w:val="nil"/>
            </w:tcBorders>
          </w:tcPr>
          <w:p w:rsidR="002D7C9B" w:rsidRDefault="002D7C9B" w:rsidP="002D7C9B">
            <w:pPr>
              <w:spacing w:before="120" w:after="120"/>
              <w:rPr>
                <w:rFonts w:ascii="Times New Roman" w:hAnsi="Times New Roman" w:cs="Times New Roman"/>
                <w:sz w:val="24"/>
                <w:szCs w:val="24"/>
              </w:rPr>
            </w:pPr>
            <w:r>
              <w:rPr>
                <w:rFonts w:ascii="Times New Roman" w:hAnsi="Times New Roman" w:cs="Times New Roman"/>
                <w:sz w:val="24"/>
                <w:szCs w:val="24"/>
              </w:rPr>
              <w:t>DAPI</w:t>
            </w:r>
          </w:p>
        </w:tc>
        <w:tc>
          <w:tcPr>
            <w:tcW w:w="3236" w:type="dxa"/>
            <w:tcBorders>
              <w:left w:val="nil"/>
              <w:bottom w:val="nil"/>
              <w:right w:val="nil"/>
            </w:tcBorders>
          </w:tcPr>
          <w:p w:rsidR="002D7C9B" w:rsidRDefault="002D7C9B" w:rsidP="002D7C9B">
            <w:pPr>
              <w:spacing w:before="120" w:after="120"/>
              <w:rPr>
                <w:rFonts w:ascii="Times New Roman" w:hAnsi="Times New Roman" w:cs="Times New Roman"/>
                <w:sz w:val="24"/>
                <w:szCs w:val="24"/>
              </w:rPr>
            </w:pPr>
            <w:r>
              <w:rPr>
                <w:rFonts w:ascii="Times New Roman" w:hAnsi="Times New Roman" w:cs="Times New Roman"/>
                <w:sz w:val="24"/>
                <w:szCs w:val="24"/>
              </w:rPr>
              <w:t>AlexaFluor 350</w:t>
            </w:r>
          </w:p>
        </w:tc>
        <w:tc>
          <w:tcPr>
            <w:tcW w:w="2311" w:type="dxa"/>
            <w:tcBorders>
              <w:left w:val="nil"/>
              <w:bottom w:val="nil"/>
              <w:right w:val="nil"/>
            </w:tcBorders>
          </w:tcPr>
          <w:p w:rsidR="002D7C9B" w:rsidRDefault="002D7C9B" w:rsidP="002D7C9B">
            <w:pPr>
              <w:spacing w:before="120" w:after="120"/>
              <w:jc w:val="center"/>
              <w:rPr>
                <w:rFonts w:ascii="Times New Roman" w:hAnsi="Times New Roman" w:cs="Times New Roman"/>
                <w:sz w:val="24"/>
                <w:szCs w:val="24"/>
              </w:rPr>
            </w:pPr>
            <w:r>
              <w:rPr>
                <w:rFonts w:ascii="Times New Roman" w:hAnsi="Times New Roman" w:cs="Times New Roman"/>
                <w:sz w:val="24"/>
                <w:szCs w:val="24"/>
              </w:rPr>
              <w:t>360/40</w:t>
            </w:r>
          </w:p>
        </w:tc>
        <w:tc>
          <w:tcPr>
            <w:tcW w:w="2311" w:type="dxa"/>
            <w:tcBorders>
              <w:left w:val="nil"/>
              <w:bottom w:val="nil"/>
              <w:right w:val="nil"/>
            </w:tcBorders>
          </w:tcPr>
          <w:p w:rsidR="002D7C9B" w:rsidRDefault="002D7C9B" w:rsidP="002D7C9B">
            <w:pPr>
              <w:spacing w:before="120" w:after="120"/>
              <w:jc w:val="center"/>
              <w:rPr>
                <w:rFonts w:ascii="Times New Roman" w:hAnsi="Times New Roman" w:cs="Times New Roman"/>
                <w:sz w:val="24"/>
                <w:szCs w:val="24"/>
              </w:rPr>
            </w:pPr>
            <w:r>
              <w:rPr>
                <w:rFonts w:ascii="Times New Roman" w:hAnsi="Times New Roman" w:cs="Times New Roman"/>
                <w:sz w:val="24"/>
                <w:szCs w:val="24"/>
              </w:rPr>
              <w:t>457/50</w:t>
            </w:r>
          </w:p>
        </w:tc>
      </w:tr>
      <w:tr w:rsidR="002D7C9B" w:rsidTr="002D7C9B">
        <w:tc>
          <w:tcPr>
            <w:tcW w:w="1384" w:type="dxa"/>
            <w:tcBorders>
              <w:top w:val="nil"/>
              <w:left w:val="nil"/>
              <w:bottom w:val="nil"/>
              <w:right w:val="nil"/>
            </w:tcBorders>
          </w:tcPr>
          <w:p w:rsidR="002D7C9B" w:rsidRDefault="002D7C9B" w:rsidP="002D7C9B">
            <w:pPr>
              <w:spacing w:before="120" w:after="120"/>
              <w:rPr>
                <w:rFonts w:ascii="Times New Roman" w:hAnsi="Times New Roman" w:cs="Times New Roman"/>
                <w:sz w:val="24"/>
                <w:szCs w:val="24"/>
              </w:rPr>
            </w:pPr>
            <w:r>
              <w:rPr>
                <w:rFonts w:ascii="Times New Roman" w:hAnsi="Times New Roman" w:cs="Times New Roman"/>
                <w:sz w:val="24"/>
                <w:szCs w:val="24"/>
              </w:rPr>
              <w:t>FITC/YFP</w:t>
            </w:r>
          </w:p>
        </w:tc>
        <w:tc>
          <w:tcPr>
            <w:tcW w:w="3236" w:type="dxa"/>
            <w:tcBorders>
              <w:top w:val="nil"/>
              <w:left w:val="nil"/>
              <w:bottom w:val="nil"/>
              <w:right w:val="nil"/>
            </w:tcBorders>
          </w:tcPr>
          <w:p w:rsidR="002D7C9B" w:rsidRDefault="002D7C9B" w:rsidP="002D7C9B">
            <w:pPr>
              <w:spacing w:before="120" w:after="120"/>
              <w:rPr>
                <w:rFonts w:ascii="Times New Roman" w:hAnsi="Times New Roman" w:cs="Times New Roman"/>
                <w:sz w:val="24"/>
                <w:szCs w:val="24"/>
              </w:rPr>
            </w:pPr>
            <w:r>
              <w:rPr>
                <w:rFonts w:ascii="Times New Roman" w:hAnsi="Times New Roman" w:cs="Times New Roman"/>
                <w:sz w:val="24"/>
                <w:szCs w:val="24"/>
              </w:rPr>
              <w:t>AlexaFluor 488, BODIPY-FL</w:t>
            </w:r>
          </w:p>
        </w:tc>
        <w:tc>
          <w:tcPr>
            <w:tcW w:w="2311" w:type="dxa"/>
            <w:tcBorders>
              <w:top w:val="nil"/>
              <w:left w:val="nil"/>
              <w:bottom w:val="nil"/>
              <w:right w:val="nil"/>
            </w:tcBorders>
          </w:tcPr>
          <w:p w:rsidR="002D7C9B" w:rsidRDefault="002D7C9B" w:rsidP="002D7C9B">
            <w:pPr>
              <w:spacing w:before="120" w:after="120"/>
              <w:jc w:val="center"/>
              <w:rPr>
                <w:rFonts w:ascii="Times New Roman" w:hAnsi="Times New Roman" w:cs="Times New Roman"/>
                <w:sz w:val="24"/>
                <w:szCs w:val="24"/>
              </w:rPr>
            </w:pPr>
            <w:r>
              <w:rPr>
                <w:rFonts w:ascii="Times New Roman" w:hAnsi="Times New Roman" w:cs="Times New Roman"/>
                <w:sz w:val="24"/>
                <w:szCs w:val="24"/>
              </w:rPr>
              <w:t>490/20</w:t>
            </w:r>
          </w:p>
        </w:tc>
        <w:tc>
          <w:tcPr>
            <w:tcW w:w="2311" w:type="dxa"/>
            <w:tcBorders>
              <w:top w:val="nil"/>
              <w:left w:val="nil"/>
              <w:bottom w:val="nil"/>
              <w:right w:val="nil"/>
            </w:tcBorders>
          </w:tcPr>
          <w:p w:rsidR="002D7C9B" w:rsidRDefault="002D7C9B" w:rsidP="002D7C9B">
            <w:pPr>
              <w:spacing w:before="120" w:after="120"/>
              <w:jc w:val="center"/>
              <w:rPr>
                <w:rFonts w:ascii="Times New Roman" w:hAnsi="Times New Roman" w:cs="Times New Roman"/>
                <w:sz w:val="24"/>
                <w:szCs w:val="24"/>
              </w:rPr>
            </w:pPr>
            <w:r>
              <w:rPr>
                <w:rFonts w:ascii="Times New Roman" w:hAnsi="Times New Roman" w:cs="Times New Roman"/>
                <w:sz w:val="24"/>
                <w:szCs w:val="24"/>
              </w:rPr>
              <w:t>528/38</w:t>
            </w:r>
          </w:p>
        </w:tc>
      </w:tr>
      <w:tr w:rsidR="002D7C9B" w:rsidTr="002D7C9B">
        <w:tc>
          <w:tcPr>
            <w:tcW w:w="1384" w:type="dxa"/>
            <w:tcBorders>
              <w:top w:val="nil"/>
              <w:left w:val="nil"/>
              <w:right w:val="nil"/>
            </w:tcBorders>
          </w:tcPr>
          <w:p w:rsidR="002D7C9B" w:rsidRDefault="002D7C9B" w:rsidP="002D7C9B">
            <w:pPr>
              <w:spacing w:before="120" w:after="120"/>
              <w:rPr>
                <w:rFonts w:ascii="Times New Roman" w:hAnsi="Times New Roman" w:cs="Times New Roman"/>
                <w:sz w:val="24"/>
                <w:szCs w:val="24"/>
              </w:rPr>
            </w:pPr>
            <w:r>
              <w:rPr>
                <w:rFonts w:ascii="Times New Roman" w:hAnsi="Times New Roman" w:cs="Times New Roman"/>
                <w:sz w:val="24"/>
                <w:szCs w:val="24"/>
              </w:rPr>
              <w:t>mRFP</w:t>
            </w:r>
          </w:p>
        </w:tc>
        <w:tc>
          <w:tcPr>
            <w:tcW w:w="3236" w:type="dxa"/>
            <w:tcBorders>
              <w:top w:val="nil"/>
              <w:left w:val="nil"/>
              <w:right w:val="nil"/>
            </w:tcBorders>
          </w:tcPr>
          <w:p w:rsidR="002D7C9B" w:rsidRDefault="002D7C9B" w:rsidP="002D7C9B">
            <w:pPr>
              <w:spacing w:before="120" w:after="120"/>
              <w:rPr>
                <w:rFonts w:ascii="Times New Roman" w:hAnsi="Times New Roman" w:cs="Times New Roman"/>
                <w:sz w:val="24"/>
                <w:szCs w:val="24"/>
              </w:rPr>
            </w:pPr>
            <w:r>
              <w:rPr>
                <w:rFonts w:ascii="Times New Roman" w:hAnsi="Times New Roman" w:cs="Times New Roman"/>
                <w:sz w:val="24"/>
                <w:szCs w:val="24"/>
              </w:rPr>
              <w:t>AlexaFluor 594</w:t>
            </w:r>
          </w:p>
        </w:tc>
        <w:tc>
          <w:tcPr>
            <w:tcW w:w="2311" w:type="dxa"/>
            <w:tcBorders>
              <w:top w:val="nil"/>
              <w:left w:val="nil"/>
              <w:right w:val="nil"/>
            </w:tcBorders>
          </w:tcPr>
          <w:p w:rsidR="002D7C9B" w:rsidRDefault="002D7C9B" w:rsidP="002D7C9B">
            <w:pPr>
              <w:spacing w:before="120" w:after="120"/>
              <w:jc w:val="center"/>
              <w:rPr>
                <w:rFonts w:ascii="Times New Roman" w:hAnsi="Times New Roman" w:cs="Times New Roman"/>
                <w:sz w:val="24"/>
                <w:szCs w:val="24"/>
              </w:rPr>
            </w:pPr>
            <w:r>
              <w:rPr>
                <w:rFonts w:ascii="Times New Roman" w:hAnsi="Times New Roman" w:cs="Times New Roman"/>
                <w:sz w:val="24"/>
                <w:szCs w:val="24"/>
              </w:rPr>
              <w:t>580/20</w:t>
            </w:r>
          </w:p>
        </w:tc>
        <w:tc>
          <w:tcPr>
            <w:tcW w:w="2311" w:type="dxa"/>
            <w:tcBorders>
              <w:top w:val="nil"/>
              <w:left w:val="nil"/>
              <w:right w:val="nil"/>
            </w:tcBorders>
          </w:tcPr>
          <w:p w:rsidR="002D7C9B" w:rsidRDefault="002D7C9B" w:rsidP="002D7C9B">
            <w:pPr>
              <w:spacing w:before="120" w:after="120"/>
              <w:jc w:val="center"/>
              <w:rPr>
                <w:rFonts w:ascii="Times New Roman" w:hAnsi="Times New Roman" w:cs="Times New Roman"/>
                <w:sz w:val="24"/>
                <w:szCs w:val="24"/>
              </w:rPr>
            </w:pPr>
            <w:r>
              <w:rPr>
                <w:rFonts w:ascii="Times New Roman" w:hAnsi="Times New Roman" w:cs="Times New Roman"/>
                <w:sz w:val="24"/>
                <w:szCs w:val="24"/>
              </w:rPr>
              <w:t>630/60</w:t>
            </w:r>
          </w:p>
        </w:tc>
      </w:tr>
    </w:tbl>
    <w:p w:rsidR="002D7C9B" w:rsidRDefault="002D7C9B" w:rsidP="002D7C9B">
      <w:pPr>
        <w:spacing w:before="120" w:after="120" w:line="360" w:lineRule="auto"/>
        <w:jc w:val="both"/>
        <w:rPr>
          <w:rFonts w:ascii="Times New Roman" w:hAnsi="Times New Roman" w:cs="Times New Roman"/>
          <w:sz w:val="24"/>
          <w:szCs w:val="24"/>
        </w:rPr>
      </w:pPr>
    </w:p>
    <w:p w:rsidR="002D7C9B" w:rsidRDefault="002D7C9B" w:rsidP="002D7C9B">
      <w:pPr>
        <w:rPr>
          <w:rFonts w:ascii="Times New Roman" w:hAnsi="Times New Roman" w:cs="Times New Roman"/>
        </w:rPr>
      </w:pPr>
      <w:r>
        <w:rPr>
          <w:rFonts w:ascii="Times New Roman" w:hAnsi="Times New Roman" w:cs="Times New Roman"/>
        </w:rPr>
        <w:br w:type="page"/>
      </w:r>
    </w:p>
    <w:p w:rsidR="002D7C9B" w:rsidRPr="00BF433C" w:rsidRDefault="002D7C9B" w:rsidP="002D7C9B">
      <w:pPr>
        <w:autoSpaceDE w:val="0"/>
        <w:autoSpaceDN w:val="0"/>
        <w:adjustRightInd w:val="0"/>
        <w:spacing w:after="12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Fixed cells were then prepared for electron microscopy by Chris Hill at the Electron Microscopy Unit, University of Sheffield, using the method as follows. </w:t>
      </w:r>
      <w:r w:rsidRPr="00BF433C">
        <w:rPr>
          <w:rFonts w:ascii="Times New Roman" w:hAnsi="Times New Roman" w:cs="Times New Roman"/>
          <w:sz w:val="24"/>
          <w:szCs w:val="24"/>
        </w:rPr>
        <w:t xml:space="preserve">Fixed cells were washed twice in 0.1 M sodium cacodylate buffer pH 7.4 and post-fixed in 2% (w/v) aqueous osmium tetroxide for 2 h at room temperature. Cells were washed once </w:t>
      </w:r>
      <w:r>
        <w:rPr>
          <w:rFonts w:ascii="Times New Roman" w:hAnsi="Times New Roman" w:cs="Times New Roman"/>
          <w:sz w:val="24"/>
          <w:szCs w:val="24"/>
        </w:rPr>
        <w:t xml:space="preserve">with </w:t>
      </w:r>
      <w:r w:rsidRPr="00BF433C">
        <w:rPr>
          <w:rFonts w:ascii="Times New Roman" w:hAnsi="Times New Roman" w:cs="Times New Roman"/>
          <w:sz w:val="24"/>
          <w:szCs w:val="24"/>
        </w:rPr>
        <w:t xml:space="preserve">cacodylate buffer by centrifugation then dehydrated by stepwise incubation at room temperature in 75% (v/v) ethanol (15 min), 95% (v/v) ethanol (15 min), absolute ethanol (2 × 15 min) and dried absolute ethanol (2 × 15 min). </w:t>
      </w:r>
    </w:p>
    <w:p w:rsidR="002D7C9B" w:rsidRPr="00BF433C" w:rsidRDefault="002D7C9B" w:rsidP="002D7C9B">
      <w:pPr>
        <w:autoSpaceDE w:val="0"/>
        <w:autoSpaceDN w:val="0"/>
        <w:adjustRightInd w:val="0"/>
        <w:spacing w:after="120" w:line="480" w:lineRule="auto"/>
        <w:jc w:val="both"/>
        <w:rPr>
          <w:rFonts w:ascii="Times New Roman" w:hAnsi="Times New Roman" w:cs="Times New Roman"/>
          <w:sz w:val="24"/>
          <w:szCs w:val="24"/>
        </w:rPr>
      </w:pPr>
      <w:r w:rsidRPr="00BF433C">
        <w:rPr>
          <w:rFonts w:ascii="Times New Roman" w:hAnsi="Times New Roman" w:cs="Times New Roman"/>
          <w:sz w:val="24"/>
          <w:szCs w:val="24"/>
        </w:rPr>
        <w:t>For transmission electron microscopy the specimens were equilibrated in propylene oxide (2 × 10 min), and infiltration accomplished using a 1:1 mixture of propylene oxide</w:t>
      </w:r>
      <w:proofErr w:type="gramStart"/>
      <w:r w:rsidRPr="00BF433C">
        <w:rPr>
          <w:rFonts w:ascii="Times New Roman" w:hAnsi="Times New Roman" w:cs="Times New Roman"/>
          <w:sz w:val="24"/>
          <w:szCs w:val="24"/>
        </w:rPr>
        <w:t>:araldite</w:t>
      </w:r>
      <w:proofErr w:type="gramEnd"/>
      <w:r w:rsidRPr="00BF433C">
        <w:rPr>
          <w:rFonts w:ascii="Times New Roman" w:hAnsi="Times New Roman" w:cs="Times New Roman"/>
          <w:sz w:val="24"/>
          <w:szCs w:val="24"/>
        </w:rPr>
        <w:t xml:space="preserve"> resin overnight at room temperature. Pellets were incubated in fresh 100% (v/v) araldite (6-8 h), then embedded in 100% (v/v) araldite and polymerised at 60°C for 48 h. Eighty nm sections were cut using a Reicher Ultracut E ultramicrotome and stained with a saturated solution of uranyl acetate in 50</w:t>
      </w:r>
      <w:r w:rsidRPr="00F115D3">
        <w:rPr>
          <w:rFonts w:ascii="Times New Roman" w:hAnsi="Times New Roman" w:cs="Times New Roman"/>
          <w:sz w:val="24"/>
          <w:szCs w:val="24"/>
        </w:rPr>
        <w:t xml:space="preserve">% (v/v) ethanol for 25 min. Sections were washed in distilled water and stained in Reynold’s </w:t>
      </w:r>
      <w:r w:rsidRPr="00F115D3">
        <w:rPr>
          <w:rFonts w:ascii="Times New Roman" w:hAnsi="Times New Roman" w:cs="Times New Roman"/>
          <w:color w:val="000000" w:themeColor="text1"/>
          <w:sz w:val="24"/>
          <w:szCs w:val="24"/>
        </w:rPr>
        <w:t xml:space="preserve">lead citrate </w:t>
      </w:r>
      <w:r w:rsidRPr="00F115D3">
        <w:rPr>
          <w:rFonts w:ascii="Times New Roman" w:hAnsi="Times New Roman" w:cs="Times New Roman"/>
          <w:color w:val="000000" w:themeColor="text1"/>
          <w:sz w:val="24"/>
          <w:szCs w:val="24"/>
        </w:rPr>
        <w:fldChar w:fldCharType="begin"/>
      </w:r>
      <w:r w:rsidRPr="00F115D3">
        <w:rPr>
          <w:rFonts w:ascii="Times New Roman" w:hAnsi="Times New Roman" w:cs="Times New Roman"/>
          <w:color w:val="000000" w:themeColor="text1"/>
          <w:sz w:val="24"/>
          <w:szCs w:val="24"/>
        </w:rPr>
        <w:instrText xml:space="preserve"> ADDIN ZOTERO_ITEM CSL_CITATION {"citationID":"1d29lt4eh6","properties":{"formattedCitation":"(REYNOLDS, 1963)","plainCitation":"(REYNOLDS, 1963)"},"citationItems":[{"id":704,"uris":["http://zotero.org/users/944474/items/5RCTXRW2"],"uri":["http://zotero.org/users/944474/items/5RCTXRW2"],"itemData":{"id":704,"type":"article-journal","title":"The use of lead citrate at high pH as an electron-opaque stain in electron microscopy","container-title":"The Journal of cell biology","page":"208-212","volume":"17","note":"PMID: 13986422","journalAbbreviation":"J. Cell Biol.","author":[{"family":"REYNOLDS","given":"E S"}],"issued":{"year":1963,"month":4},"accessed":{"year":2012,"month":7,"day":15},"page-first":"208"}}],"schema":"https://github.com/citation-style-language/schema/raw/master/csl-citation.json"} </w:instrText>
      </w:r>
      <w:r w:rsidRPr="00F115D3">
        <w:rPr>
          <w:rFonts w:ascii="Times New Roman" w:hAnsi="Times New Roman" w:cs="Times New Roman"/>
          <w:color w:val="000000" w:themeColor="text1"/>
          <w:sz w:val="24"/>
          <w:szCs w:val="24"/>
        </w:rPr>
        <w:fldChar w:fldCharType="separate"/>
      </w:r>
      <w:r w:rsidRPr="00F115D3">
        <w:rPr>
          <w:rFonts w:ascii="Times New Roman" w:hAnsi="Times New Roman" w:cs="Times New Roman"/>
          <w:color w:val="000000" w:themeColor="text1"/>
          <w:sz w:val="24"/>
        </w:rPr>
        <w:t>(Reynolds, 1963)</w:t>
      </w:r>
      <w:r w:rsidRPr="00F115D3">
        <w:rPr>
          <w:rFonts w:ascii="Times New Roman" w:hAnsi="Times New Roman" w:cs="Times New Roman"/>
          <w:color w:val="000000" w:themeColor="text1"/>
          <w:sz w:val="24"/>
          <w:szCs w:val="24"/>
        </w:rPr>
        <w:fldChar w:fldCharType="end"/>
      </w:r>
      <w:r w:rsidRPr="00F115D3">
        <w:rPr>
          <w:rFonts w:ascii="Times New Roman" w:hAnsi="Times New Roman" w:cs="Times New Roman"/>
          <w:color w:val="000000" w:themeColor="text1"/>
          <w:sz w:val="24"/>
          <w:szCs w:val="24"/>
        </w:rPr>
        <w:t xml:space="preserve"> for 25 min. Sections were viewed using a FEI Tecnai transmission</w:t>
      </w:r>
      <w:r w:rsidRPr="00F115D3">
        <w:rPr>
          <w:rFonts w:ascii="Times New Roman" w:hAnsi="Times New Roman" w:cs="Times New Roman"/>
          <w:sz w:val="24"/>
          <w:szCs w:val="24"/>
        </w:rPr>
        <w:t xml:space="preserve"> electron</w:t>
      </w:r>
      <w:r w:rsidRPr="00BF433C">
        <w:rPr>
          <w:rFonts w:ascii="Times New Roman" w:hAnsi="Times New Roman" w:cs="Times New Roman"/>
          <w:sz w:val="24"/>
          <w:szCs w:val="24"/>
        </w:rPr>
        <w:t xml:space="preserve"> microscope operating at 80 kV.</w:t>
      </w:r>
    </w:p>
    <w:p w:rsidR="002D7C9B" w:rsidRPr="00BF433C" w:rsidRDefault="002D7C9B" w:rsidP="002D7C9B">
      <w:pPr>
        <w:spacing w:after="120" w:line="480" w:lineRule="auto"/>
        <w:jc w:val="both"/>
        <w:rPr>
          <w:rFonts w:ascii="Times New Roman" w:hAnsi="Times New Roman" w:cs="Times New Roman"/>
          <w:sz w:val="24"/>
          <w:szCs w:val="24"/>
        </w:rPr>
      </w:pPr>
      <w:r w:rsidRPr="00BF433C">
        <w:rPr>
          <w:rFonts w:ascii="Times New Roman" w:hAnsi="Times New Roman" w:cs="Times New Roman"/>
          <w:sz w:val="24"/>
          <w:szCs w:val="24"/>
        </w:rPr>
        <w:t xml:space="preserve">For scanning electron microscopy the specimens were incubated for 30 min using a </w:t>
      </w:r>
      <w:r>
        <w:rPr>
          <w:rFonts w:ascii="Times New Roman" w:hAnsi="Times New Roman" w:cs="Times New Roman"/>
          <w:sz w:val="24"/>
          <w:szCs w:val="24"/>
        </w:rPr>
        <w:t xml:space="preserve">1:1 mixture of absolute </w:t>
      </w:r>
      <w:proofErr w:type="gramStart"/>
      <w:r>
        <w:rPr>
          <w:rFonts w:ascii="Times New Roman" w:hAnsi="Times New Roman" w:cs="Times New Roman"/>
          <w:sz w:val="24"/>
          <w:szCs w:val="24"/>
        </w:rPr>
        <w:t>ethanol :</w:t>
      </w:r>
      <w:proofErr w:type="gramEnd"/>
      <w:r>
        <w:rPr>
          <w:rFonts w:ascii="Times New Roman" w:hAnsi="Times New Roman" w:cs="Times New Roman"/>
          <w:sz w:val="24"/>
          <w:szCs w:val="24"/>
        </w:rPr>
        <w:t xml:space="preserve"> 100% (v/v) </w:t>
      </w:r>
      <w:r w:rsidRPr="00BF433C">
        <w:rPr>
          <w:rFonts w:ascii="Times New Roman" w:hAnsi="Times New Roman" w:cs="Times New Roman"/>
          <w:sz w:val="24"/>
          <w:szCs w:val="24"/>
        </w:rPr>
        <w:t xml:space="preserve">hexamethyldisilazane. Specimens were incubated for a further 30 min in 100% hexamethyldisilazane and air-dried overnight. Dried samples were mounted on 12.5 mm diameter stubs and coated with approximately 25 nm gold using an Edwards S150B sputter coater. Specimens were examined using an FEI XL-20 scanning electron microscope operating at 20 kV. </w:t>
      </w:r>
    </w:p>
    <w:p w:rsidR="002D7C9B" w:rsidRDefault="002D7C9B" w:rsidP="002D7C9B">
      <w:pPr>
        <w:rPr>
          <w:rFonts w:ascii="Times New Roman" w:eastAsia="+mn-ea" w:hAnsi="Times New Roman" w:cs="Times New Roman"/>
          <w:bCs/>
        </w:rPr>
      </w:pPr>
      <w:r>
        <w:rPr>
          <w:rFonts w:ascii="Times New Roman" w:eastAsia="+mn-ea" w:hAnsi="Times New Roman" w:cs="Times New Roman"/>
          <w:bCs/>
        </w:rPr>
        <w:br w:type="page"/>
      </w:r>
    </w:p>
    <w:p w:rsidR="002D7C9B" w:rsidRDefault="002D7C9B" w:rsidP="002D7C9B">
      <w:pPr>
        <w:spacing w:after="80" w:line="480" w:lineRule="auto"/>
        <w:jc w:val="both"/>
        <w:rPr>
          <w:rStyle w:val="apple-style-span"/>
          <w:rFonts w:ascii="Times New Roman" w:hAnsi="Times New Roman" w:cs="Times New Roman"/>
          <w:bCs/>
          <w:sz w:val="28"/>
          <w:szCs w:val="28"/>
          <w:lang w:val="en-US"/>
        </w:rPr>
      </w:pPr>
      <w:r w:rsidRPr="00BF433C">
        <w:rPr>
          <w:rStyle w:val="apple-style-span"/>
          <w:rFonts w:ascii="Times New Roman" w:hAnsi="Times New Roman" w:cs="Times New Roman"/>
          <w:sz w:val="28"/>
          <w:szCs w:val="28"/>
          <w:lang w:val="en-US"/>
        </w:rPr>
        <w:lastRenderedPageBreak/>
        <w:t>2.1</w:t>
      </w:r>
      <w:r>
        <w:rPr>
          <w:rStyle w:val="apple-style-span"/>
          <w:rFonts w:ascii="Times New Roman" w:hAnsi="Times New Roman" w:cs="Times New Roman"/>
          <w:sz w:val="28"/>
          <w:szCs w:val="28"/>
          <w:lang w:val="en-US"/>
        </w:rPr>
        <w:t>6</w:t>
      </w:r>
      <w:r w:rsidRPr="00BF433C">
        <w:rPr>
          <w:rStyle w:val="apple-style-span"/>
          <w:rFonts w:ascii="Times New Roman" w:hAnsi="Times New Roman" w:cs="Times New Roman"/>
          <w:sz w:val="28"/>
          <w:szCs w:val="28"/>
          <w:lang w:val="en-US"/>
        </w:rPr>
        <w:tab/>
      </w:r>
      <w:r>
        <w:rPr>
          <w:rStyle w:val="apple-style-span"/>
          <w:rFonts w:ascii="Times New Roman" w:hAnsi="Times New Roman" w:cs="Times New Roman"/>
          <w:sz w:val="28"/>
          <w:szCs w:val="28"/>
          <w:lang w:val="en-US"/>
        </w:rPr>
        <w:t>Preparation of cell walls for biochemical analysis</w:t>
      </w:r>
    </w:p>
    <w:p w:rsidR="002D7C9B" w:rsidRDefault="002D7C9B" w:rsidP="002D7C9B">
      <w:pPr>
        <w:spacing w:before="80" w:after="0" w:line="480" w:lineRule="auto"/>
        <w:jc w:val="both"/>
        <w:rPr>
          <w:rStyle w:val="apple-style-span"/>
          <w:rFonts w:ascii="Times New Roman" w:hAnsi="Times New Roman" w:cs="Times New Roman"/>
          <w:b/>
          <w:bCs/>
          <w:szCs w:val="24"/>
          <w:lang w:val="en-US"/>
        </w:rPr>
      </w:pPr>
      <w:r>
        <w:rPr>
          <w:rStyle w:val="apple-style-span"/>
          <w:rFonts w:ascii="Times New Roman" w:hAnsi="Times New Roman" w:cs="Times New Roman"/>
          <w:sz w:val="28"/>
          <w:szCs w:val="28"/>
          <w:lang w:val="en-US"/>
        </w:rPr>
        <w:t>2.16.1</w:t>
      </w:r>
      <w:r>
        <w:rPr>
          <w:rStyle w:val="apple-style-span"/>
          <w:rFonts w:ascii="Times New Roman" w:hAnsi="Times New Roman" w:cs="Times New Roman"/>
          <w:sz w:val="28"/>
          <w:szCs w:val="28"/>
          <w:lang w:val="en-US"/>
        </w:rPr>
        <w:tab/>
      </w:r>
      <w:r w:rsidRPr="00BF433C">
        <w:rPr>
          <w:rStyle w:val="apple-style-span"/>
          <w:rFonts w:ascii="Times New Roman" w:hAnsi="Times New Roman" w:cs="Times New Roman"/>
          <w:sz w:val="28"/>
          <w:szCs w:val="28"/>
          <w:lang w:val="en-US"/>
        </w:rPr>
        <w:tab/>
        <w:t>Cell wall radiolabelling and purification</w:t>
      </w:r>
      <w:r w:rsidRPr="002C3570">
        <w:rPr>
          <w:rStyle w:val="apple-style-span"/>
          <w:rFonts w:ascii="Times New Roman" w:hAnsi="Times New Roman" w:cs="Times New Roman"/>
          <w:szCs w:val="24"/>
          <w:lang w:val="en-US"/>
        </w:rPr>
        <w:t>.</w:t>
      </w:r>
    </w:p>
    <w:p w:rsidR="002D7C9B" w:rsidRPr="00BF433C" w:rsidRDefault="002D7C9B" w:rsidP="002D7C9B">
      <w:pPr>
        <w:spacing w:after="120" w:line="480" w:lineRule="auto"/>
        <w:jc w:val="both"/>
        <w:rPr>
          <w:rStyle w:val="apple-style-span"/>
          <w:rFonts w:ascii="Times New Roman" w:hAnsi="Times New Roman" w:cs="Times New Roman"/>
          <w:sz w:val="24"/>
          <w:szCs w:val="24"/>
          <w:lang w:val="en-US"/>
        </w:rPr>
      </w:pPr>
      <w:r w:rsidRPr="00BF433C">
        <w:rPr>
          <w:rStyle w:val="apple-style-span"/>
          <w:rFonts w:ascii="Times New Roman" w:hAnsi="Times New Roman" w:cs="Times New Roman"/>
          <w:sz w:val="24"/>
          <w:szCs w:val="24"/>
          <w:lang w:val="en-US"/>
        </w:rPr>
        <w:t>Cells were grown</w:t>
      </w:r>
      <w:r w:rsidRPr="00BF433C">
        <w:rPr>
          <w:rStyle w:val="apple-converted-space"/>
          <w:lang w:val="en-US"/>
        </w:rPr>
        <w:t xml:space="preserve"> </w:t>
      </w:r>
      <w:r w:rsidRPr="00BF433C">
        <w:rPr>
          <w:rStyle w:val="apple-style-span"/>
          <w:rFonts w:ascii="Times New Roman" w:hAnsi="Times New Roman" w:cs="Times New Roman"/>
          <w:sz w:val="24"/>
          <w:szCs w:val="24"/>
          <w:lang w:val="en-US"/>
        </w:rPr>
        <w:t>from overnight cultures</w:t>
      </w:r>
      <w:r w:rsidRPr="00BF433C">
        <w:rPr>
          <w:rStyle w:val="apple-converted-space"/>
          <w:lang w:val="en-US"/>
        </w:rPr>
        <w:t xml:space="preserve"> </w:t>
      </w:r>
      <w:r>
        <w:rPr>
          <w:rStyle w:val="apple-converted-space"/>
          <w:lang w:val="en-US"/>
        </w:rPr>
        <w:t xml:space="preserve">in optimal growth conditions </w:t>
      </w:r>
      <w:r w:rsidRPr="00BF433C">
        <w:rPr>
          <w:rStyle w:val="apple-style-span"/>
          <w:rFonts w:ascii="Times New Roman" w:hAnsi="Times New Roman" w:cs="Times New Roman"/>
          <w:sz w:val="24"/>
          <w:szCs w:val="24"/>
          <w:lang w:val="en-US"/>
        </w:rPr>
        <w:t>until exponential phase (OD</w:t>
      </w:r>
      <w:r w:rsidRPr="00BF433C">
        <w:rPr>
          <w:rStyle w:val="apple-style-span"/>
          <w:rFonts w:ascii="Times New Roman" w:hAnsi="Times New Roman" w:cs="Times New Roman"/>
          <w:sz w:val="24"/>
          <w:szCs w:val="24"/>
          <w:vertAlign w:val="subscript"/>
          <w:lang w:val="en-US"/>
        </w:rPr>
        <w:t>600</w:t>
      </w:r>
      <w:r>
        <w:rPr>
          <w:rStyle w:val="apple-style-span"/>
          <w:rFonts w:ascii="Times New Roman" w:hAnsi="Times New Roman" w:cs="Times New Roman"/>
          <w:sz w:val="24"/>
          <w:szCs w:val="24"/>
          <w:lang w:val="en-US"/>
        </w:rPr>
        <w:t xml:space="preserve"> </w:t>
      </w:r>
      <w:r w:rsidRPr="00BF433C">
        <w:rPr>
          <w:rStyle w:val="apple-style-span"/>
          <w:rFonts w:ascii="Times New Roman" w:hAnsi="Times New Roman" w:cs="Times New Roman"/>
          <w:sz w:val="24"/>
          <w:szCs w:val="24"/>
          <w:lang w:val="en-US"/>
        </w:rPr>
        <w:t>0.3).</w:t>
      </w:r>
      <w:r w:rsidRPr="00BF433C">
        <w:rPr>
          <w:rStyle w:val="apple-converted-space"/>
          <w:lang w:val="en-US"/>
        </w:rPr>
        <w:t xml:space="preserve"> </w:t>
      </w:r>
      <w:r>
        <w:rPr>
          <w:rStyle w:val="apple-converted-space"/>
          <w:lang w:val="en-US"/>
        </w:rPr>
        <w:t xml:space="preserve">The exponential phase cultures were </w:t>
      </w:r>
      <w:r>
        <w:rPr>
          <w:rStyle w:val="apple-style-span"/>
          <w:rFonts w:ascii="Times New Roman" w:hAnsi="Times New Roman" w:cs="Times New Roman"/>
          <w:sz w:val="24"/>
          <w:szCs w:val="24"/>
          <w:lang w:val="en-US"/>
        </w:rPr>
        <w:t>inoculated into</w:t>
      </w:r>
      <w:r w:rsidRPr="00BF433C">
        <w:rPr>
          <w:rStyle w:val="apple-style-span"/>
          <w:rFonts w:ascii="Times New Roman" w:hAnsi="Times New Roman" w:cs="Times New Roman"/>
          <w:sz w:val="24"/>
          <w:szCs w:val="24"/>
          <w:lang w:val="en-US"/>
        </w:rPr>
        <w:t xml:space="preserve"> 50 ml of pre-warmed LB containing 0.185 MBq</w:t>
      </w:r>
      <w:r w:rsidRPr="00BF433C">
        <w:rPr>
          <w:rStyle w:val="apple-converted-space"/>
          <w:lang w:val="en-US"/>
        </w:rPr>
        <w:t xml:space="preserve"> </w:t>
      </w:r>
      <w:r w:rsidRPr="00BF433C">
        <w:rPr>
          <w:rStyle w:val="apple-style-span"/>
          <w:rFonts w:ascii="Times New Roman" w:hAnsi="Times New Roman" w:cs="Times New Roman"/>
          <w:i/>
          <w:iCs/>
          <w:sz w:val="24"/>
          <w:szCs w:val="24"/>
          <w:lang w:val="en-US"/>
        </w:rPr>
        <w:t>N</w:t>
      </w:r>
      <w:r w:rsidRPr="00BF433C">
        <w:rPr>
          <w:rStyle w:val="apple-style-span"/>
          <w:rFonts w:ascii="Times New Roman" w:hAnsi="Times New Roman" w:cs="Times New Roman"/>
          <w:sz w:val="24"/>
          <w:szCs w:val="24"/>
          <w:lang w:val="en-US"/>
        </w:rPr>
        <w:t>-acetyl[</w:t>
      </w:r>
      <w:r w:rsidRPr="00BF433C">
        <w:rPr>
          <w:rStyle w:val="apple-style-span"/>
          <w:rFonts w:ascii="Times New Roman" w:hAnsi="Times New Roman" w:cs="Times New Roman"/>
          <w:sz w:val="24"/>
          <w:szCs w:val="24"/>
          <w:vertAlign w:val="superscript"/>
          <w:lang w:val="en-US"/>
        </w:rPr>
        <w:t>14</w:t>
      </w:r>
      <w:r w:rsidRPr="00BF433C">
        <w:rPr>
          <w:rStyle w:val="apple-style-span"/>
          <w:rFonts w:ascii="Times New Roman" w:hAnsi="Times New Roman" w:cs="Times New Roman"/>
          <w:sz w:val="24"/>
          <w:szCs w:val="24"/>
          <w:lang w:val="en-US"/>
        </w:rPr>
        <w:t>C]glucosamine (1.67 TBq/mmol; Hartmann Analytic) and 500 ml of non radioactive medium</w:t>
      </w:r>
      <w:r w:rsidRPr="00BF433C">
        <w:rPr>
          <w:rStyle w:val="apple-converted-space"/>
          <w:lang w:val="en-US"/>
        </w:rPr>
        <w:t xml:space="preserve"> </w:t>
      </w:r>
      <w:r w:rsidRPr="00BF433C">
        <w:rPr>
          <w:rStyle w:val="apple-style-span"/>
          <w:rFonts w:ascii="Times New Roman" w:hAnsi="Times New Roman" w:cs="Times New Roman"/>
          <w:sz w:val="24"/>
          <w:szCs w:val="24"/>
          <w:lang w:val="en-US"/>
        </w:rPr>
        <w:t>to give a starting</w:t>
      </w:r>
      <w:r w:rsidRPr="00BF433C">
        <w:rPr>
          <w:rStyle w:val="apple-converted-space"/>
          <w:lang w:val="en-US"/>
        </w:rPr>
        <w:t xml:space="preserve"> </w:t>
      </w:r>
      <w:r w:rsidRPr="00BF433C">
        <w:rPr>
          <w:rStyle w:val="apple-style-span"/>
          <w:rFonts w:ascii="Times New Roman" w:hAnsi="Times New Roman" w:cs="Times New Roman"/>
          <w:sz w:val="24"/>
          <w:szCs w:val="24"/>
          <w:lang w:val="en-US"/>
        </w:rPr>
        <w:t>OD</w:t>
      </w:r>
      <w:r w:rsidRPr="00BF433C">
        <w:rPr>
          <w:rStyle w:val="apple-style-span"/>
          <w:rFonts w:ascii="Times New Roman" w:hAnsi="Times New Roman" w:cs="Times New Roman"/>
          <w:sz w:val="24"/>
          <w:szCs w:val="24"/>
          <w:vertAlign w:val="subscript"/>
          <w:lang w:val="en-US"/>
        </w:rPr>
        <w:t>600</w:t>
      </w:r>
      <w:r w:rsidRPr="00BF433C">
        <w:rPr>
          <w:rStyle w:val="apple-style-span"/>
          <w:rFonts w:ascii="Times New Roman" w:hAnsi="Times New Roman" w:cs="Times New Roman"/>
          <w:sz w:val="24"/>
          <w:szCs w:val="24"/>
          <w:lang w:val="en-US"/>
        </w:rPr>
        <w:t xml:space="preserve">=0.04. </w:t>
      </w:r>
      <w:r>
        <w:rPr>
          <w:rStyle w:val="apple-style-span"/>
          <w:rFonts w:ascii="Times New Roman" w:hAnsi="Times New Roman" w:cs="Times New Roman"/>
          <w:sz w:val="24"/>
          <w:szCs w:val="24"/>
          <w:lang w:val="en-US"/>
        </w:rPr>
        <w:t xml:space="preserve">Cells were grown to </w:t>
      </w:r>
      <w:r w:rsidRPr="00BF433C">
        <w:rPr>
          <w:rStyle w:val="apple-style-span"/>
          <w:rFonts w:ascii="Times New Roman" w:hAnsi="Times New Roman" w:cs="Times New Roman"/>
          <w:sz w:val="24"/>
          <w:szCs w:val="24"/>
          <w:lang w:val="en-US"/>
        </w:rPr>
        <w:t>OD</w:t>
      </w:r>
      <w:r w:rsidRPr="00BF433C">
        <w:rPr>
          <w:rStyle w:val="apple-style-span"/>
          <w:rFonts w:ascii="Times New Roman" w:hAnsi="Times New Roman" w:cs="Times New Roman"/>
          <w:sz w:val="24"/>
          <w:szCs w:val="24"/>
          <w:vertAlign w:val="subscript"/>
          <w:lang w:val="en-US"/>
        </w:rPr>
        <w:t>600</w:t>
      </w:r>
      <w:r>
        <w:rPr>
          <w:rStyle w:val="apple-style-span"/>
          <w:rFonts w:ascii="Times New Roman" w:hAnsi="Times New Roman" w:cs="Times New Roman"/>
          <w:sz w:val="24"/>
          <w:szCs w:val="24"/>
          <w:lang w:val="en-US"/>
        </w:rPr>
        <w:t xml:space="preserve"> of 0.3-0.4</w:t>
      </w:r>
      <w:r w:rsidRPr="00BF433C">
        <w:rPr>
          <w:rStyle w:val="apple-style-span"/>
          <w:rFonts w:ascii="Times New Roman" w:hAnsi="Times New Roman" w:cs="Times New Roman"/>
          <w:sz w:val="24"/>
          <w:szCs w:val="24"/>
          <w:lang w:val="en-US"/>
        </w:rPr>
        <w:t xml:space="preserve">, </w:t>
      </w:r>
      <w:proofErr w:type="gramStart"/>
      <w:r w:rsidRPr="00BF433C">
        <w:rPr>
          <w:rStyle w:val="apple-style-span"/>
          <w:rFonts w:ascii="Times New Roman" w:hAnsi="Times New Roman" w:cs="Times New Roman"/>
          <w:sz w:val="24"/>
          <w:szCs w:val="24"/>
          <w:lang w:val="en-US"/>
        </w:rPr>
        <w:t>the</w:t>
      </w:r>
      <w:r>
        <w:rPr>
          <w:rStyle w:val="apple-style-span"/>
          <w:rFonts w:ascii="Times New Roman" w:hAnsi="Times New Roman" w:cs="Times New Roman"/>
          <w:sz w:val="24"/>
          <w:szCs w:val="24"/>
          <w:lang w:val="en-US"/>
        </w:rPr>
        <w:t>n</w:t>
      </w:r>
      <w:proofErr w:type="gramEnd"/>
      <w:r>
        <w:rPr>
          <w:rStyle w:val="apple-style-span"/>
          <w:rFonts w:ascii="Times New Roman" w:hAnsi="Times New Roman" w:cs="Times New Roman"/>
          <w:sz w:val="24"/>
          <w:szCs w:val="24"/>
          <w:lang w:val="en-US"/>
        </w:rPr>
        <w:t xml:space="preserve"> </w:t>
      </w:r>
      <w:r w:rsidRPr="00BF433C">
        <w:rPr>
          <w:rStyle w:val="apple-style-span"/>
          <w:rFonts w:ascii="Times New Roman" w:hAnsi="Times New Roman" w:cs="Times New Roman"/>
          <w:sz w:val="24"/>
          <w:szCs w:val="24"/>
          <w:lang w:val="en-US"/>
        </w:rPr>
        <w:t xml:space="preserve">harvested by centrifugation </w:t>
      </w:r>
      <w:r>
        <w:rPr>
          <w:rStyle w:val="apple-style-span"/>
          <w:rFonts w:ascii="Times New Roman" w:hAnsi="Times New Roman" w:cs="Times New Roman"/>
          <w:sz w:val="24"/>
          <w:szCs w:val="24"/>
          <w:lang w:val="en-US"/>
        </w:rPr>
        <w:t xml:space="preserve">at </w:t>
      </w:r>
      <w:r w:rsidRPr="00BF433C">
        <w:rPr>
          <w:rStyle w:val="apple-style-span"/>
          <w:rFonts w:ascii="Times New Roman" w:hAnsi="Times New Roman" w:cs="Times New Roman"/>
          <w:sz w:val="24"/>
          <w:szCs w:val="24"/>
          <w:lang w:val="en-US"/>
        </w:rPr>
        <w:t>5,</w:t>
      </w:r>
      <w:r>
        <w:rPr>
          <w:rStyle w:val="apple-style-span"/>
          <w:rFonts w:ascii="Times New Roman" w:hAnsi="Times New Roman" w:cs="Times New Roman"/>
          <w:sz w:val="24"/>
          <w:szCs w:val="24"/>
          <w:lang w:val="en-US"/>
        </w:rPr>
        <w:t>0</w:t>
      </w:r>
      <w:r w:rsidRPr="00BF433C">
        <w:rPr>
          <w:rStyle w:val="apple-style-span"/>
          <w:rFonts w:ascii="Times New Roman" w:hAnsi="Times New Roman" w:cs="Times New Roman"/>
          <w:sz w:val="24"/>
          <w:szCs w:val="24"/>
          <w:lang w:val="en-US"/>
        </w:rPr>
        <w:t>00</w:t>
      </w:r>
      <w:r>
        <w:rPr>
          <w:rStyle w:val="apple-style-span"/>
          <w:rFonts w:ascii="Times New Roman" w:hAnsi="Times New Roman" w:cs="Times New Roman"/>
          <w:sz w:val="24"/>
          <w:szCs w:val="24"/>
          <w:lang w:val="en-US"/>
        </w:rPr>
        <w:t xml:space="preserve"> ×</w:t>
      </w:r>
      <w:r w:rsidRPr="00E35BF4">
        <w:rPr>
          <w:rStyle w:val="apple-style-span"/>
          <w:rFonts w:ascii="Times New Roman" w:hAnsi="Times New Roman" w:cs="Times New Roman"/>
          <w:iCs/>
          <w:sz w:val="24"/>
          <w:szCs w:val="24"/>
          <w:lang w:val="en-US"/>
        </w:rPr>
        <w:t>g</w:t>
      </w:r>
      <w:r w:rsidRPr="00BF433C">
        <w:rPr>
          <w:rStyle w:val="apple-style-span"/>
          <w:rFonts w:ascii="Times New Roman" w:hAnsi="Times New Roman" w:cs="Times New Roman"/>
          <w:i/>
          <w:iCs/>
          <w:sz w:val="24"/>
          <w:szCs w:val="24"/>
          <w:lang w:val="en-US"/>
        </w:rPr>
        <w:t xml:space="preserve"> </w:t>
      </w:r>
      <w:r w:rsidRPr="00BF433C">
        <w:rPr>
          <w:rStyle w:val="apple-style-span"/>
          <w:rFonts w:ascii="Times New Roman" w:hAnsi="Times New Roman" w:cs="Times New Roman"/>
          <w:sz w:val="24"/>
          <w:szCs w:val="24"/>
          <w:lang w:val="en-US"/>
        </w:rPr>
        <w:t>for 5 min at room temperature</w:t>
      </w:r>
      <w:r>
        <w:rPr>
          <w:rStyle w:val="apple-style-span"/>
          <w:rFonts w:ascii="Times New Roman" w:hAnsi="Times New Roman" w:cs="Times New Roman"/>
          <w:sz w:val="24"/>
          <w:szCs w:val="24"/>
          <w:lang w:val="en-US"/>
        </w:rPr>
        <w:t>.</w:t>
      </w:r>
      <w:r w:rsidRPr="00BF433C">
        <w:rPr>
          <w:rStyle w:val="apple-style-span"/>
          <w:rFonts w:ascii="Times New Roman" w:hAnsi="Times New Roman" w:cs="Times New Roman"/>
          <w:sz w:val="24"/>
          <w:szCs w:val="24"/>
          <w:lang w:val="en-US"/>
        </w:rPr>
        <w:t xml:space="preserve"> </w:t>
      </w:r>
      <w:r>
        <w:rPr>
          <w:rStyle w:val="apple-style-span"/>
          <w:rFonts w:ascii="Times New Roman" w:hAnsi="Times New Roman" w:cs="Times New Roman"/>
          <w:sz w:val="24"/>
          <w:szCs w:val="24"/>
          <w:lang w:val="en-US"/>
        </w:rPr>
        <w:t xml:space="preserve">Radiolabelled peptidoglycan was chemically extracted as described in Chapter 2.14.3-2.14.4, except that HF was removed by washing in </w:t>
      </w:r>
      <w:r>
        <w:rPr>
          <w:rFonts w:ascii="Times New Roman" w:hAnsi="Times New Roman" w:cs="Times New Roman"/>
          <w:sz w:val="24"/>
          <w:szCs w:val="24"/>
        </w:rPr>
        <w:t>Milli-Q water (MilliPore)</w:t>
      </w:r>
      <w:r>
        <w:rPr>
          <w:rStyle w:val="apple-style-span"/>
          <w:rFonts w:ascii="Times New Roman" w:hAnsi="Times New Roman" w:cs="Times New Roman"/>
          <w:sz w:val="24"/>
          <w:szCs w:val="24"/>
          <w:lang w:val="en-US"/>
        </w:rPr>
        <w:t>. Sacculi were</w:t>
      </w:r>
      <w:r w:rsidRPr="00BF433C">
        <w:rPr>
          <w:rStyle w:val="apple-style-span"/>
          <w:rFonts w:ascii="Times New Roman" w:hAnsi="Times New Roman" w:cs="Times New Roman"/>
          <w:sz w:val="24"/>
          <w:szCs w:val="24"/>
          <w:lang w:val="en-US"/>
        </w:rPr>
        <w:t xml:space="preserve"> stored at -20°C</w:t>
      </w:r>
      <w:r>
        <w:rPr>
          <w:rStyle w:val="apple-style-span"/>
          <w:rFonts w:ascii="Times New Roman" w:hAnsi="Times New Roman" w:cs="Times New Roman"/>
          <w:sz w:val="24"/>
          <w:szCs w:val="24"/>
          <w:lang w:val="en-US"/>
        </w:rPr>
        <w:t xml:space="preserve"> as pellets.</w:t>
      </w:r>
      <w:r w:rsidRPr="00BF433C">
        <w:rPr>
          <w:rStyle w:val="apple-converted-space"/>
          <w:lang w:val="en-US"/>
        </w:rPr>
        <w:t xml:space="preserve"> </w:t>
      </w:r>
      <w:r>
        <w:rPr>
          <w:rStyle w:val="apple-style-span"/>
          <w:rFonts w:ascii="Times New Roman" w:hAnsi="Times New Roman" w:cs="Times New Roman"/>
          <w:sz w:val="24"/>
          <w:szCs w:val="24"/>
          <w:lang w:val="en-US"/>
        </w:rPr>
        <w:t>By this</w:t>
      </w:r>
      <w:r w:rsidRPr="00BF433C">
        <w:rPr>
          <w:rStyle w:val="apple-style-span"/>
          <w:rFonts w:ascii="Times New Roman" w:hAnsi="Times New Roman" w:cs="Times New Roman"/>
          <w:sz w:val="24"/>
          <w:szCs w:val="24"/>
          <w:lang w:val="en-US"/>
        </w:rPr>
        <w:t xml:space="preserve"> method,</w:t>
      </w:r>
      <w:r w:rsidRPr="00BF433C">
        <w:rPr>
          <w:rStyle w:val="apple-converted-space"/>
          <w:lang w:val="en-US"/>
        </w:rPr>
        <w:t xml:space="preserve"> </w:t>
      </w:r>
      <w:r w:rsidRPr="00BF433C">
        <w:rPr>
          <w:rStyle w:val="apple-style-span"/>
          <w:rFonts w:ascii="Times New Roman" w:hAnsi="Times New Roman" w:cs="Times New Roman"/>
          <w:sz w:val="24"/>
          <w:szCs w:val="24"/>
          <w:lang w:val="en-US"/>
        </w:rPr>
        <w:t>5 to 20 mg of radiolabelled peptidoglycan was</w:t>
      </w:r>
      <w:r w:rsidRPr="00BF433C">
        <w:rPr>
          <w:rStyle w:val="apple-converted-space"/>
          <w:lang w:val="en-US"/>
        </w:rPr>
        <w:t xml:space="preserve"> </w:t>
      </w:r>
      <w:r w:rsidRPr="00BF433C">
        <w:rPr>
          <w:rStyle w:val="apple-style-span"/>
          <w:rFonts w:ascii="Times New Roman" w:hAnsi="Times New Roman" w:cs="Times New Roman"/>
          <w:sz w:val="24"/>
          <w:szCs w:val="24"/>
          <w:lang w:val="en-US"/>
        </w:rPr>
        <w:t>obtained for each species</w:t>
      </w:r>
      <w:r>
        <w:rPr>
          <w:rStyle w:val="apple-style-span"/>
          <w:rFonts w:ascii="Times New Roman" w:hAnsi="Times New Roman" w:cs="Times New Roman"/>
          <w:sz w:val="24"/>
          <w:szCs w:val="24"/>
          <w:lang w:val="en-US"/>
        </w:rPr>
        <w:t>. Scintillation measurements indicated that the pelleted material contained less than</w:t>
      </w:r>
      <w:r w:rsidRPr="00BF433C">
        <w:rPr>
          <w:rStyle w:val="apple-style-span"/>
          <w:rFonts w:ascii="Times New Roman" w:hAnsi="Times New Roman" w:cs="Times New Roman"/>
          <w:sz w:val="24"/>
          <w:szCs w:val="24"/>
          <w:lang w:val="en-US"/>
        </w:rPr>
        <w:t xml:space="preserve"> 10% of</w:t>
      </w:r>
      <w:r w:rsidRPr="00BF433C">
        <w:rPr>
          <w:rStyle w:val="apple-converted-space"/>
          <w:lang w:val="en-US"/>
        </w:rPr>
        <w:t xml:space="preserve"> </w:t>
      </w:r>
      <w:r>
        <w:rPr>
          <w:rStyle w:val="apple-converted-space"/>
          <w:lang w:val="en-US"/>
        </w:rPr>
        <w:t xml:space="preserve">the initial </w:t>
      </w:r>
      <w:r w:rsidRPr="00BF433C">
        <w:rPr>
          <w:rStyle w:val="apple-style-span"/>
          <w:rFonts w:ascii="Times New Roman" w:hAnsi="Times New Roman" w:cs="Times New Roman"/>
          <w:i/>
          <w:iCs/>
          <w:sz w:val="24"/>
          <w:szCs w:val="24"/>
          <w:lang w:val="en-US"/>
        </w:rPr>
        <w:t>N</w:t>
      </w:r>
      <w:r w:rsidRPr="00BF433C">
        <w:rPr>
          <w:rStyle w:val="apple-style-span"/>
          <w:rFonts w:ascii="Times New Roman" w:hAnsi="Times New Roman" w:cs="Times New Roman"/>
          <w:sz w:val="24"/>
          <w:szCs w:val="24"/>
          <w:lang w:val="en-US"/>
        </w:rPr>
        <w:t>-</w:t>
      </w:r>
      <w:proofErr w:type="gramStart"/>
      <w:r w:rsidRPr="00BF433C">
        <w:rPr>
          <w:rStyle w:val="apple-style-span"/>
          <w:rFonts w:ascii="Times New Roman" w:hAnsi="Times New Roman" w:cs="Times New Roman"/>
          <w:sz w:val="24"/>
          <w:szCs w:val="24"/>
          <w:lang w:val="en-US"/>
        </w:rPr>
        <w:t>acetyl[</w:t>
      </w:r>
      <w:proofErr w:type="gramEnd"/>
      <w:r w:rsidRPr="00BF433C">
        <w:rPr>
          <w:rStyle w:val="apple-style-span"/>
          <w:rFonts w:ascii="Times New Roman" w:hAnsi="Times New Roman" w:cs="Times New Roman"/>
          <w:sz w:val="24"/>
          <w:szCs w:val="24"/>
          <w:vertAlign w:val="superscript"/>
          <w:lang w:val="en-US"/>
        </w:rPr>
        <w:t>14</w:t>
      </w:r>
      <w:r w:rsidRPr="00BF433C">
        <w:rPr>
          <w:rStyle w:val="apple-style-span"/>
          <w:rFonts w:ascii="Times New Roman" w:hAnsi="Times New Roman" w:cs="Times New Roman"/>
          <w:sz w:val="24"/>
          <w:szCs w:val="24"/>
          <w:lang w:val="en-US"/>
        </w:rPr>
        <w:t>C]glucosamine</w:t>
      </w:r>
      <w:r>
        <w:rPr>
          <w:rStyle w:val="apple-style-span"/>
          <w:rFonts w:ascii="Times New Roman" w:hAnsi="Times New Roman" w:cs="Times New Roman"/>
          <w:sz w:val="24"/>
          <w:szCs w:val="24"/>
          <w:lang w:val="en-US"/>
        </w:rPr>
        <w:t xml:space="preserve"> inoculum</w:t>
      </w:r>
      <w:r w:rsidRPr="00BF433C">
        <w:rPr>
          <w:rStyle w:val="apple-style-span"/>
          <w:rFonts w:ascii="Times New Roman" w:hAnsi="Times New Roman" w:cs="Times New Roman"/>
          <w:sz w:val="24"/>
          <w:szCs w:val="24"/>
          <w:lang w:val="en-US"/>
        </w:rPr>
        <w:t>.</w:t>
      </w:r>
    </w:p>
    <w:p w:rsidR="002D7C9B" w:rsidRDefault="002D7C9B" w:rsidP="002D7C9B">
      <w:pPr>
        <w:spacing w:before="460" w:after="80" w:line="480" w:lineRule="auto"/>
        <w:jc w:val="both"/>
        <w:rPr>
          <w:rFonts w:ascii="Times New Roman" w:eastAsia="Calibri" w:hAnsi="Times New Roman" w:cs="Times New Roman"/>
          <w:szCs w:val="24"/>
        </w:rPr>
      </w:pPr>
      <w:r w:rsidRPr="00483031">
        <w:rPr>
          <w:rFonts w:ascii="Times New Roman" w:eastAsia="Calibri" w:hAnsi="Times New Roman" w:cs="Times New Roman"/>
          <w:sz w:val="28"/>
          <w:szCs w:val="28"/>
        </w:rPr>
        <w:t>2.1</w:t>
      </w:r>
      <w:r>
        <w:rPr>
          <w:rFonts w:ascii="Times New Roman" w:eastAsia="Calibri" w:hAnsi="Times New Roman" w:cs="Times New Roman"/>
          <w:sz w:val="28"/>
          <w:szCs w:val="28"/>
        </w:rPr>
        <w:t>6</w:t>
      </w:r>
      <w:r w:rsidRPr="00483031">
        <w:rPr>
          <w:rFonts w:ascii="Times New Roman" w:eastAsia="Calibri" w:hAnsi="Times New Roman" w:cs="Times New Roman"/>
          <w:sz w:val="28"/>
          <w:szCs w:val="28"/>
        </w:rPr>
        <w:t>.</w:t>
      </w:r>
      <w:r>
        <w:rPr>
          <w:rFonts w:ascii="Times New Roman" w:eastAsia="Calibri" w:hAnsi="Times New Roman" w:cs="Times New Roman"/>
          <w:sz w:val="28"/>
          <w:szCs w:val="28"/>
        </w:rPr>
        <w:t>2</w:t>
      </w:r>
      <w:r>
        <w:rPr>
          <w:rFonts w:ascii="Times New Roman" w:eastAsia="Calibri" w:hAnsi="Times New Roman" w:cs="Times New Roman"/>
          <w:sz w:val="28"/>
          <w:szCs w:val="28"/>
        </w:rPr>
        <w:tab/>
      </w:r>
      <w:r>
        <w:rPr>
          <w:rFonts w:ascii="Times New Roman" w:eastAsia="Calibri" w:hAnsi="Times New Roman" w:cs="Times New Roman"/>
          <w:sz w:val="28"/>
          <w:szCs w:val="28"/>
        </w:rPr>
        <w:tab/>
        <w:t xml:space="preserve">Amidase </w:t>
      </w:r>
      <w:proofErr w:type="gramStart"/>
      <w:r>
        <w:rPr>
          <w:rFonts w:ascii="Times New Roman" w:eastAsia="Calibri" w:hAnsi="Times New Roman" w:cs="Times New Roman"/>
          <w:sz w:val="28"/>
          <w:szCs w:val="28"/>
        </w:rPr>
        <w:t>digest</w:t>
      </w:r>
      <w:proofErr w:type="gramEnd"/>
      <w:r>
        <w:rPr>
          <w:rFonts w:ascii="Times New Roman" w:eastAsia="Calibri" w:hAnsi="Times New Roman" w:cs="Times New Roman"/>
          <w:sz w:val="28"/>
          <w:szCs w:val="28"/>
        </w:rPr>
        <w:t xml:space="preserve"> of</w:t>
      </w:r>
      <w:r w:rsidRPr="00BF433C">
        <w:rPr>
          <w:rFonts w:ascii="Times New Roman" w:eastAsia="Calibri" w:hAnsi="Times New Roman" w:cs="Times New Roman"/>
          <w:sz w:val="28"/>
          <w:szCs w:val="28"/>
        </w:rPr>
        <w:t xml:space="preserve"> glycan strands</w:t>
      </w:r>
      <w:r>
        <w:rPr>
          <w:rFonts w:ascii="Times New Roman" w:eastAsia="Calibri" w:hAnsi="Times New Roman" w:cs="Times New Roman"/>
          <w:sz w:val="28"/>
          <w:szCs w:val="28"/>
        </w:rPr>
        <w:t xml:space="preserve"> from stem peptides</w:t>
      </w:r>
      <w:r w:rsidRPr="00BF433C">
        <w:rPr>
          <w:rFonts w:ascii="Times New Roman" w:eastAsia="Calibri" w:hAnsi="Times New Roman" w:cs="Times New Roman"/>
          <w:sz w:val="28"/>
          <w:szCs w:val="28"/>
        </w:rPr>
        <w:t>.</w:t>
      </w:r>
    </w:p>
    <w:p w:rsidR="002D7C9B" w:rsidRDefault="002D7C9B" w:rsidP="002D7C9B">
      <w:pPr>
        <w:spacing w:after="120"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Analysis of glycan chain length was carried out based on the method of Boneca </w:t>
      </w:r>
      <w:r>
        <w:rPr>
          <w:rFonts w:ascii="Times New Roman" w:eastAsia="Calibri" w:hAnsi="Times New Roman" w:cs="Times New Roman"/>
          <w:i/>
          <w:sz w:val="24"/>
          <w:szCs w:val="24"/>
        </w:rPr>
        <w:t xml:space="preserve">et </w:t>
      </w:r>
      <w:r w:rsidRPr="00483031">
        <w:rPr>
          <w:rFonts w:ascii="Times New Roman" w:eastAsia="Calibri" w:hAnsi="Times New Roman" w:cs="Times New Roman"/>
          <w:i/>
          <w:sz w:val="24"/>
          <w:szCs w:val="24"/>
        </w:rPr>
        <w:t>al</w:t>
      </w:r>
      <w:r>
        <w:rPr>
          <w:rFonts w:ascii="Times New Roman" w:eastAsia="Calibri" w:hAnsi="Times New Roman" w:cs="Times New Roman"/>
          <w:sz w:val="24"/>
          <w:szCs w:val="24"/>
        </w:rPr>
        <w:t xml:space="preserve">. (2000). </w:t>
      </w:r>
      <w:r w:rsidRPr="00483031">
        <w:rPr>
          <w:rFonts w:ascii="Times New Roman" w:eastAsia="Calibri" w:hAnsi="Times New Roman" w:cs="Times New Roman"/>
          <w:sz w:val="24"/>
          <w:szCs w:val="24"/>
        </w:rPr>
        <w:t>Radiolabelled</w:t>
      </w:r>
      <w:r w:rsidRPr="00BF433C">
        <w:rPr>
          <w:rFonts w:ascii="Times New Roman" w:eastAsia="Calibri" w:hAnsi="Times New Roman" w:cs="Times New Roman"/>
          <w:sz w:val="24"/>
          <w:szCs w:val="24"/>
        </w:rPr>
        <w:t xml:space="preserve"> peptidoglycan sacculi were digested </w:t>
      </w:r>
      <w:r>
        <w:rPr>
          <w:rFonts w:ascii="Times New Roman" w:eastAsia="Calibri" w:hAnsi="Times New Roman" w:cs="Times New Roman"/>
          <w:sz w:val="24"/>
          <w:szCs w:val="24"/>
        </w:rPr>
        <w:t>with</w:t>
      </w:r>
      <w:r w:rsidRPr="00BF433C">
        <w:rPr>
          <w:rFonts w:ascii="Times New Roman" w:eastAsia="Calibri" w:hAnsi="Times New Roman" w:cs="Times New Roman"/>
          <w:sz w:val="24"/>
          <w:szCs w:val="24"/>
        </w:rPr>
        <w:t xml:space="preserve"> the amidase domain of the bifunctional </w:t>
      </w:r>
      <w:r w:rsidRPr="00BF433C">
        <w:rPr>
          <w:rFonts w:ascii="Times New Roman" w:eastAsia="Calibri" w:hAnsi="Times New Roman" w:cs="Times New Roman"/>
          <w:i/>
          <w:iCs/>
          <w:sz w:val="24"/>
          <w:szCs w:val="24"/>
        </w:rPr>
        <w:t xml:space="preserve">S. aureus </w:t>
      </w:r>
      <w:r w:rsidRPr="00BF433C">
        <w:rPr>
          <w:rFonts w:ascii="Times New Roman" w:eastAsia="Calibri" w:hAnsi="Times New Roman" w:cs="Times New Roman"/>
          <w:sz w:val="24"/>
          <w:szCs w:val="24"/>
        </w:rPr>
        <w:t xml:space="preserve">autolysin Atl. Typically, 1–2 mg of </w:t>
      </w:r>
      <w:r w:rsidRPr="00BF433C">
        <w:rPr>
          <w:rFonts w:ascii="Times New Roman" w:eastAsia="Calibri" w:hAnsi="Times New Roman" w:cs="Times New Roman"/>
          <w:iCs/>
          <w:sz w:val="24"/>
          <w:szCs w:val="24"/>
        </w:rPr>
        <w:t>peptidoglycan</w:t>
      </w:r>
      <w:r w:rsidRPr="00BF433C">
        <w:rPr>
          <w:rFonts w:ascii="Times New Roman" w:eastAsia="Calibri" w:hAnsi="Times New Roman" w:cs="Times New Roman"/>
          <w:i/>
          <w:iCs/>
          <w:sz w:val="24"/>
          <w:szCs w:val="24"/>
        </w:rPr>
        <w:t xml:space="preserve"> </w:t>
      </w:r>
      <w:r w:rsidRPr="00BF433C">
        <w:rPr>
          <w:rFonts w:ascii="Times New Roman" w:eastAsia="Calibri" w:hAnsi="Times New Roman" w:cs="Times New Roman"/>
          <w:sz w:val="24"/>
          <w:szCs w:val="24"/>
        </w:rPr>
        <w:t>was digested overnight with 250 µg Atl</w:t>
      </w:r>
      <w:r>
        <w:rPr>
          <w:rFonts w:ascii="Times New Roman" w:eastAsia="Calibri" w:hAnsi="Times New Roman" w:cs="Times New Roman"/>
          <w:sz w:val="24"/>
          <w:szCs w:val="24"/>
        </w:rPr>
        <w:t xml:space="preserve"> amidase in 10 mM Tris-HCl (pH 7.0)</w:t>
      </w:r>
      <w:r w:rsidRPr="00BF433C">
        <w:rPr>
          <w:rFonts w:ascii="Times New Roman" w:eastAsia="Calibri" w:hAnsi="Times New Roman" w:cs="Times New Roman"/>
          <w:sz w:val="24"/>
          <w:szCs w:val="24"/>
        </w:rPr>
        <w:t xml:space="preserve"> containing 1 mM CaCl</w:t>
      </w:r>
      <w:r w:rsidRPr="00BF433C">
        <w:rPr>
          <w:rFonts w:ascii="Times New Roman" w:eastAsia="Calibri" w:hAnsi="Times New Roman" w:cs="Times New Roman"/>
          <w:sz w:val="24"/>
          <w:szCs w:val="24"/>
          <w:vertAlign w:val="subscript"/>
        </w:rPr>
        <w:t>2</w:t>
      </w:r>
      <w:r w:rsidRPr="00BF433C">
        <w:rPr>
          <w:rFonts w:ascii="Times New Roman" w:eastAsia="Calibri" w:hAnsi="Times New Roman" w:cs="Times New Roman"/>
          <w:sz w:val="24"/>
          <w:szCs w:val="24"/>
        </w:rPr>
        <w:t xml:space="preserve">. The sample was boiled </w:t>
      </w:r>
      <w:r>
        <w:rPr>
          <w:rFonts w:ascii="Times New Roman" w:eastAsia="Calibri" w:hAnsi="Times New Roman" w:cs="Times New Roman"/>
          <w:sz w:val="24"/>
          <w:szCs w:val="24"/>
        </w:rPr>
        <w:t xml:space="preserve">in a water bath for </w:t>
      </w:r>
      <w:r w:rsidRPr="00BF433C">
        <w:rPr>
          <w:rFonts w:ascii="Times New Roman" w:eastAsia="Calibri" w:hAnsi="Times New Roman" w:cs="Times New Roman"/>
          <w:sz w:val="24"/>
          <w:szCs w:val="24"/>
        </w:rPr>
        <w:t>3 min to inactivate the enzyme</w:t>
      </w:r>
      <w:r>
        <w:rPr>
          <w:rFonts w:ascii="Times New Roman" w:eastAsia="Calibri" w:hAnsi="Times New Roman" w:cs="Times New Roman"/>
          <w:sz w:val="24"/>
          <w:szCs w:val="24"/>
        </w:rPr>
        <w:t>, then</w:t>
      </w:r>
      <w:r w:rsidRPr="00BF433C">
        <w:rPr>
          <w:rFonts w:ascii="Times New Roman" w:eastAsia="Calibri" w:hAnsi="Times New Roman" w:cs="Times New Roman"/>
          <w:sz w:val="24"/>
          <w:szCs w:val="24"/>
        </w:rPr>
        <w:t xml:space="preserve"> </w:t>
      </w:r>
      <w:r>
        <w:rPr>
          <w:rFonts w:ascii="Times New Roman" w:eastAsia="Calibri" w:hAnsi="Times New Roman" w:cs="Times New Roman"/>
          <w:sz w:val="24"/>
          <w:szCs w:val="24"/>
        </w:rPr>
        <w:t>i</w:t>
      </w:r>
      <w:r w:rsidRPr="00BF433C">
        <w:rPr>
          <w:rFonts w:ascii="Times New Roman" w:eastAsia="Calibri" w:hAnsi="Times New Roman" w:cs="Times New Roman"/>
          <w:sz w:val="24"/>
          <w:szCs w:val="24"/>
        </w:rPr>
        <w:t xml:space="preserve">nsoluble material </w:t>
      </w:r>
      <w:r>
        <w:rPr>
          <w:rFonts w:ascii="Times New Roman" w:eastAsia="Calibri" w:hAnsi="Times New Roman" w:cs="Times New Roman"/>
          <w:sz w:val="24"/>
          <w:szCs w:val="24"/>
        </w:rPr>
        <w:t>pelleted</w:t>
      </w:r>
      <w:r w:rsidRPr="00BF433C">
        <w:rPr>
          <w:rFonts w:ascii="Times New Roman" w:eastAsia="Calibri" w:hAnsi="Times New Roman" w:cs="Times New Roman"/>
          <w:sz w:val="24"/>
          <w:szCs w:val="24"/>
        </w:rPr>
        <w:t xml:space="preserve"> by centrifugation </w:t>
      </w:r>
      <w:r>
        <w:rPr>
          <w:rFonts w:ascii="Times New Roman" w:eastAsia="Calibri" w:hAnsi="Times New Roman" w:cs="Times New Roman"/>
          <w:sz w:val="24"/>
          <w:szCs w:val="24"/>
        </w:rPr>
        <w:t xml:space="preserve">at </w:t>
      </w:r>
      <w:r w:rsidRPr="00BF433C">
        <w:rPr>
          <w:rFonts w:ascii="Times New Roman" w:eastAsia="Calibri" w:hAnsi="Times New Roman" w:cs="Times New Roman"/>
          <w:sz w:val="24"/>
          <w:szCs w:val="24"/>
        </w:rPr>
        <w:t>14,000</w:t>
      </w:r>
      <w:r>
        <w:rPr>
          <w:rFonts w:ascii="Times New Roman" w:eastAsia="Calibri" w:hAnsi="Times New Roman" w:cs="Times New Roman"/>
          <w:sz w:val="24"/>
          <w:szCs w:val="24"/>
        </w:rPr>
        <w:t xml:space="preserve"> ×</w:t>
      </w:r>
      <w:r w:rsidRPr="00BF433C">
        <w:rPr>
          <w:rFonts w:ascii="Times New Roman" w:eastAsia="Calibri" w:hAnsi="Times New Roman" w:cs="Times New Roman"/>
          <w:i/>
          <w:iCs/>
          <w:sz w:val="24"/>
          <w:szCs w:val="24"/>
        </w:rPr>
        <w:t xml:space="preserve">g </w:t>
      </w:r>
      <w:r w:rsidRPr="00BF433C">
        <w:rPr>
          <w:rFonts w:ascii="Times New Roman" w:eastAsia="Calibri" w:hAnsi="Times New Roman" w:cs="Times New Roman"/>
          <w:sz w:val="24"/>
          <w:szCs w:val="24"/>
        </w:rPr>
        <w:t xml:space="preserve">for </w:t>
      </w:r>
      <w:r>
        <w:rPr>
          <w:rFonts w:ascii="Times New Roman" w:eastAsia="Calibri" w:hAnsi="Times New Roman" w:cs="Times New Roman"/>
          <w:sz w:val="24"/>
          <w:szCs w:val="24"/>
        </w:rPr>
        <w:t>10</w:t>
      </w:r>
      <w:r w:rsidRPr="00BF433C">
        <w:rPr>
          <w:rFonts w:ascii="Times New Roman" w:eastAsia="Calibri" w:hAnsi="Times New Roman" w:cs="Times New Roman"/>
          <w:sz w:val="24"/>
          <w:szCs w:val="24"/>
        </w:rPr>
        <w:t xml:space="preserve"> min, and the supernatant collected for further analysis. Counts in the supernatant and pellet fractions using </w:t>
      </w:r>
      <w:r w:rsidRPr="00BF433C">
        <w:rPr>
          <w:rFonts w:ascii="Times New Roman" w:eastAsia="Calibri" w:hAnsi="Times New Roman" w:cs="Times New Roman"/>
          <w:i/>
          <w:iCs/>
          <w:sz w:val="24"/>
          <w:szCs w:val="24"/>
        </w:rPr>
        <w:t>N</w:t>
      </w:r>
      <w:r w:rsidRPr="00BF433C">
        <w:rPr>
          <w:rFonts w:ascii="Times New Roman" w:eastAsia="Calibri" w:hAnsi="Times New Roman" w:cs="Times New Roman"/>
          <w:sz w:val="24"/>
          <w:szCs w:val="24"/>
        </w:rPr>
        <w:t>-</w:t>
      </w:r>
      <w:proofErr w:type="gramStart"/>
      <w:r w:rsidRPr="00BF433C">
        <w:rPr>
          <w:rFonts w:ascii="Times New Roman" w:eastAsia="Calibri" w:hAnsi="Times New Roman" w:cs="Times New Roman"/>
          <w:sz w:val="24"/>
          <w:szCs w:val="24"/>
        </w:rPr>
        <w:t>acetyl[</w:t>
      </w:r>
      <w:proofErr w:type="gramEnd"/>
      <w:r w:rsidRPr="00BF433C">
        <w:rPr>
          <w:rFonts w:ascii="Times New Roman" w:eastAsia="Calibri" w:hAnsi="Times New Roman" w:cs="Times New Roman"/>
          <w:sz w:val="24"/>
          <w:szCs w:val="24"/>
          <w:vertAlign w:val="superscript"/>
        </w:rPr>
        <w:t>14</w:t>
      </w:r>
      <w:r w:rsidRPr="00BF433C">
        <w:rPr>
          <w:rFonts w:ascii="Times New Roman" w:eastAsia="Calibri" w:hAnsi="Times New Roman" w:cs="Times New Roman"/>
          <w:sz w:val="24"/>
          <w:szCs w:val="24"/>
        </w:rPr>
        <w:t xml:space="preserve">C]glucosamine radiolabelled material were used to determine hydrolysis efficiency. The </w:t>
      </w:r>
      <w:r>
        <w:rPr>
          <w:rFonts w:ascii="Times New Roman" w:eastAsia="Calibri" w:hAnsi="Times New Roman" w:cs="Times New Roman"/>
          <w:sz w:val="24"/>
          <w:szCs w:val="24"/>
        </w:rPr>
        <w:t>s</w:t>
      </w:r>
      <w:r w:rsidRPr="00BF433C">
        <w:rPr>
          <w:rFonts w:ascii="Times New Roman" w:eastAsia="Calibri" w:hAnsi="Times New Roman" w:cs="Times New Roman"/>
          <w:sz w:val="24"/>
          <w:szCs w:val="24"/>
        </w:rPr>
        <w:t>olubilised peptidoglycan fr</w:t>
      </w:r>
      <w:r>
        <w:rPr>
          <w:rFonts w:ascii="Times New Roman" w:eastAsia="Calibri" w:hAnsi="Times New Roman" w:cs="Times New Roman"/>
          <w:sz w:val="24"/>
          <w:szCs w:val="24"/>
        </w:rPr>
        <w:t>action</w:t>
      </w:r>
      <w:r w:rsidRPr="00BF433C">
        <w:rPr>
          <w:rFonts w:ascii="Times New Roman" w:eastAsia="Calibri" w:hAnsi="Times New Roman" w:cs="Times New Roman"/>
          <w:sz w:val="24"/>
          <w:szCs w:val="24"/>
        </w:rPr>
        <w:t xml:space="preserve"> was adjusted to </w:t>
      </w:r>
      <w:r>
        <w:rPr>
          <w:rFonts w:ascii="Times New Roman" w:eastAsia="Calibri" w:hAnsi="Times New Roman" w:cs="Times New Roman"/>
          <w:sz w:val="24"/>
          <w:szCs w:val="24"/>
        </w:rPr>
        <w:t xml:space="preserve">pH </w:t>
      </w:r>
      <w:r w:rsidRPr="00BF433C">
        <w:rPr>
          <w:rFonts w:ascii="Times New Roman" w:eastAsia="Calibri" w:hAnsi="Times New Roman" w:cs="Times New Roman"/>
          <w:sz w:val="24"/>
          <w:szCs w:val="24"/>
        </w:rPr>
        <w:t xml:space="preserve">2 </w:t>
      </w:r>
      <w:r>
        <w:rPr>
          <w:rFonts w:ascii="Times New Roman" w:eastAsia="Calibri" w:hAnsi="Times New Roman" w:cs="Times New Roman"/>
          <w:sz w:val="24"/>
          <w:szCs w:val="24"/>
        </w:rPr>
        <w:t>ready for purification by</w:t>
      </w:r>
      <w:r w:rsidRPr="00BF433C">
        <w:rPr>
          <w:rFonts w:ascii="Times New Roman" w:eastAsia="Calibri" w:hAnsi="Times New Roman" w:cs="Times New Roman"/>
          <w:sz w:val="24"/>
          <w:szCs w:val="24"/>
        </w:rPr>
        <w:t xml:space="preserve"> cation exchange</w:t>
      </w:r>
      <w:r>
        <w:rPr>
          <w:rFonts w:ascii="Times New Roman" w:eastAsia="Calibri" w:hAnsi="Times New Roman" w:cs="Times New Roman"/>
          <w:sz w:val="24"/>
          <w:szCs w:val="24"/>
        </w:rPr>
        <w:t>.</w:t>
      </w:r>
    </w:p>
    <w:p w:rsidR="002D7C9B" w:rsidRPr="00483031" w:rsidRDefault="002D7C9B" w:rsidP="002D7C9B">
      <w:pPr>
        <w:spacing w:before="120" w:after="120" w:line="480" w:lineRule="auto"/>
        <w:jc w:val="both"/>
        <w:rPr>
          <w:rFonts w:ascii="Times New Roman" w:eastAsia="Calibri" w:hAnsi="Times New Roman" w:cs="Times New Roman"/>
          <w:sz w:val="28"/>
          <w:szCs w:val="28"/>
        </w:rPr>
      </w:pPr>
      <w:r w:rsidRPr="00BF433C">
        <w:rPr>
          <w:rFonts w:ascii="Times New Roman" w:eastAsia="Calibri" w:hAnsi="Times New Roman" w:cs="Times New Roman"/>
          <w:sz w:val="28"/>
          <w:szCs w:val="28"/>
        </w:rPr>
        <w:lastRenderedPageBreak/>
        <w:t>2.1</w:t>
      </w:r>
      <w:r>
        <w:rPr>
          <w:rFonts w:ascii="Times New Roman" w:eastAsia="Calibri" w:hAnsi="Times New Roman" w:cs="Times New Roman"/>
          <w:sz w:val="28"/>
          <w:szCs w:val="28"/>
        </w:rPr>
        <w:t>6</w:t>
      </w:r>
      <w:r w:rsidRPr="00BF433C">
        <w:rPr>
          <w:rFonts w:ascii="Times New Roman" w:eastAsia="Calibri" w:hAnsi="Times New Roman" w:cs="Times New Roman"/>
          <w:sz w:val="28"/>
          <w:szCs w:val="28"/>
        </w:rPr>
        <w:t>.</w:t>
      </w:r>
      <w:r>
        <w:rPr>
          <w:rFonts w:ascii="Times New Roman" w:eastAsia="Calibri" w:hAnsi="Times New Roman" w:cs="Times New Roman"/>
          <w:sz w:val="28"/>
          <w:szCs w:val="28"/>
        </w:rPr>
        <w:t>3</w:t>
      </w:r>
      <w:r w:rsidRPr="00BF433C">
        <w:rPr>
          <w:rFonts w:ascii="Times New Roman" w:eastAsia="Calibri" w:hAnsi="Times New Roman" w:cs="Times New Roman"/>
          <w:sz w:val="28"/>
          <w:szCs w:val="28"/>
        </w:rPr>
        <w:tab/>
      </w:r>
      <w:r w:rsidRPr="00BF433C">
        <w:rPr>
          <w:rFonts w:ascii="Times New Roman" w:eastAsia="Calibri" w:hAnsi="Times New Roman" w:cs="Times New Roman"/>
          <w:sz w:val="28"/>
          <w:szCs w:val="28"/>
        </w:rPr>
        <w:tab/>
      </w:r>
      <w:r>
        <w:rPr>
          <w:rFonts w:ascii="Times New Roman" w:eastAsia="Calibri" w:hAnsi="Times New Roman" w:cs="Times New Roman"/>
          <w:sz w:val="28"/>
          <w:szCs w:val="28"/>
        </w:rPr>
        <w:t>Sodium borohydride reduction of soluble peptidoglycan material</w:t>
      </w:r>
    </w:p>
    <w:p w:rsidR="002D7C9B" w:rsidRPr="004E49F9" w:rsidRDefault="002D7C9B" w:rsidP="002D7C9B">
      <w:pPr>
        <w:spacing w:before="120" w:after="120"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The presence of α- and β-anomers in the peptidoglycan hampers resolution of distinct peaks by HPLC. Following solubilisation of peptidoglycan fragments by enzymatic digest, reduction of peptidoglycan with sodium borohydride was therefore carried out as described by Boneca </w:t>
      </w:r>
      <w:r>
        <w:rPr>
          <w:rFonts w:ascii="Times New Roman" w:eastAsia="Calibri" w:hAnsi="Times New Roman" w:cs="Times New Roman"/>
          <w:i/>
          <w:sz w:val="24"/>
          <w:szCs w:val="24"/>
        </w:rPr>
        <w:t>et al</w:t>
      </w:r>
      <w:r>
        <w:rPr>
          <w:rFonts w:ascii="Times New Roman" w:eastAsia="Calibri" w:hAnsi="Times New Roman" w:cs="Times New Roman"/>
          <w:sz w:val="24"/>
          <w:szCs w:val="24"/>
        </w:rPr>
        <w:t>. (2000). The soluble fraction was separated from insoluble material by centrifugation at 13,000 rpm for 10 min at room temperature, then the pH of 500µl of soluble material raised by addition of 350 µl of 0.5 M boric acid buffer (pH 8.7). Ten milligrams of sodium borohydride was added, and the sample incubated for 15 min at room temperature. The reaction was halted by adjusting the sample to pH 2 using neat phosphoric acid.</w:t>
      </w:r>
    </w:p>
    <w:p w:rsidR="002D7C9B" w:rsidRDefault="002D7C9B" w:rsidP="002D7C9B">
      <w:pPr>
        <w:spacing w:before="120" w:after="120" w:line="480" w:lineRule="auto"/>
        <w:jc w:val="both"/>
        <w:rPr>
          <w:rFonts w:ascii="Times New Roman" w:eastAsia="Calibri" w:hAnsi="Times New Roman" w:cs="Times New Roman"/>
          <w:sz w:val="24"/>
          <w:szCs w:val="24"/>
        </w:rPr>
      </w:pPr>
    </w:p>
    <w:p w:rsidR="002D7C9B" w:rsidRPr="00887E4C" w:rsidRDefault="002D7C9B" w:rsidP="002D7C9B">
      <w:pPr>
        <w:spacing w:before="120" w:after="120" w:line="480" w:lineRule="auto"/>
        <w:jc w:val="both"/>
        <w:rPr>
          <w:rFonts w:ascii="Times New Roman" w:eastAsia="Calibri" w:hAnsi="Times New Roman" w:cs="Times New Roman"/>
          <w:sz w:val="28"/>
          <w:szCs w:val="28"/>
        </w:rPr>
      </w:pPr>
      <w:r w:rsidRPr="00887E4C">
        <w:rPr>
          <w:rFonts w:ascii="Times New Roman" w:eastAsia="Calibri" w:hAnsi="Times New Roman" w:cs="Times New Roman"/>
          <w:sz w:val="28"/>
          <w:szCs w:val="28"/>
        </w:rPr>
        <w:t>2.</w:t>
      </w:r>
      <w:r>
        <w:rPr>
          <w:rFonts w:ascii="Times New Roman" w:eastAsia="Calibri" w:hAnsi="Times New Roman" w:cs="Times New Roman"/>
          <w:sz w:val="28"/>
          <w:szCs w:val="28"/>
        </w:rPr>
        <w:t>16.4</w:t>
      </w:r>
      <w:r w:rsidRPr="00887E4C">
        <w:rPr>
          <w:rFonts w:ascii="Times New Roman" w:eastAsia="Calibri" w:hAnsi="Times New Roman" w:cs="Times New Roman"/>
          <w:sz w:val="28"/>
          <w:szCs w:val="28"/>
        </w:rPr>
        <w:tab/>
      </w:r>
      <w:r w:rsidRPr="00887E4C">
        <w:rPr>
          <w:rFonts w:ascii="Times New Roman" w:eastAsia="Calibri" w:hAnsi="Times New Roman" w:cs="Times New Roman"/>
          <w:sz w:val="28"/>
          <w:szCs w:val="28"/>
        </w:rPr>
        <w:tab/>
        <w:t>Ion exchange separation of glycan strands and peptide</w:t>
      </w:r>
      <w:r>
        <w:rPr>
          <w:rFonts w:ascii="Times New Roman" w:eastAsia="Calibri" w:hAnsi="Times New Roman" w:cs="Times New Roman"/>
          <w:sz w:val="28"/>
          <w:szCs w:val="28"/>
        </w:rPr>
        <w:t xml:space="preserve"> stem</w:t>
      </w:r>
      <w:r w:rsidRPr="00887E4C">
        <w:rPr>
          <w:rFonts w:ascii="Times New Roman" w:eastAsia="Calibri" w:hAnsi="Times New Roman" w:cs="Times New Roman"/>
          <w:sz w:val="28"/>
          <w:szCs w:val="28"/>
        </w:rPr>
        <w:t>s</w:t>
      </w:r>
    </w:p>
    <w:p w:rsidR="002D7C9B" w:rsidRPr="00BF433C" w:rsidRDefault="002D7C9B" w:rsidP="002D7C9B">
      <w:pPr>
        <w:spacing w:before="120" w:after="120"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An Amersham FPLC P-900 system was used for cation exchange purification of glycan strands. Amidase digested peptidoglycan at pH 2 (Chapter 2.16.2) was injected onto a </w:t>
      </w:r>
      <w:r w:rsidRPr="00BF433C">
        <w:rPr>
          <w:rFonts w:ascii="Times New Roman" w:eastAsia="Calibri" w:hAnsi="Times New Roman" w:cs="Times New Roman"/>
          <w:sz w:val="24"/>
          <w:szCs w:val="24"/>
        </w:rPr>
        <w:t xml:space="preserve">MonoS column (Amersham Biosciences) equilibrated with </w:t>
      </w:r>
      <w:r>
        <w:rPr>
          <w:rFonts w:ascii="Times New Roman" w:eastAsia="Calibri" w:hAnsi="Times New Roman" w:cs="Times New Roman"/>
          <w:sz w:val="24"/>
          <w:szCs w:val="24"/>
        </w:rPr>
        <w:t>buffer A (Chapter 2.3.8.2)</w:t>
      </w:r>
      <w:r w:rsidRPr="00BF433C">
        <w:rPr>
          <w:rFonts w:ascii="Times New Roman" w:eastAsia="Calibri" w:hAnsi="Times New Roman" w:cs="Times New Roman"/>
          <w:sz w:val="24"/>
          <w:szCs w:val="24"/>
        </w:rPr>
        <w:t xml:space="preserve">. </w:t>
      </w:r>
      <w:r>
        <w:rPr>
          <w:rFonts w:ascii="Times New Roman" w:eastAsia="Calibri" w:hAnsi="Times New Roman" w:cs="Times New Roman"/>
          <w:sz w:val="24"/>
          <w:szCs w:val="24"/>
        </w:rPr>
        <w:t>The column was washed with 4.5 ml of buffer A (Chapter 2.3.8.2). G</w:t>
      </w:r>
      <w:r w:rsidRPr="00BF433C">
        <w:rPr>
          <w:rFonts w:ascii="Times New Roman" w:eastAsia="Calibri" w:hAnsi="Times New Roman" w:cs="Times New Roman"/>
          <w:sz w:val="24"/>
          <w:szCs w:val="24"/>
        </w:rPr>
        <w:t xml:space="preserve">lycan strands were </w:t>
      </w:r>
      <w:r>
        <w:rPr>
          <w:rFonts w:ascii="Times New Roman" w:eastAsia="Calibri" w:hAnsi="Times New Roman" w:cs="Times New Roman"/>
          <w:sz w:val="24"/>
          <w:szCs w:val="24"/>
        </w:rPr>
        <w:t>eluted during this wash.</w:t>
      </w:r>
      <w:r w:rsidRPr="00BF433C">
        <w:rPr>
          <w:rFonts w:ascii="Times New Roman" w:eastAsia="Calibri" w:hAnsi="Times New Roman" w:cs="Times New Roman"/>
          <w:sz w:val="24"/>
          <w:szCs w:val="24"/>
        </w:rPr>
        <w:t xml:space="preserve"> </w:t>
      </w:r>
      <w:r>
        <w:rPr>
          <w:rFonts w:ascii="Times New Roman" w:eastAsia="Calibri" w:hAnsi="Times New Roman" w:cs="Times New Roman"/>
          <w:sz w:val="24"/>
          <w:szCs w:val="24"/>
        </w:rPr>
        <w:t>The column was then washed with 5.5 ml of Buffer B (Chapter 2.3.8.2) containing 1 M NaCl to elute the b</w:t>
      </w:r>
      <w:r w:rsidRPr="00BF433C">
        <w:rPr>
          <w:rFonts w:ascii="Times New Roman" w:eastAsia="Calibri" w:hAnsi="Times New Roman" w:cs="Times New Roman"/>
          <w:sz w:val="24"/>
          <w:szCs w:val="24"/>
        </w:rPr>
        <w:t>ound material containing peptide stems</w:t>
      </w:r>
      <w:r>
        <w:rPr>
          <w:rFonts w:ascii="Times New Roman" w:eastAsia="Calibri" w:hAnsi="Times New Roman" w:cs="Times New Roman"/>
          <w:sz w:val="24"/>
          <w:szCs w:val="24"/>
        </w:rPr>
        <w:t xml:space="preserve">. </w:t>
      </w:r>
    </w:p>
    <w:p w:rsidR="002D7C9B" w:rsidRPr="00BF433C" w:rsidRDefault="002D7C9B" w:rsidP="002D7C9B">
      <w:pPr>
        <w:spacing w:before="120" w:after="120" w:line="480" w:lineRule="auto"/>
        <w:jc w:val="both"/>
        <w:rPr>
          <w:rFonts w:ascii="Times New Roman" w:eastAsia="Calibri" w:hAnsi="Times New Roman" w:cs="Times New Roman"/>
          <w:b/>
          <w:sz w:val="24"/>
          <w:szCs w:val="24"/>
        </w:rPr>
      </w:pPr>
    </w:p>
    <w:p w:rsidR="002D7C9B" w:rsidRPr="00BF433C" w:rsidRDefault="002D7C9B" w:rsidP="002D7C9B">
      <w:pPr>
        <w:spacing w:before="120" w:after="120" w:line="480" w:lineRule="auto"/>
        <w:jc w:val="both"/>
        <w:rPr>
          <w:rFonts w:ascii="Times New Roman" w:eastAsia="Calibri" w:hAnsi="Times New Roman" w:cs="Times New Roman"/>
          <w:sz w:val="28"/>
          <w:szCs w:val="28"/>
        </w:rPr>
      </w:pPr>
      <w:r w:rsidRPr="00BF433C">
        <w:rPr>
          <w:rFonts w:ascii="Times New Roman" w:eastAsia="Calibri" w:hAnsi="Times New Roman" w:cs="Times New Roman"/>
          <w:sz w:val="28"/>
          <w:szCs w:val="28"/>
        </w:rPr>
        <w:t>2.1</w:t>
      </w:r>
      <w:r>
        <w:rPr>
          <w:rFonts w:ascii="Times New Roman" w:eastAsia="Calibri" w:hAnsi="Times New Roman" w:cs="Times New Roman"/>
          <w:sz w:val="28"/>
          <w:szCs w:val="28"/>
        </w:rPr>
        <w:t>6</w:t>
      </w:r>
      <w:r w:rsidRPr="00BF433C">
        <w:rPr>
          <w:rFonts w:ascii="Times New Roman" w:eastAsia="Calibri" w:hAnsi="Times New Roman" w:cs="Times New Roman"/>
          <w:sz w:val="28"/>
          <w:szCs w:val="28"/>
        </w:rPr>
        <w:t>.</w:t>
      </w:r>
      <w:r>
        <w:rPr>
          <w:rFonts w:ascii="Times New Roman" w:eastAsia="Calibri" w:hAnsi="Times New Roman" w:cs="Times New Roman"/>
          <w:sz w:val="28"/>
          <w:szCs w:val="28"/>
        </w:rPr>
        <w:t>5</w:t>
      </w:r>
      <w:r w:rsidRPr="00BF433C">
        <w:rPr>
          <w:rFonts w:ascii="Times New Roman" w:eastAsia="Calibri" w:hAnsi="Times New Roman" w:cs="Times New Roman"/>
          <w:sz w:val="28"/>
          <w:szCs w:val="28"/>
        </w:rPr>
        <w:tab/>
      </w:r>
      <w:r w:rsidRPr="00BF433C">
        <w:rPr>
          <w:rFonts w:ascii="Times New Roman" w:eastAsia="Calibri" w:hAnsi="Times New Roman" w:cs="Times New Roman"/>
          <w:sz w:val="28"/>
          <w:szCs w:val="28"/>
        </w:rPr>
        <w:tab/>
        <w:t>HPLC separation of glycan strands.</w:t>
      </w:r>
    </w:p>
    <w:p w:rsidR="002D7C9B" w:rsidRDefault="002D7C9B" w:rsidP="002D7C9B">
      <w:pPr>
        <w:spacing w:before="120" w:after="120" w:line="480" w:lineRule="auto"/>
        <w:jc w:val="both"/>
        <w:rPr>
          <w:rFonts w:ascii="Times New Roman" w:eastAsia="Calibri" w:hAnsi="Times New Roman" w:cs="Times New Roman"/>
          <w:sz w:val="24"/>
          <w:szCs w:val="24"/>
        </w:rPr>
      </w:pPr>
      <w:r w:rsidRPr="00BF433C">
        <w:rPr>
          <w:rFonts w:ascii="Times New Roman" w:eastAsia="Calibri" w:hAnsi="Times New Roman" w:cs="Times New Roman"/>
          <w:sz w:val="24"/>
          <w:szCs w:val="24"/>
        </w:rPr>
        <w:t xml:space="preserve">Size exclusion chromatography of glycan strands was performed </w:t>
      </w:r>
      <w:r>
        <w:rPr>
          <w:rFonts w:ascii="Times New Roman" w:eastAsia="Calibri" w:hAnsi="Times New Roman" w:cs="Times New Roman"/>
          <w:sz w:val="24"/>
          <w:szCs w:val="24"/>
        </w:rPr>
        <w:t xml:space="preserve">as described by Hayhurst </w:t>
      </w:r>
      <w:r>
        <w:rPr>
          <w:rFonts w:ascii="Times New Roman" w:eastAsia="Calibri" w:hAnsi="Times New Roman" w:cs="Times New Roman"/>
          <w:i/>
          <w:sz w:val="24"/>
          <w:szCs w:val="24"/>
        </w:rPr>
        <w:t>et al</w:t>
      </w:r>
      <w:r>
        <w:rPr>
          <w:rFonts w:ascii="Times New Roman" w:eastAsia="Calibri" w:hAnsi="Times New Roman" w:cs="Times New Roman"/>
          <w:sz w:val="24"/>
          <w:szCs w:val="24"/>
        </w:rPr>
        <w:t>. (2008).</w:t>
      </w:r>
      <w:r w:rsidRPr="00BF433C">
        <w:rPr>
          <w:rFonts w:ascii="Times New Roman" w:eastAsia="Calibri" w:hAnsi="Times New Roman" w:cs="Times New Roman"/>
          <w:sz w:val="24"/>
          <w:szCs w:val="24"/>
        </w:rPr>
        <w:t xml:space="preserve"> The purified radiolabelled glycan strands were freeze-dried and </w:t>
      </w:r>
      <w:r w:rsidRPr="00BF433C">
        <w:rPr>
          <w:rFonts w:ascii="Times New Roman" w:eastAsia="Calibri" w:hAnsi="Times New Roman" w:cs="Times New Roman"/>
          <w:sz w:val="24"/>
          <w:szCs w:val="24"/>
        </w:rPr>
        <w:lastRenderedPageBreak/>
        <w:t>resuspended in 100 mM phosphate buffer (pH 6.0)</w:t>
      </w:r>
      <w:r>
        <w:rPr>
          <w:rFonts w:ascii="Times New Roman" w:eastAsia="Calibri" w:hAnsi="Times New Roman" w:cs="Times New Roman"/>
          <w:sz w:val="24"/>
          <w:szCs w:val="24"/>
        </w:rPr>
        <w:t xml:space="preserve"> (Chapter 2.3.8.3)</w:t>
      </w:r>
      <w:r w:rsidRPr="00BF433C">
        <w:rPr>
          <w:rFonts w:ascii="Times New Roman" w:eastAsia="Calibri" w:hAnsi="Times New Roman" w:cs="Times New Roman"/>
          <w:sz w:val="24"/>
          <w:szCs w:val="24"/>
        </w:rPr>
        <w:t xml:space="preserve">. Approximately 25,000 cpm of each glycan strand fraction (corresponding to 50-100 µg peptidoglycan) was </w:t>
      </w:r>
      <w:r>
        <w:rPr>
          <w:rFonts w:ascii="Times New Roman" w:eastAsia="Calibri" w:hAnsi="Times New Roman" w:cs="Times New Roman"/>
          <w:sz w:val="24"/>
          <w:szCs w:val="24"/>
        </w:rPr>
        <w:t>loaded</w:t>
      </w:r>
      <w:r w:rsidRPr="00BF433C">
        <w:rPr>
          <w:rFonts w:ascii="Times New Roman" w:eastAsia="Calibri" w:hAnsi="Times New Roman" w:cs="Times New Roman"/>
          <w:sz w:val="24"/>
          <w:szCs w:val="24"/>
        </w:rPr>
        <w:t xml:space="preserve"> in 200 µl </w:t>
      </w:r>
      <w:r>
        <w:rPr>
          <w:rFonts w:ascii="Times New Roman" w:eastAsia="Calibri" w:hAnsi="Times New Roman" w:cs="Times New Roman"/>
          <w:sz w:val="24"/>
          <w:szCs w:val="24"/>
        </w:rPr>
        <w:t xml:space="preserve">volume </w:t>
      </w:r>
      <w:r w:rsidRPr="00BF433C">
        <w:rPr>
          <w:rFonts w:ascii="Times New Roman" w:eastAsia="Calibri" w:hAnsi="Times New Roman" w:cs="Times New Roman"/>
          <w:sz w:val="24"/>
          <w:szCs w:val="24"/>
        </w:rPr>
        <w:t xml:space="preserve">onto </w:t>
      </w:r>
      <w:r>
        <w:rPr>
          <w:rFonts w:ascii="Times New Roman" w:eastAsia="Calibri" w:hAnsi="Times New Roman" w:cs="Times New Roman"/>
          <w:sz w:val="24"/>
          <w:szCs w:val="24"/>
        </w:rPr>
        <w:t xml:space="preserve">either a </w:t>
      </w:r>
      <w:r w:rsidRPr="00BF433C">
        <w:rPr>
          <w:rFonts w:ascii="Times New Roman" w:eastAsia="Calibri" w:hAnsi="Times New Roman" w:cs="Times New Roman"/>
          <w:sz w:val="24"/>
          <w:szCs w:val="24"/>
        </w:rPr>
        <w:t>TSK</w:t>
      </w:r>
      <w:r w:rsidRPr="00BF433C">
        <w:rPr>
          <w:rFonts w:ascii="Times New Roman" w:eastAsia="Calibri" w:hAnsi="Times New Roman" w:cs="Times New Roman"/>
          <w:sz w:val="24"/>
          <w:szCs w:val="24"/>
          <w:vertAlign w:val="subscript"/>
        </w:rPr>
        <w:t>SW</w:t>
      </w:r>
      <w:r w:rsidRPr="00BF433C">
        <w:rPr>
          <w:rFonts w:ascii="Times New Roman" w:eastAsia="Calibri" w:hAnsi="Times New Roman" w:cs="Times New Roman"/>
          <w:sz w:val="24"/>
          <w:szCs w:val="24"/>
        </w:rPr>
        <w:t>2000 (7.5</w:t>
      </w:r>
      <w:r>
        <w:rPr>
          <w:rFonts w:ascii="Times New Roman" w:eastAsia="Calibri" w:hAnsi="Times New Roman" w:cs="Times New Roman"/>
          <w:sz w:val="24"/>
          <w:szCs w:val="24"/>
        </w:rPr>
        <w:t xml:space="preserve"> </w:t>
      </w:r>
      <w:r w:rsidRPr="00BF433C">
        <w:rPr>
          <w:rFonts w:ascii="Times New Roman" w:eastAsia="Calibri" w:hAnsi="Times New Roman" w:cs="Times New Roman"/>
          <w:sz w:val="24"/>
          <w:szCs w:val="24"/>
        </w:rPr>
        <w:t>x</w:t>
      </w:r>
      <w:r>
        <w:rPr>
          <w:rFonts w:ascii="Times New Roman" w:eastAsia="Calibri" w:hAnsi="Times New Roman" w:cs="Times New Roman"/>
          <w:sz w:val="24"/>
          <w:szCs w:val="24"/>
        </w:rPr>
        <w:t xml:space="preserve"> </w:t>
      </w:r>
      <w:r w:rsidRPr="00BF433C">
        <w:rPr>
          <w:rFonts w:ascii="Times New Roman" w:eastAsia="Calibri" w:hAnsi="Times New Roman" w:cs="Times New Roman"/>
          <w:sz w:val="24"/>
          <w:szCs w:val="24"/>
        </w:rPr>
        <w:t xml:space="preserve">600 mm) </w:t>
      </w:r>
      <w:r>
        <w:rPr>
          <w:rFonts w:ascii="Times New Roman" w:eastAsia="Calibri" w:hAnsi="Times New Roman" w:cs="Times New Roman"/>
          <w:sz w:val="24"/>
          <w:szCs w:val="24"/>
        </w:rPr>
        <w:t>or</w:t>
      </w:r>
      <w:r w:rsidRPr="00BF433C">
        <w:rPr>
          <w:rFonts w:ascii="Times New Roman" w:eastAsia="Calibri" w:hAnsi="Times New Roman" w:cs="Times New Roman"/>
          <w:sz w:val="24"/>
          <w:szCs w:val="24"/>
        </w:rPr>
        <w:t xml:space="preserve"> TSK</w:t>
      </w:r>
      <w:r w:rsidRPr="00BF433C">
        <w:rPr>
          <w:rFonts w:ascii="Times New Roman" w:eastAsia="Calibri" w:hAnsi="Times New Roman" w:cs="Times New Roman"/>
          <w:sz w:val="24"/>
          <w:szCs w:val="24"/>
          <w:vertAlign w:val="subscript"/>
        </w:rPr>
        <w:t>SW</w:t>
      </w:r>
      <w:r w:rsidRPr="00BF433C">
        <w:rPr>
          <w:rFonts w:ascii="Times New Roman" w:eastAsia="Calibri" w:hAnsi="Times New Roman" w:cs="Times New Roman"/>
          <w:sz w:val="24"/>
          <w:szCs w:val="24"/>
        </w:rPr>
        <w:t>4000 (7.5</w:t>
      </w:r>
      <w:r>
        <w:rPr>
          <w:rFonts w:ascii="Times New Roman" w:eastAsia="Calibri" w:hAnsi="Times New Roman" w:cs="Times New Roman"/>
          <w:sz w:val="24"/>
          <w:szCs w:val="24"/>
        </w:rPr>
        <w:t xml:space="preserve"> </w:t>
      </w:r>
      <w:r w:rsidRPr="00BF433C">
        <w:rPr>
          <w:rFonts w:ascii="Times New Roman" w:eastAsia="Calibri" w:hAnsi="Times New Roman" w:cs="Times New Roman"/>
          <w:sz w:val="24"/>
          <w:szCs w:val="24"/>
        </w:rPr>
        <w:t>x</w:t>
      </w:r>
      <w:r>
        <w:rPr>
          <w:rFonts w:ascii="Times New Roman" w:eastAsia="Calibri" w:hAnsi="Times New Roman" w:cs="Times New Roman"/>
          <w:sz w:val="24"/>
          <w:szCs w:val="24"/>
        </w:rPr>
        <w:t xml:space="preserve"> </w:t>
      </w:r>
      <w:r w:rsidRPr="00BF433C">
        <w:rPr>
          <w:rFonts w:ascii="Times New Roman" w:eastAsia="Calibri" w:hAnsi="Times New Roman" w:cs="Times New Roman"/>
          <w:sz w:val="24"/>
          <w:szCs w:val="24"/>
        </w:rPr>
        <w:t>300</w:t>
      </w:r>
      <w:r>
        <w:rPr>
          <w:rFonts w:ascii="Times New Roman" w:eastAsia="Calibri" w:hAnsi="Times New Roman" w:cs="Times New Roman"/>
          <w:sz w:val="24"/>
          <w:szCs w:val="24"/>
        </w:rPr>
        <w:t> mm) size exclusion HPLC column</w:t>
      </w:r>
      <w:r w:rsidRPr="00BF433C">
        <w:rPr>
          <w:rFonts w:ascii="Times New Roman" w:eastAsia="Calibri" w:hAnsi="Times New Roman" w:cs="Times New Roman"/>
          <w:sz w:val="24"/>
          <w:szCs w:val="24"/>
        </w:rPr>
        <w:t xml:space="preserve"> (Tosoh)</w:t>
      </w:r>
      <w:r>
        <w:rPr>
          <w:rFonts w:ascii="Times New Roman" w:eastAsia="Calibri" w:hAnsi="Times New Roman" w:cs="Times New Roman"/>
          <w:sz w:val="24"/>
          <w:szCs w:val="24"/>
        </w:rPr>
        <w:t>,</w:t>
      </w:r>
      <w:r w:rsidRPr="00BF433C">
        <w:rPr>
          <w:rFonts w:ascii="Times New Roman" w:eastAsia="Calibri" w:hAnsi="Times New Roman" w:cs="Times New Roman"/>
          <w:sz w:val="24"/>
          <w:szCs w:val="24"/>
        </w:rPr>
        <w:t xml:space="preserve"> pre-equilibrated in 100 mM phosphate buffer (pH 6.0)</w:t>
      </w:r>
      <w:r>
        <w:rPr>
          <w:rFonts w:ascii="Times New Roman" w:eastAsia="Calibri" w:hAnsi="Times New Roman" w:cs="Times New Roman"/>
          <w:sz w:val="24"/>
          <w:szCs w:val="24"/>
        </w:rPr>
        <w:t xml:space="preserve"> (Chapter 2.3.8.3)</w:t>
      </w:r>
      <w:r w:rsidRPr="00BF433C">
        <w:rPr>
          <w:rFonts w:ascii="Times New Roman" w:eastAsia="Calibri" w:hAnsi="Times New Roman" w:cs="Times New Roman"/>
          <w:sz w:val="24"/>
          <w:szCs w:val="24"/>
        </w:rPr>
        <w:t>.</w:t>
      </w:r>
      <w:r>
        <w:rPr>
          <w:rFonts w:ascii="Times New Roman" w:eastAsia="Calibri" w:hAnsi="Times New Roman" w:cs="Times New Roman"/>
          <w:sz w:val="24"/>
          <w:szCs w:val="24"/>
        </w:rPr>
        <w:t xml:space="preserve"> Samples were eluted</w:t>
      </w:r>
      <w:r w:rsidRPr="00BF433C">
        <w:rPr>
          <w:rFonts w:ascii="Times New Roman" w:eastAsia="Calibri" w:hAnsi="Times New Roman" w:cs="Times New Roman"/>
          <w:sz w:val="24"/>
          <w:szCs w:val="24"/>
        </w:rPr>
        <w:t xml:space="preserve"> at a flow rate of 1 ml</w:t>
      </w:r>
      <w:r>
        <w:rPr>
          <w:rFonts w:ascii="Times New Roman" w:eastAsia="Calibri" w:hAnsi="Times New Roman" w:cs="Times New Roman"/>
          <w:sz w:val="24"/>
          <w:szCs w:val="24"/>
        </w:rPr>
        <w:t xml:space="preserve"> </w:t>
      </w:r>
      <w:r w:rsidRPr="00BF433C">
        <w:rPr>
          <w:rFonts w:ascii="Times New Roman" w:eastAsia="Calibri" w:hAnsi="Times New Roman" w:cs="Times New Roman"/>
          <w:sz w:val="24"/>
          <w:szCs w:val="24"/>
        </w:rPr>
        <w:t>min</w:t>
      </w:r>
      <w:r w:rsidRPr="00B3592A">
        <w:rPr>
          <w:rFonts w:ascii="Times New Roman" w:eastAsia="Calibri" w:hAnsi="Times New Roman" w:cs="Times New Roman"/>
          <w:sz w:val="24"/>
          <w:szCs w:val="24"/>
          <w:vertAlign w:val="superscript"/>
        </w:rPr>
        <w:t>-1</w:t>
      </w:r>
      <w:r w:rsidRPr="00BF433C">
        <w:rPr>
          <w:rFonts w:ascii="Times New Roman" w:eastAsia="Calibri" w:hAnsi="Times New Roman" w:cs="Times New Roman"/>
          <w:sz w:val="24"/>
          <w:szCs w:val="24"/>
        </w:rPr>
        <w:t xml:space="preserve">. </w:t>
      </w:r>
      <w:r>
        <w:rPr>
          <w:rFonts w:ascii="Times New Roman" w:eastAsia="Calibri" w:hAnsi="Times New Roman" w:cs="Times New Roman"/>
          <w:sz w:val="24"/>
          <w:szCs w:val="24"/>
        </w:rPr>
        <w:t>F</w:t>
      </w:r>
      <w:r w:rsidRPr="00BF433C">
        <w:rPr>
          <w:rFonts w:ascii="Times New Roman" w:eastAsia="Calibri" w:hAnsi="Times New Roman" w:cs="Times New Roman"/>
          <w:sz w:val="24"/>
          <w:szCs w:val="24"/>
        </w:rPr>
        <w:t>ractions were collected every 15 s (250 µl</w:t>
      </w:r>
      <w:r>
        <w:rPr>
          <w:rFonts w:ascii="Times New Roman" w:eastAsia="Calibri" w:hAnsi="Times New Roman" w:cs="Times New Roman"/>
          <w:sz w:val="24"/>
          <w:szCs w:val="24"/>
        </w:rPr>
        <w:t xml:space="preserve"> volumes</w:t>
      </w:r>
      <w:r w:rsidRPr="00BF433C">
        <w:rPr>
          <w:rFonts w:ascii="Times New Roman" w:eastAsia="Calibri" w:hAnsi="Times New Roman" w:cs="Times New Roman"/>
          <w:sz w:val="24"/>
          <w:szCs w:val="24"/>
        </w:rPr>
        <w:t xml:space="preserve">) and counted </w:t>
      </w:r>
      <w:r>
        <w:rPr>
          <w:rFonts w:ascii="Times New Roman" w:eastAsia="Calibri" w:hAnsi="Times New Roman" w:cs="Times New Roman"/>
          <w:sz w:val="24"/>
          <w:szCs w:val="24"/>
        </w:rPr>
        <w:t>by</w:t>
      </w:r>
      <w:r w:rsidRPr="00BF433C">
        <w:rPr>
          <w:rFonts w:ascii="Times New Roman" w:eastAsia="Calibri" w:hAnsi="Times New Roman" w:cs="Times New Roman"/>
          <w:sz w:val="24"/>
          <w:szCs w:val="24"/>
        </w:rPr>
        <w:t xml:space="preserve"> mixing in Ultima Gold</w:t>
      </w:r>
      <w:r w:rsidRPr="00BF433C">
        <w:rPr>
          <w:rFonts w:ascii="Times New Roman" w:eastAsia="Calibri" w:hAnsi="Times New Roman" w:cs="Times New Roman"/>
          <w:sz w:val="24"/>
          <w:szCs w:val="24"/>
          <w:vertAlign w:val="superscript"/>
        </w:rPr>
        <w:t>TM</w:t>
      </w:r>
      <w:r w:rsidRPr="00BF433C">
        <w:rPr>
          <w:rFonts w:ascii="Times New Roman" w:eastAsia="Calibri" w:hAnsi="Times New Roman" w:cs="Times New Roman"/>
          <w:sz w:val="24"/>
          <w:szCs w:val="24"/>
        </w:rPr>
        <w:t xml:space="preserve"> scintillation cocktail (Perkin Elmer) to detect radiolabelled glycan strands. </w:t>
      </w:r>
    </w:p>
    <w:p w:rsidR="002D7C9B" w:rsidRPr="00F115D3" w:rsidRDefault="002D7C9B" w:rsidP="002D7C9B">
      <w:pPr>
        <w:autoSpaceDE w:val="0"/>
        <w:autoSpaceDN w:val="0"/>
        <w:adjustRightInd w:val="0"/>
        <w:spacing w:after="120" w:line="480" w:lineRule="auto"/>
        <w:jc w:val="both"/>
        <w:rPr>
          <w:rFonts w:ascii="Times New Roman" w:hAnsi="Times New Roman" w:cs="Times New Roman"/>
          <w:color w:val="000000" w:themeColor="text1"/>
          <w:sz w:val="24"/>
          <w:szCs w:val="24"/>
        </w:rPr>
      </w:pPr>
      <w:r w:rsidRPr="0073650C">
        <w:rPr>
          <w:rFonts w:ascii="Times New Roman" w:hAnsi="Times New Roman" w:cs="Times New Roman"/>
          <w:color w:val="000000"/>
          <w:sz w:val="24"/>
          <w:szCs w:val="24"/>
        </w:rPr>
        <w:t xml:space="preserve">The gel filtration columns were calibrated using dextran standards (analytical standards grade for GPC, Sigma-Aldrich: 1000 Da, #31416; 1500 Da, #31394; 5000 Da, #00269; 10 000 Da, #D9260; 12 000 Da, #00270; 25 000 Da, #00271; 50 000 Da, #00891; 80 000 Da, #00892; 150 000 Da, #00893). Typically 200 </w:t>
      </w:r>
      <w:r>
        <w:rPr>
          <w:rFonts w:ascii="Times New Roman" w:hAnsi="Times New Roman" w:cs="Times New Roman"/>
          <w:color w:val="000000"/>
          <w:sz w:val="24"/>
          <w:szCs w:val="24"/>
        </w:rPr>
        <w:t>µ</w:t>
      </w:r>
      <w:r w:rsidRPr="0073650C">
        <w:rPr>
          <w:rFonts w:ascii="Times New Roman" w:hAnsi="Times New Roman" w:cs="Times New Roman"/>
          <w:color w:val="000000"/>
          <w:sz w:val="24"/>
          <w:szCs w:val="24"/>
        </w:rPr>
        <w:t>l of dextran (10 mg ml</w:t>
      </w:r>
      <w:r w:rsidRPr="00A77109">
        <w:rPr>
          <w:rFonts w:ascii="Times New Roman" w:hAnsi="Times New Roman" w:cs="Times New Roman"/>
          <w:color w:val="000000"/>
          <w:sz w:val="24"/>
          <w:szCs w:val="24"/>
          <w:vertAlign w:val="superscript"/>
        </w:rPr>
        <w:t>-1</w:t>
      </w:r>
      <w:r w:rsidRPr="0073650C">
        <w:rPr>
          <w:rFonts w:ascii="Times New Roman" w:hAnsi="Times New Roman" w:cs="Times New Roman"/>
          <w:color w:val="000000"/>
          <w:sz w:val="24"/>
          <w:szCs w:val="24"/>
        </w:rPr>
        <w:t>) was injected in phosphate buffer at a flow rate of 1 ml min</w:t>
      </w:r>
      <w:r w:rsidRPr="00A77109">
        <w:rPr>
          <w:rFonts w:ascii="Times New Roman" w:hAnsi="Times New Roman" w:cs="Times New Roman"/>
          <w:color w:val="000000"/>
          <w:sz w:val="24"/>
          <w:szCs w:val="24"/>
          <w:vertAlign w:val="superscript"/>
        </w:rPr>
        <w:t>-1</w:t>
      </w:r>
      <w:r w:rsidRPr="0073650C">
        <w:rPr>
          <w:rFonts w:ascii="Times New Roman" w:hAnsi="Times New Roman" w:cs="Times New Roman"/>
          <w:color w:val="000000"/>
          <w:sz w:val="24"/>
          <w:szCs w:val="24"/>
        </w:rPr>
        <w:t>. Fractions were collected every 15 s (250 ml) and neutral sugars were detected using a colorimetric phenolsulphuric acid assay</w:t>
      </w:r>
      <w:r>
        <w:rPr>
          <w:rFonts w:ascii="Times New Roman" w:hAnsi="Times New Roman" w:cs="Times New Roman"/>
          <w:color w:val="000000"/>
          <w:sz w:val="24"/>
          <w:szCs w:val="24"/>
        </w:rPr>
        <w:t xml:space="preserve"> </w:t>
      </w:r>
      <w:r w:rsidRPr="00F115D3">
        <w:rPr>
          <w:rFonts w:ascii="Times New Roman" w:hAnsi="Times New Roman" w:cs="Times New Roman"/>
          <w:color w:val="000000" w:themeColor="text1"/>
          <w:sz w:val="24"/>
          <w:szCs w:val="24"/>
        </w:rPr>
        <w:fldChar w:fldCharType="begin"/>
      </w:r>
      <w:r w:rsidRPr="00F115D3">
        <w:rPr>
          <w:rFonts w:ascii="Times New Roman" w:hAnsi="Times New Roman" w:cs="Times New Roman"/>
          <w:color w:val="000000" w:themeColor="text1"/>
          <w:sz w:val="24"/>
          <w:szCs w:val="24"/>
        </w:rPr>
        <w:instrText xml:space="preserve"> ADDIN ZOTERO_ITEM CSL_CITATION {"citationID":"2cotmli5um","properties":{"formattedCitation":"(Kennedy and Pagliuca, 1994)","plainCitation":"(Kennedy and Pagliuca, 1994)"},"citationItems":[{"id":99,"uris":["http://zotero.org/users/944474/items/QKQIZWGE"],"uri":["http://zotero.org/users/944474/items/QKQIZWGE"],"itemData":{"id":99,"type":"chapter","title":"Oligosaccharides","container-title":"Carbohydrate analysis : a practical approach","publisher":"ILR Press","publisher-place":"Oxford; New York","event-place":"Oxford; New York","ISBN":"0199634505  9780199634507  0199634491  9780199634491","language":"English","editor":[{"family":"Chaplin","given":"M. F"},{"family":"Kennedy","given":"J F"}],"author":[{"family":"Kennedy","given":"J F"},{"family":"Pagliuca","given":"G"}],"issued":{"year":1994}}}],"schema":"https://github.com/citation-style-language/schema/raw/master/csl-citation.json"} </w:instrText>
      </w:r>
      <w:r w:rsidRPr="00F115D3">
        <w:rPr>
          <w:rFonts w:ascii="Times New Roman" w:hAnsi="Times New Roman" w:cs="Times New Roman"/>
          <w:color w:val="000000" w:themeColor="text1"/>
          <w:sz w:val="24"/>
          <w:szCs w:val="24"/>
        </w:rPr>
        <w:fldChar w:fldCharType="separate"/>
      </w:r>
      <w:r w:rsidRPr="00F115D3">
        <w:rPr>
          <w:rFonts w:ascii="Times New Roman" w:hAnsi="Times New Roman" w:cs="Times New Roman"/>
          <w:color w:val="000000" w:themeColor="text1"/>
          <w:sz w:val="24"/>
        </w:rPr>
        <w:t>(Kennedy and Pagliuca, 1994)</w:t>
      </w:r>
      <w:r w:rsidRPr="00F115D3">
        <w:rPr>
          <w:rFonts w:ascii="Times New Roman" w:hAnsi="Times New Roman" w:cs="Times New Roman"/>
          <w:color w:val="000000" w:themeColor="text1"/>
          <w:sz w:val="24"/>
          <w:szCs w:val="24"/>
        </w:rPr>
        <w:fldChar w:fldCharType="end"/>
      </w:r>
      <w:r w:rsidRPr="00F115D3">
        <w:rPr>
          <w:rFonts w:ascii="Times New Roman" w:hAnsi="Times New Roman" w:cs="Times New Roman"/>
          <w:color w:val="000000" w:themeColor="text1"/>
          <w:sz w:val="24"/>
          <w:szCs w:val="24"/>
        </w:rPr>
        <w:t xml:space="preserve">. For rp-HPLC analyses, glycan strands were reduced and analysed as previously described </w:t>
      </w:r>
      <w:r w:rsidRPr="00F115D3">
        <w:rPr>
          <w:rFonts w:ascii="Times New Roman" w:hAnsi="Times New Roman" w:cs="Times New Roman"/>
          <w:color w:val="000000" w:themeColor="text1"/>
          <w:sz w:val="24"/>
          <w:szCs w:val="24"/>
        </w:rPr>
        <w:fldChar w:fldCharType="begin"/>
      </w:r>
      <w:r w:rsidRPr="00F115D3">
        <w:rPr>
          <w:rFonts w:ascii="Times New Roman" w:hAnsi="Times New Roman" w:cs="Times New Roman"/>
          <w:color w:val="000000" w:themeColor="text1"/>
          <w:sz w:val="24"/>
          <w:szCs w:val="24"/>
        </w:rPr>
        <w:instrText xml:space="preserve"> ADDIN ZOTERO_ITEM CSL_CITATION {"citationID":"2iaghkq97q","properties":{"formattedCitation":"(Boneca et al., 2000)","plainCitation":"(Boneca et al., 2000)"},"citationItems":[{"id":7,"uris":["http://zotero.org/users/944474/items/AQ75H8SX"],"uri":["http://zotero.org/users/944474/items/AQ75H8SX"],"itemData":{"id":7,"type":"article-journal","title":"Characterization of Staphylococcus aureus cell wall glycan strands, evidence for a new beta-N-acetylglucosaminidase activity","container-title":"The Journal of Biological Chemistry","page":"9910-9918","volume":"275","issue":"14","abstract":"Using sequential digestion with the glycyl-glycine endopeptidase lysostaphin followed by the pneumococcal N-acetylmuramyl-L-alanine amidase (amidase), the glycan strands of the peptidoglycan of Staphylococcus aureus were purified and analyzed by a combination of reverse-phase-high pressure liquid chromatography (HPLC) and mass spectrometry. Reverse-phase-HPLC resolved the glycan strands to a family of major peaks, which represented oligosaccharides composed of repeating disaccharide units (N-acetylglucosamine-[beta-1, 4]-N-acetylmuramic acid) with different degrees of polymerization and terminating with N-acetylmuramic acid residues at the reducing ends. The method allowed separation of strands up to 23-26 disaccharide units with a predominant length between 3 and 10 and an average degree of polymerization of approximately 6. Glycan strands with a higher degree of polymerization (&gt;26 disaccharide units) represented 10-15% of the total UV absorbing glycan material. A unique feature of the staphylococcal glycan strands was the presence of minor satellite peaks that were present throughout the HPLC elution profile eluting either just prior or shortly after the major oligosaccharide peaks. A number of observations including mass spectrometric analysis suggest that the satellites are the products of an N-acetylglucosaminidase activity that differs from the atl gene product and that appears to be involved with modification of the glycan strand structure.","note":"PMID: 10744664","journalAbbreviation":"J. Biol. Chem.","author":[{"family":"Boneca","given":"I G"},{"family":"Huang","given":"Z H"},{"family":"Gage","given":"D A"},{"family":"Tomasz","given":"A"}],"issued":{"year":2000,"month":4,"day":7},"accessed":{"year":2012,"month":3,"day":6},"page-first":"9910"}}],"schema":"https://github.com/citation-style-language/schema/raw/master/csl-citation.json"} </w:instrText>
      </w:r>
      <w:r w:rsidRPr="00F115D3">
        <w:rPr>
          <w:rFonts w:ascii="Times New Roman" w:hAnsi="Times New Roman" w:cs="Times New Roman"/>
          <w:color w:val="000000" w:themeColor="text1"/>
          <w:sz w:val="24"/>
          <w:szCs w:val="24"/>
        </w:rPr>
        <w:fldChar w:fldCharType="separate"/>
      </w:r>
      <w:r w:rsidRPr="00F115D3">
        <w:rPr>
          <w:rFonts w:ascii="Times New Roman" w:hAnsi="Times New Roman" w:cs="Times New Roman"/>
          <w:color w:val="000000" w:themeColor="text1"/>
          <w:sz w:val="24"/>
        </w:rPr>
        <w:t xml:space="preserve">(Boneca </w:t>
      </w:r>
      <w:r w:rsidRPr="009C5F2F">
        <w:rPr>
          <w:rFonts w:ascii="Times New Roman" w:hAnsi="Times New Roman" w:cs="Times New Roman"/>
          <w:i/>
          <w:color w:val="000000" w:themeColor="text1"/>
          <w:sz w:val="24"/>
        </w:rPr>
        <w:t>et al</w:t>
      </w:r>
      <w:r w:rsidRPr="00F115D3">
        <w:rPr>
          <w:rFonts w:ascii="Times New Roman" w:hAnsi="Times New Roman" w:cs="Times New Roman"/>
          <w:color w:val="000000" w:themeColor="text1"/>
          <w:sz w:val="24"/>
        </w:rPr>
        <w:t>., 2000)</w:t>
      </w:r>
      <w:r w:rsidRPr="00F115D3">
        <w:rPr>
          <w:rFonts w:ascii="Times New Roman" w:hAnsi="Times New Roman" w:cs="Times New Roman"/>
          <w:color w:val="000000" w:themeColor="text1"/>
          <w:sz w:val="24"/>
          <w:szCs w:val="24"/>
        </w:rPr>
        <w:fldChar w:fldCharType="end"/>
      </w:r>
      <w:r w:rsidRPr="00F115D3">
        <w:rPr>
          <w:rFonts w:ascii="Times New Roman" w:hAnsi="Times New Roman" w:cs="Times New Roman"/>
          <w:color w:val="000000" w:themeColor="text1"/>
          <w:sz w:val="24"/>
          <w:szCs w:val="24"/>
        </w:rPr>
        <w:t>.</w:t>
      </w:r>
    </w:p>
    <w:p w:rsidR="002D7C9B" w:rsidRDefault="002D7C9B" w:rsidP="002D7C9B">
      <w:pPr>
        <w:spacing w:before="120" w:after="120" w:line="480" w:lineRule="auto"/>
        <w:jc w:val="both"/>
        <w:rPr>
          <w:rFonts w:ascii="Times New Roman" w:eastAsia="Calibri" w:hAnsi="Times New Roman" w:cs="Times New Roman"/>
          <w:sz w:val="24"/>
          <w:szCs w:val="24"/>
        </w:rPr>
      </w:pPr>
    </w:p>
    <w:p w:rsidR="002D7C9B" w:rsidRDefault="002D7C9B" w:rsidP="002D7C9B">
      <w:pPr>
        <w:spacing w:before="120" w:after="120" w:line="480" w:lineRule="auto"/>
        <w:jc w:val="both"/>
        <w:rPr>
          <w:rFonts w:ascii="Times New Roman" w:eastAsia="Calibri" w:hAnsi="Times New Roman" w:cs="Times New Roman"/>
          <w:szCs w:val="24"/>
        </w:rPr>
      </w:pPr>
      <w:r>
        <w:rPr>
          <w:rFonts w:ascii="Times New Roman" w:eastAsia="Calibri" w:hAnsi="Times New Roman" w:cs="Times New Roman"/>
          <w:sz w:val="28"/>
          <w:szCs w:val="28"/>
        </w:rPr>
        <w:t>2.16.6</w:t>
      </w:r>
      <w:r>
        <w:rPr>
          <w:rFonts w:ascii="Times New Roman" w:eastAsia="Calibri" w:hAnsi="Times New Roman" w:cs="Times New Roman"/>
          <w:sz w:val="28"/>
          <w:szCs w:val="28"/>
        </w:rPr>
        <w:tab/>
      </w:r>
      <w:r>
        <w:rPr>
          <w:rFonts w:ascii="Times New Roman" w:eastAsia="Calibri" w:hAnsi="Times New Roman" w:cs="Times New Roman"/>
          <w:sz w:val="28"/>
          <w:szCs w:val="28"/>
        </w:rPr>
        <w:tab/>
      </w:r>
      <w:r w:rsidRPr="00BF433C">
        <w:rPr>
          <w:rFonts w:ascii="Times New Roman" w:eastAsia="Calibri" w:hAnsi="Times New Roman" w:cs="Times New Roman"/>
          <w:sz w:val="28"/>
          <w:szCs w:val="28"/>
        </w:rPr>
        <w:t>Analysis of glycan strand distribution.</w:t>
      </w:r>
    </w:p>
    <w:p w:rsidR="002D7C9B" w:rsidRPr="00BF433C" w:rsidRDefault="002D7C9B" w:rsidP="002D7C9B">
      <w:pPr>
        <w:spacing w:before="120" w:after="120" w:line="480" w:lineRule="auto"/>
        <w:jc w:val="both"/>
        <w:rPr>
          <w:rFonts w:ascii="Times New Roman" w:eastAsia="Calibri" w:hAnsi="Times New Roman" w:cs="Times New Roman"/>
          <w:sz w:val="24"/>
          <w:szCs w:val="24"/>
        </w:rPr>
      </w:pPr>
      <w:r w:rsidRPr="00BF433C">
        <w:rPr>
          <w:rFonts w:ascii="Times New Roman" w:eastAsia="Calibri" w:hAnsi="Times New Roman" w:cs="Times New Roman"/>
          <w:sz w:val="24"/>
          <w:szCs w:val="24"/>
        </w:rPr>
        <w:t xml:space="preserve">To avoid bias due to the exponential distribution of glycan strands as they are eluted from the size-exclusion column we re-plotted the radioactivity elution profile on a linear axis. The percentage of radioactivity above and below the threshold value of 25 kDa was determined by </w:t>
      </w:r>
      <w:r>
        <w:rPr>
          <w:rFonts w:ascii="Times New Roman" w:eastAsia="Calibri" w:hAnsi="Times New Roman" w:cs="Times New Roman"/>
          <w:sz w:val="24"/>
          <w:szCs w:val="24"/>
        </w:rPr>
        <w:t>integrating</w:t>
      </w:r>
      <w:r w:rsidRPr="00BF433C">
        <w:rPr>
          <w:rFonts w:ascii="Times New Roman" w:eastAsia="Calibri" w:hAnsi="Times New Roman" w:cs="Times New Roman"/>
          <w:sz w:val="24"/>
          <w:szCs w:val="24"/>
        </w:rPr>
        <w:t xml:space="preserve"> the area under the curve. </w:t>
      </w:r>
    </w:p>
    <w:p w:rsidR="002D7C9B" w:rsidRPr="00BF433C" w:rsidRDefault="002D7C9B" w:rsidP="002D7C9B">
      <w:pPr>
        <w:spacing w:after="120" w:line="480" w:lineRule="auto"/>
        <w:jc w:val="both"/>
        <w:rPr>
          <w:rStyle w:val="apple-style-span"/>
          <w:rFonts w:ascii="Times New Roman" w:eastAsia="Calibri" w:hAnsi="Times New Roman" w:cs="Times New Roman"/>
          <w:sz w:val="24"/>
          <w:szCs w:val="24"/>
        </w:rPr>
      </w:pPr>
      <w:r w:rsidRPr="00BF433C">
        <w:rPr>
          <w:rFonts w:ascii="Times New Roman" w:eastAsia="Calibri" w:hAnsi="Times New Roman" w:cs="Times New Roman"/>
          <w:sz w:val="24"/>
          <w:szCs w:val="24"/>
        </w:rPr>
        <w:t xml:space="preserve">Radioactivity counts </w:t>
      </w:r>
      <w:r>
        <w:rPr>
          <w:rFonts w:ascii="Times New Roman" w:eastAsia="Calibri" w:hAnsi="Times New Roman" w:cs="Times New Roman"/>
          <w:sz w:val="24"/>
          <w:szCs w:val="24"/>
        </w:rPr>
        <w:t xml:space="preserve">are directly proportional to the number of disaccharides present, and so </w:t>
      </w:r>
      <w:r w:rsidRPr="00BF433C">
        <w:rPr>
          <w:rFonts w:ascii="Times New Roman" w:eastAsia="Calibri" w:hAnsi="Times New Roman" w:cs="Times New Roman"/>
          <w:sz w:val="24"/>
          <w:szCs w:val="24"/>
        </w:rPr>
        <w:t xml:space="preserve">do not reflect the abundance of a particular strand size (for example, one glycan </w:t>
      </w:r>
      <w:r w:rsidRPr="00BF433C">
        <w:rPr>
          <w:rFonts w:ascii="Times New Roman" w:eastAsia="Calibri" w:hAnsi="Times New Roman" w:cs="Times New Roman"/>
          <w:sz w:val="24"/>
          <w:szCs w:val="24"/>
        </w:rPr>
        <w:lastRenderedPageBreak/>
        <w:t>strand of 100 disaccharides gives the same signal as 20 strands of 5 disaccharides). We therefore divided the radioactivity counts (</w:t>
      </w:r>
      <w:r>
        <w:rPr>
          <w:rFonts w:ascii="Times New Roman" w:eastAsia="Calibri" w:hAnsi="Times New Roman" w:cs="Times New Roman"/>
          <w:sz w:val="24"/>
          <w:szCs w:val="24"/>
        </w:rPr>
        <w:t>cpm</w:t>
      </w:r>
      <w:r w:rsidRPr="00BF433C">
        <w:rPr>
          <w:rFonts w:ascii="Times New Roman" w:eastAsia="Calibri" w:hAnsi="Times New Roman" w:cs="Times New Roman"/>
          <w:sz w:val="24"/>
          <w:szCs w:val="24"/>
        </w:rPr>
        <w:t>) by the corresponding theoretical molecular weight (MW) deduced from the calibration curves to reveal the abundance of strand lengths. The distribution</w:t>
      </w:r>
      <w:r>
        <w:rPr>
          <w:rFonts w:ascii="Times New Roman" w:eastAsia="Calibri" w:hAnsi="Times New Roman" w:cs="Times New Roman"/>
          <w:sz w:val="24"/>
          <w:szCs w:val="24"/>
        </w:rPr>
        <w:t xml:space="preserve">s were normalised by </w:t>
      </w:r>
      <w:r w:rsidRPr="00BF433C">
        <w:rPr>
          <w:rFonts w:ascii="Times New Roman" w:eastAsia="Calibri" w:hAnsi="Times New Roman" w:cs="Times New Roman"/>
          <w:sz w:val="24"/>
          <w:szCs w:val="24"/>
        </w:rPr>
        <w:t xml:space="preserve">plotted </w:t>
      </w:r>
      <w:r>
        <w:rPr>
          <w:rFonts w:ascii="Times New Roman" w:eastAsia="Calibri" w:hAnsi="Times New Roman" w:cs="Times New Roman"/>
          <w:sz w:val="24"/>
          <w:szCs w:val="24"/>
        </w:rPr>
        <w:t xml:space="preserve">the glycan chain lengths </w:t>
      </w:r>
      <w:r w:rsidRPr="00BF433C">
        <w:rPr>
          <w:rFonts w:ascii="Times New Roman" w:eastAsia="Calibri" w:hAnsi="Times New Roman" w:cs="Times New Roman"/>
          <w:sz w:val="24"/>
          <w:szCs w:val="24"/>
        </w:rPr>
        <w:t xml:space="preserve">as a percentage relative to the maximum CPM/MW ratio observed </w:t>
      </w:r>
      <w:r>
        <w:rPr>
          <w:rFonts w:ascii="Times New Roman" w:eastAsia="Calibri" w:hAnsi="Times New Roman" w:cs="Times New Roman"/>
          <w:sz w:val="24"/>
          <w:szCs w:val="24"/>
        </w:rPr>
        <w:t>in each organism</w:t>
      </w:r>
      <w:r w:rsidRPr="00BF433C">
        <w:rPr>
          <w:rFonts w:ascii="Times New Roman" w:eastAsia="Calibri" w:hAnsi="Times New Roman" w:cs="Times New Roman"/>
          <w:sz w:val="24"/>
          <w:szCs w:val="24"/>
        </w:rPr>
        <w:t>.</w:t>
      </w:r>
    </w:p>
    <w:p w:rsidR="002D7C9B" w:rsidRDefault="002D7C9B" w:rsidP="002D7C9B">
      <w:pPr>
        <w:spacing w:after="120" w:line="480" w:lineRule="auto"/>
        <w:jc w:val="both"/>
        <w:rPr>
          <w:rFonts w:ascii="Times New Roman" w:hAnsi="Times New Roman" w:cs="Times New Roman"/>
          <w:sz w:val="24"/>
          <w:szCs w:val="24"/>
        </w:rPr>
      </w:pPr>
    </w:p>
    <w:p w:rsidR="002D7C9B" w:rsidRDefault="002D7C9B" w:rsidP="002D7C9B">
      <w:pPr>
        <w:spacing w:after="120" w:line="480" w:lineRule="auto"/>
        <w:jc w:val="both"/>
        <w:rPr>
          <w:rFonts w:ascii="Times New Roman" w:hAnsi="Times New Roman" w:cs="Times New Roman"/>
          <w:sz w:val="28"/>
          <w:szCs w:val="28"/>
        </w:rPr>
      </w:pPr>
      <w:r>
        <w:rPr>
          <w:rFonts w:ascii="Times New Roman" w:hAnsi="Times New Roman" w:cs="Times New Roman"/>
          <w:sz w:val="28"/>
          <w:szCs w:val="28"/>
        </w:rPr>
        <w:t>2.16.7</w:t>
      </w:r>
      <w:r>
        <w:rPr>
          <w:rFonts w:ascii="Times New Roman" w:hAnsi="Times New Roman" w:cs="Times New Roman"/>
          <w:sz w:val="28"/>
          <w:szCs w:val="28"/>
        </w:rPr>
        <w:tab/>
      </w:r>
      <w:r>
        <w:rPr>
          <w:rFonts w:ascii="Times New Roman" w:hAnsi="Times New Roman" w:cs="Times New Roman"/>
          <w:sz w:val="28"/>
          <w:szCs w:val="28"/>
        </w:rPr>
        <w:tab/>
      </w:r>
      <w:r w:rsidRPr="00B94B56">
        <w:rPr>
          <w:rFonts w:ascii="Times New Roman" w:hAnsi="Times New Roman" w:cs="Times New Roman"/>
          <w:sz w:val="28"/>
          <w:szCs w:val="28"/>
        </w:rPr>
        <w:t>Muropeptide analysis</w:t>
      </w:r>
      <w:r>
        <w:rPr>
          <w:rFonts w:ascii="Times New Roman" w:hAnsi="Times New Roman" w:cs="Times New Roman"/>
          <w:sz w:val="28"/>
          <w:szCs w:val="28"/>
        </w:rPr>
        <w:t xml:space="preserve"> by RP-HPLC</w:t>
      </w:r>
    </w:p>
    <w:p w:rsidR="002D7C9B" w:rsidRDefault="002D7C9B" w:rsidP="002D7C9B">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Purified peptidoglycan sacculi (Chapter 2.14.3-2.14.4) were resuspended with 25 mM sodium phosphate buffer (pH 5.6) and muropeptides released by digestion for 16 h at 37 °C with 250 µg ml</w:t>
      </w:r>
      <w:r w:rsidRPr="00A77109">
        <w:rPr>
          <w:rFonts w:ascii="Times New Roman" w:hAnsi="Times New Roman" w:cs="Times New Roman"/>
          <w:sz w:val="24"/>
          <w:szCs w:val="24"/>
          <w:vertAlign w:val="superscript"/>
        </w:rPr>
        <w:t>-1</w:t>
      </w:r>
      <w:r>
        <w:rPr>
          <w:rFonts w:ascii="Times New Roman" w:hAnsi="Times New Roman" w:cs="Times New Roman"/>
          <w:sz w:val="24"/>
          <w:szCs w:val="24"/>
        </w:rPr>
        <w:t xml:space="preserve"> mutanolysin</w:t>
      </w:r>
      <w:r w:rsidRPr="00634465">
        <w:rPr>
          <w:rFonts w:ascii="Times New Roman" w:hAnsi="Times New Roman" w:cs="Times New Roman"/>
          <w:sz w:val="24"/>
          <w:szCs w:val="24"/>
        </w:rPr>
        <w:t xml:space="preserve">, an </w:t>
      </w:r>
      <w:r w:rsidRPr="00634465">
        <w:rPr>
          <w:rFonts w:ascii="Times New Roman" w:hAnsi="Times New Roman" w:cs="Times New Roman"/>
          <w:i/>
          <w:sz w:val="24"/>
          <w:szCs w:val="24"/>
        </w:rPr>
        <w:t>N</w:t>
      </w:r>
      <w:r w:rsidRPr="00634465">
        <w:rPr>
          <w:rFonts w:ascii="Times New Roman" w:hAnsi="Times New Roman" w:cs="Times New Roman"/>
          <w:sz w:val="24"/>
          <w:szCs w:val="24"/>
        </w:rPr>
        <w:t>-ac</w:t>
      </w:r>
      <w:r>
        <w:rPr>
          <w:rFonts w:ascii="Times New Roman" w:hAnsi="Times New Roman" w:cs="Times New Roman"/>
          <w:sz w:val="24"/>
          <w:szCs w:val="24"/>
        </w:rPr>
        <w:t>e</w:t>
      </w:r>
      <w:r w:rsidRPr="00634465">
        <w:rPr>
          <w:rFonts w:ascii="Times New Roman" w:hAnsi="Times New Roman" w:cs="Times New Roman"/>
          <w:sz w:val="24"/>
          <w:szCs w:val="24"/>
        </w:rPr>
        <w:t>tylmuramidase</w:t>
      </w:r>
      <w:r>
        <w:rPr>
          <w:rFonts w:ascii="Times New Roman" w:hAnsi="Times New Roman" w:cs="Times New Roman"/>
          <w:sz w:val="24"/>
          <w:szCs w:val="24"/>
        </w:rPr>
        <w:t xml:space="preserve"> (Table 2.7)</w:t>
      </w:r>
      <w:r w:rsidRPr="00634465">
        <w:rPr>
          <w:rFonts w:ascii="Times New Roman" w:hAnsi="Times New Roman" w:cs="Times New Roman"/>
          <w:sz w:val="24"/>
          <w:szCs w:val="24"/>
        </w:rPr>
        <w:t xml:space="preserve">. The enzyme was inactivated by boiling for 3 min, </w:t>
      </w:r>
      <w:proofErr w:type="gramStart"/>
      <w:r w:rsidRPr="00634465">
        <w:rPr>
          <w:rFonts w:ascii="Times New Roman" w:hAnsi="Times New Roman" w:cs="Times New Roman"/>
          <w:sz w:val="24"/>
          <w:szCs w:val="24"/>
        </w:rPr>
        <w:t>then</w:t>
      </w:r>
      <w:proofErr w:type="gramEnd"/>
      <w:r w:rsidRPr="00634465">
        <w:rPr>
          <w:rFonts w:ascii="Times New Roman" w:hAnsi="Times New Roman" w:cs="Times New Roman"/>
          <w:sz w:val="24"/>
          <w:szCs w:val="24"/>
        </w:rPr>
        <w:t xml:space="preserve"> insoluble material separated from the soluble fraction by centrifugation at 13,000 rpm for 10 min. The soluble fraction was reduced with sodium borohydr</w:t>
      </w:r>
      <w:r>
        <w:rPr>
          <w:rFonts w:ascii="Times New Roman" w:hAnsi="Times New Roman" w:cs="Times New Roman"/>
          <w:sz w:val="24"/>
          <w:szCs w:val="24"/>
        </w:rPr>
        <w:t>ide</w:t>
      </w:r>
      <w:r w:rsidRPr="00634465">
        <w:rPr>
          <w:rFonts w:ascii="Times New Roman" w:hAnsi="Times New Roman" w:cs="Times New Roman"/>
          <w:sz w:val="24"/>
          <w:szCs w:val="24"/>
        </w:rPr>
        <w:t xml:space="preserve"> </w:t>
      </w:r>
      <w:r>
        <w:rPr>
          <w:rFonts w:ascii="Times New Roman" w:hAnsi="Times New Roman" w:cs="Times New Roman"/>
          <w:sz w:val="24"/>
          <w:szCs w:val="24"/>
        </w:rPr>
        <w:t>as described in Chapter</w:t>
      </w:r>
      <w:r w:rsidRPr="00634465">
        <w:rPr>
          <w:rFonts w:ascii="Times New Roman" w:hAnsi="Times New Roman" w:cs="Times New Roman"/>
          <w:sz w:val="24"/>
          <w:szCs w:val="24"/>
        </w:rPr>
        <w:t xml:space="preserve"> 2.16.</w:t>
      </w:r>
      <w:r>
        <w:rPr>
          <w:rFonts w:ascii="Times New Roman" w:hAnsi="Times New Roman" w:cs="Times New Roman"/>
          <w:sz w:val="24"/>
          <w:szCs w:val="24"/>
        </w:rPr>
        <w:t>3,</w:t>
      </w:r>
      <w:r w:rsidRPr="00634465">
        <w:rPr>
          <w:rFonts w:ascii="Times New Roman" w:hAnsi="Times New Roman" w:cs="Times New Roman"/>
          <w:sz w:val="24"/>
          <w:szCs w:val="24"/>
        </w:rPr>
        <w:t xml:space="preserve"> except that the reaction was stopped by lowering the pH to 4 with phosphoric acid.</w:t>
      </w:r>
      <w:r>
        <w:rPr>
          <w:rFonts w:ascii="Times New Roman" w:hAnsi="Times New Roman" w:cs="Times New Roman"/>
          <w:sz w:val="24"/>
          <w:szCs w:val="24"/>
        </w:rPr>
        <w:t xml:space="preserve"> R</w:t>
      </w:r>
      <w:r w:rsidRPr="00634465">
        <w:rPr>
          <w:rFonts w:ascii="Times New Roman" w:hAnsi="Times New Roman" w:cs="Times New Roman"/>
          <w:sz w:val="24"/>
          <w:szCs w:val="24"/>
        </w:rPr>
        <w:t>educed muropeptide sample</w:t>
      </w:r>
      <w:r>
        <w:rPr>
          <w:rFonts w:ascii="Times New Roman" w:hAnsi="Times New Roman" w:cs="Times New Roman"/>
          <w:sz w:val="24"/>
          <w:szCs w:val="24"/>
        </w:rPr>
        <w:t>s</w:t>
      </w:r>
      <w:r w:rsidRPr="00634465">
        <w:rPr>
          <w:rFonts w:ascii="Times New Roman" w:hAnsi="Times New Roman" w:cs="Times New Roman"/>
          <w:sz w:val="24"/>
          <w:szCs w:val="24"/>
        </w:rPr>
        <w:t xml:space="preserve"> w</w:t>
      </w:r>
      <w:r>
        <w:rPr>
          <w:rFonts w:ascii="Times New Roman" w:hAnsi="Times New Roman" w:cs="Times New Roman"/>
          <w:sz w:val="24"/>
          <w:szCs w:val="24"/>
        </w:rPr>
        <w:t>ere</w:t>
      </w:r>
      <w:r w:rsidRPr="00634465">
        <w:rPr>
          <w:rFonts w:ascii="Times New Roman" w:hAnsi="Times New Roman" w:cs="Times New Roman"/>
          <w:sz w:val="24"/>
          <w:szCs w:val="24"/>
        </w:rPr>
        <w:t xml:space="preserve"> filtered (0.45 µm pore size)</w:t>
      </w:r>
      <w:r>
        <w:rPr>
          <w:rFonts w:ascii="Times New Roman" w:hAnsi="Times New Roman" w:cs="Times New Roman"/>
          <w:sz w:val="24"/>
          <w:szCs w:val="24"/>
        </w:rPr>
        <w:t xml:space="preserve"> prior to injection of 10-50 µl muropeptide sample on a </w:t>
      </w:r>
      <w:r w:rsidRPr="00634465">
        <w:rPr>
          <w:rFonts w:ascii="Times New Roman" w:hAnsi="Times New Roman" w:cs="Times New Roman"/>
          <w:sz w:val="24"/>
          <w:szCs w:val="24"/>
        </w:rPr>
        <w:t xml:space="preserve">Waters HPLC system </w:t>
      </w:r>
      <w:r>
        <w:rPr>
          <w:rFonts w:ascii="Times New Roman" w:hAnsi="Times New Roman" w:cs="Times New Roman"/>
          <w:sz w:val="24"/>
          <w:szCs w:val="24"/>
        </w:rPr>
        <w:t>with</w:t>
      </w:r>
      <w:r w:rsidRPr="00634465">
        <w:rPr>
          <w:rFonts w:ascii="Times New Roman" w:hAnsi="Times New Roman" w:cs="Times New Roman"/>
          <w:sz w:val="24"/>
          <w:szCs w:val="24"/>
        </w:rPr>
        <w:t xml:space="preserve"> a Hypersil octadecylsilane column (4.6</w:t>
      </w:r>
      <w:r>
        <w:rPr>
          <w:rFonts w:ascii="Times New Roman" w:hAnsi="Times New Roman" w:cs="Times New Roman"/>
          <w:sz w:val="24"/>
          <w:szCs w:val="24"/>
        </w:rPr>
        <w:t xml:space="preserve"> x </w:t>
      </w:r>
      <w:r w:rsidRPr="00634465">
        <w:rPr>
          <w:rFonts w:ascii="Times New Roman" w:hAnsi="Times New Roman" w:cs="Times New Roman"/>
          <w:sz w:val="24"/>
          <w:szCs w:val="24"/>
        </w:rPr>
        <w:t>250 mm</w:t>
      </w:r>
      <w:r>
        <w:rPr>
          <w:rFonts w:ascii="Times New Roman" w:hAnsi="Times New Roman" w:cs="Times New Roman"/>
          <w:sz w:val="24"/>
          <w:szCs w:val="24"/>
        </w:rPr>
        <w:t>,</w:t>
      </w:r>
      <w:r w:rsidRPr="00634465">
        <w:rPr>
          <w:rFonts w:ascii="Times New Roman" w:hAnsi="Times New Roman" w:cs="Times New Roman"/>
          <w:sz w:val="24"/>
          <w:szCs w:val="24"/>
        </w:rPr>
        <w:t xml:space="preserve"> 5</w:t>
      </w:r>
      <w:r>
        <w:rPr>
          <w:rFonts w:ascii="Times New Roman" w:hAnsi="Times New Roman" w:cs="Times New Roman"/>
          <w:sz w:val="24"/>
          <w:szCs w:val="24"/>
        </w:rPr>
        <w:t>µ</w:t>
      </w:r>
      <w:r w:rsidRPr="00634465">
        <w:rPr>
          <w:rFonts w:ascii="Times New Roman" w:hAnsi="Times New Roman" w:cs="Times New Roman"/>
          <w:sz w:val="24"/>
          <w:szCs w:val="24"/>
        </w:rPr>
        <w:t xml:space="preserve">m </w:t>
      </w:r>
      <w:r>
        <w:rPr>
          <w:rFonts w:ascii="Times New Roman" w:hAnsi="Times New Roman" w:cs="Times New Roman"/>
          <w:sz w:val="24"/>
          <w:szCs w:val="24"/>
        </w:rPr>
        <w:t>particle size</w:t>
      </w:r>
      <w:r w:rsidRPr="00634465">
        <w:rPr>
          <w:rFonts w:ascii="Times New Roman" w:hAnsi="Times New Roman" w:cs="Times New Roman"/>
          <w:sz w:val="24"/>
          <w:szCs w:val="24"/>
        </w:rPr>
        <w:t>; Sigma)</w:t>
      </w:r>
      <w:r>
        <w:rPr>
          <w:rFonts w:ascii="Times New Roman" w:hAnsi="Times New Roman" w:cs="Times New Roman"/>
          <w:sz w:val="24"/>
          <w:szCs w:val="24"/>
        </w:rPr>
        <w:t>. The column was pre-equilibrated with Buffer A (Chapter 2.3.8.1) and muropeptides eluted at a flow rate of 0.5 ml min</w:t>
      </w:r>
      <w:r w:rsidRPr="00E27B53">
        <w:rPr>
          <w:rFonts w:ascii="Times New Roman" w:hAnsi="Times New Roman" w:cs="Times New Roman"/>
          <w:sz w:val="24"/>
          <w:szCs w:val="24"/>
          <w:vertAlign w:val="superscript"/>
        </w:rPr>
        <w:t>-</w:t>
      </w:r>
      <w:r>
        <w:rPr>
          <w:rFonts w:ascii="Times New Roman" w:hAnsi="Times New Roman" w:cs="Times New Roman"/>
          <w:sz w:val="24"/>
          <w:szCs w:val="24"/>
          <w:vertAlign w:val="superscript"/>
        </w:rPr>
        <w:t>1</w:t>
      </w:r>
      <w:r w:rsidRPr="00E27B53">
        <w:rPr>
          <w:rFonts w:ascii="Times New Roman" w:hAnsi="Times New Roman" w:cs="Times New Roman"/>
          <w:sz w:val="24"/>
          <w:szCs w:val="24"/>
        </w:rPr>
        <w:t>,</w:t>
      </w:r>
      <w:r>
        <w:rPr>
          <w:rFonts w:ascii="Times New Roman" w:hAnsi="Times New Roman" w:cs="Times New Roman"/>
          <w:sz w:val="24"/>
          <w:szCs w:val="24"/>
          <w:vertAlign w:val="superscript"/>
        </w:rPr>
        <w:t xml:space="preserve"> </w:t>
      </w:r>
      <w:r>
        <w:rPr>
          <w:rFonts w:ascii="Times New Roman" w:hAnsi="Times New Roman" w:cs="Times New Roman"/>
          <w:sz w:val="24"/>
          <w:szCs w:val="24"/>
        </w:rPr>
        <w:t>using a linear gradient of 0-100 % buffer B containing 20% (v/v) methanol over 270 min. Elution of muropeptide material was detected by monitoring absorbance at 202 nm. Peaks were collected for further analysis either manually or using a fraction collector.</w:t>
      </w:r>
    </w:p>
    <w:p w:rsidR="002D7C9B" w:rsidRDefault="002D7C9B">
      <w:pPr>
        <w:rPr>
          <w:rFonts w:ascii="Times New Roman" w:hAnsi="Times New Roman" w:cs="Times New Roman"/>
          <w:sz w:val="24"/>
          <w:szCs w:val="24"/>
        </w:rPr>
      </w:pPr>
      <w:r>
        <w:rPr>
          <w:rFonts w:ascii="Times New Roman" w:hAnsi="Times New Roman" w:cs="Times New Roman"/>
          <w:sz w:val="24"/>
          <w:szCs w:val="24"/>
        </w:rPr>
        <w:br w:type="page"/>
      </w:r>
    </w:p>
    <w:p w:rsidR="002D7C9B" w:rsidRDefault="002D7C9B" w:rsidP="002D7C9B">
      <w:pPr>
        <w:spacing w:line="480" w:lineRule="auto"/>
        <w:jc w:val="center"/>
        <w:rPr>
          <w:rFonts w:ascii="Times New Roman" w:hAnsi="Times New Roman" w:cs="Times New Roman"/>
          <w:sz w:val="28"/>
          <w:szCs w:val="28"/>
        </w:rPr>
      </w:pPr>
      <w:r w:rsidRPr="00A7211C">
        <w:rPr>
          <w:rFonts w:ascii="Times New Roman" w:hAnsi="Times New Roman" w:cs="Times New Roman"/>
          <w:sz w:val="28"/>
          <w:szCs w:val="28"/>
        </w:rPr>
        <w:lastRenderedPageBreak/>
        <w:t>Chapter 3</w:t>
      </w:r>
    </w:p>
    <w:p w:rsidR="002D7C9B" w:rsidRDefault="002D7C9B" w:rsidP="002D7C9B">
      <w:pPr>
        <w:spacing w:line="480" w:lineRule="auto"/>
        <w:jc w:val="center"/>
        <w:rPr>
          <w:rFonts w:ascii="Times New Roman" w:hAnsi="Times New Roman" w:cs="Times New Roman"/>
          <w:sz w:val="28"/>
          <w:szCs w:val="28"/>
        </w:rPr>
      </w:pPr>
      <w:r>
        <w:rPr>
          <w:rFonts w:ascii="Times New Roman" w:hAnsi="Times New Roman" w:cs="Times New Roman"/>
          <w:sz w:val="28"/>
          <w:szCs w:val="28"/>
        </w:rPr>
        <w:t>Cell wall dynamics and peptidoglycan architecture of ovococcal bacteria</w:t>
      </w:r>
    </w:p>
    <w:p w:rsidR="002D7C9B" w:rsidRDefault="002D7C9B" w:rsidP="002D7C9B">
      <w:pPr>
        <w:spacing w:line="480" w:lineRule="auto"/>
        <w:jc w:val="center"/>
        <w:rPr>
          <w:rFonts w:ascii="Times New Roman" w:hAnsi="Times New Roman" w:cs="Times New Roman"/>
          <w:sz w:val="28"/>
          <w:szCs w:val="28"/>
        </w:rPr>
      </w:pPr>
    </w:p>
    <w:p w:rsidR="002D7C9B" w:rsidRPr="00A7211C" w:rsidRDefault="002D7C9B" w:rsidP="002D7C9B">
      <w:pPr>
        <w:spacing w:line="480" w:lineRule="auto"/>
        <w:jc w:val="center"/>
        <w:rPr>
          <w:rFonts w:ascii="Times New Roman" w:hAnsi="Times New Roman" w:cs="Times New Roman"/>
          <w:sz w:val="24"/>
          <w:szCs w:val="24"/>
        </w:rPr>
      </w:pPr>
      <w:r>
        <w:rPr>
          <w:rFonts w:ascii="Times New Roman" w:hAnsi="Times New Roman" w:cs="Times New Roman"/>
          <w:sz w:val="24"/>
          <w:szCs w:val="24"/>
        </w:rPr>
        <w:t>The work in this chapter was carried out in collaboration with Stéphane Mesnage (Chain length analysis of radiolabelled glycans by gel filtration) and Ivo G. Boneca (Glycan chain length analysis by RP-HPLC)</w:t>
      </w:r>
    </w:p>
    <w:p w:rsidR="002D7C9B" w:rsidRDefault="002D7C9B" w:rsidP="002D7C9B">
      <w:pPr>
        <w:spacing w:line="480" w:lineRule="auto"/>
        <w:jc w:val="center"/>
        <w:rPr>
          <w:rFonts w:ascii="Times New Roman" w:hAnsi="Times New Roman" w:cs="Times New Roman"/>
          <w:sz w:val="28"/>
          <w:szCs w:val="28"/>
        </w:rPr>
      </w:pPr>
    </w:p>
    <w:p w:rsidR="002D7C9B" w:rsidRDefault="002D7C9B" w:rsidP="002D7C9B">
      <w:pPr>
        <w:spacing w:line="480" w:lineRule="auto"/>
        <w:rPr>
          <w:rFonts w:ascii="Times New Roman" w:hAnsi="Times New Roman" w:cs="Times New Roman"/>
          <w:sz w:val="28"/>
          <w:szCs w:val="28"/>
        </w:rPr>
      </w:pPr>
      <w:r>
        <w:rPr>
          <w:rFonts w:ascii="Times New Roman" w:hAnsi="Times New Roman" w:cs="Times New Roman"/>
          <w:sz w:val="28"/>
          <w:szCs w:val="28"/>
        </w:rPr>
        <w:t>3.1</w:t>
      </w:r>
      <w:r>
        <w:rPr>
          <w:rFonts w:ascii="Times New Roman" w:hAnsi="Times New Roman" w:cs="Times New Roman"/>
          <w:sz w:val="28"/>
          <w:szCs w:val="28"/>
        </w:rPr>
        <w:tab/>
      </w:r>
      <w:r>
        <w:rPr>
          <w:rFonts w:ascii="Times New Roman" w:hAnsi="Times New Roman" w:cs="Times New Roman"/>
          <w:sz w:val="28"/>
          <w:szCs w:val="28"/>
        </w:rPr>
        <w:tab/>
        <w:t>Introduction</w:t>
      </w:r>
    </w:p>
    <w:p w:rsidR="002D7C9B" w:rsidRDefault="002D7C9B" w:rsidP="002D7C9B">
      <w:pPr>
        <w:spacing w:line="480" w:lineRule="auto"/>
        <w:rPr>
          <w:rFonts w:ascii="Times New Roman" w:hAnsi="Times New Roman" w:cs="Times New Roman"/>
          <w:sz w:val="28"/>
          <w:szCs w:val="28"/>
        </w:rPr>
      </w:pPr>
      <w:r>
        <w:rPr>
          <w:rFonts w:ascii="Times New Roman" w:hAnsi="Times New Roman" w:cs="Times New Roman"/>
          <w:sz w:val="28"/>
          <w:szCs w:val="28"/>
        </w:rPr>
        <w:t>3.1.1</w:t>
      </w:r>
      <w:r>
        <w:rPr>
          <w:rFonts w:ascii="Times New Roman" w:hAnsi="Times New Roman" w:cs="Times New Roman"/>
          <w:sz w:val="28"/>
          <w:szCs w:val="28"/>
        </w:rPr>
        <w:tab/>
      </w:r>
      <w:r>
        <w:rPr>
          <w:rFonts w:ascii="Times New Roman" w:hAnsi="Times New Roman" w:cs="Times New Roman"/>
          <w:sz w:val="28"/>
          <w:szCs w:val="28"/>
        </w:rPr>
        <w:tab/>
        <w:t>Investigating the cell wall architecture of ovococci</w:t>
      </w:r>
    </w:p>
    <w:p w:rsidR="002D7C9B" w:rsidRPr="00C00F77" w:rsidRDefault="002D7C9B" w:rsidP="002D7C9B">
      <w:pPr>
        <w:spacing w:after="120" w:line="48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Studies of peptidoglycan architecture in bacteria have largely focused on model organisms with rod-shape, i.e. </w:t>
      </w:r>
      <w:r>
        <w:rPr>
          <w:rFonts w:ascii="Times New Roman" w:hAnsi="Times New Roman" w:cs="Times New Roman"/>
          <w:i/>
          <w:sz w:val="24"/>
          <w:szCs w:val="24"/>
        </w:rPr>
        <w:t>Escherichia coli, Bacillus subtilis</w:t>
      </w:r>
      <w:r>
        <w:rPr>
          <w:rFonts w:ascii="Times New Roman" w:hAnsi="Times New Roman" w:cs="Times New Roman"/>
          <w:sz w:val="24"/>
          <w:szCs w:val="24"/>
        </w:rPr>
        <w:t xml:space="preserve"> and more recently the curved rod </w:t>
      </w:r>
      <w:r w:rsidRPr="00EF01BB">
        <w:rPr>
          <w:rFonts w:ascii="Times New Roman" w:hAnsi="Times New Roman" w:cs="Times New Roman"/>
          <w:i/>
          <w:sz w:val="24"/>
          <w:szCs w:val="24"/>
        </w:rPr>
        <w:t>C</w:t>
      </w:r>
      <w:r>
        <w:rPr>
          <w:rFonts w:ascii="Times New Roman" w:hAnsi="Times New Roman" w:cs="Times New Roman"/>
          <w:i/>
          <w:sz w:val="24"/>
          <w:szCs w:val="24"/>
        </w:rPr>
        <w:t>aulobacter</w:t>
      </w:r>
      <w:r w:rsidRPr="00EF01BB">
        <w:rPr>
          <w:rFonts w:ascii="Times New Roman" w:hAnsi="Times New Roman" w:cs="Times New Roman"/>
          <w:i/>
          <w:sz w:val="24"/>
          <w:szCs w:val="24"/>
        </w:rPr>
        <w:t xml:space="preserve"> crescentus</w:t>
      </w:r>
      <w:r>
        <w:rPr>
          <w:rFonts w:ascii="Times New Roman" w:hAnsi="Times New Roman" w:cs="Times New Roman"/>
          <w:sz w:val="24"/>
          <w:szCs w:val="24"/>
        </w:rPr>
        <w:t xml:space="preserve"> which undergoes cellular differentiation as part of </w:t>
      </w:r>
      <w:r w:rsidRPr="00C00F77">
        <w:rPr>
          <w:rFonts w:ascii="Times New Roman" w:hAnsi="Times New Roman" w:cs="Times New Roman"/>
          <w:color w:val="000000" w:themeColor="text1"/>
          <w:sz w:val="24"/>
          <w:szCs w:val="24"/>
        </w:rPr>
        <w:t xml:space="preserve">the cell cycle </w:t>
      </w:r>
      <w:r w:rsidRPr="00C00F77">
        <w:rPr>
          <w:rFonts w:ascii="Times New Roman" w:hAnsi="Times New Roman" w:cs="Times New Roman"/>
          <w:color w:val="000000" w:themeColor="text1"/>
          <w:sz w:val="24"/>
          <w:szCs w:val="24"/>
          <w:lang w:val="de-DE"/>
        </w:rPr>
        <w:fldChar w:fldCharType="begin"/>
      </w:r>
      <w:r w:rsidRPr="00C00F77">
        <w:rPr>
          <w:rFonts w:ascii="Times New Roman" w:hAnsi="Times New Roman" w:cs="Times New Roman"/>
          <w:color w:val="000000" w:themeColor="text1"/>
          <w:sz w:val="24"/>
          <w:szCs w:val="24"/>
        </w:rPr>
        <w:instrText xml:space="preserve"> ADDIN ZOTERO_ITEM CSL_CITATION {"citationID":"kf4n4v97p","properties":{"formattedCitation":"(Koch, 1998; Meroueh et al., 2006; den Blaauwen et al., 2008; Hayhurst et al., 2008; Goley et al., 2010; Vollmer and Seligman, 2010)","plainCitation":"(Koch, 1998; Meroueh et al., 2006; den Blaauwen et al., 2008; Hayhurst et al., 2008; Goley et al., 2010; Vollmer and Seligman, 2010)"},"citationItems":[{"id":82,"uris":["http://zotero.org/users/944474/items/RSPA52DZ"],"uri":["http://zotero.org/users/944474/items/RSPA52DZ"],"itemData":{"id":82,"type":"article-journal","title":"Orientation of the peptidoglycan chains in the sacculus of Escherichia coli","container-title":"Research in Microbiology","page":"689-701","volume":"149","issue":"10","abstract":"The organization of chains of oligopeptidoglycan in the saccular wall is of critical importance in the study of the mechanism and physiology of prokaryotic wall growth. The electron microphotographs of De Pedro et al. present new findings and can be used to negate or at least raise questions about the previously accepted conclusion that the glycan chains are oriented transversely to the axis of rod-shaped Escherichia coli. This suggests caution in assuming that the glycan chains in the murein structure are parallel to each other and are perpendicular to the axis of the cell. These results should reopen the question of not only the orientation of the peptidoglycan chains, but the possibility of variability in orientation. Three classes of hypotheses about wall growth are reconsidered and problems with them are presented. The new results from De Pedro's laboratory and the experimental glycan chain length distribution argue against proposed systematic models. These include models that postulate belts or hoops stretched around the circumference of the cell and mechanisms that insert new chains of the length of presumptive \"docking\" strands in the stress-bearing wall. They are consistent, however, with the surface stress theory that proposes that random enzyme action together with physical forces are involved in the elongation of the rod-shaped Gram-negative wall.","note":"PMID: 9921576","journalAbbreviation":"Res. Microbiol.","author":[{"family":"Koch","given":"A L"}],"issued":{"year":1998,"month":12},"accessed":{"year":2012,"month":4,"day":2}}},{"id":83,"uris":["http://zotero.org/users/944474/items/WHSAE7JK"],"uri":["http://zotero.org/users/944474/items/WHSAE7JK"],"itemData":{"id":83,"type":"article-journal","title":"Three-dimensional structure of the bacterial cell wall peptidoglycan","container-title":"Proceedings of the National Academy of Sciences of the United States of America","page":"4404-4409","volume":"103","issue":"12","abstract":"The 3D structure of the bac</w:instrText>
      </w:r>
      <w:r w:rsidRPr="00C00F77">
        <w:rPr>
          <w:rFonts w:ascii="Times New Roman" w:hAnsi="Times New Roman" w:cs="Times New Roman"/>
          <w:color w:val="000000" w:themeColor="text1"/>
          <w:sz w:val="24"/>
          <w:szCs w:val="24"/>
          <w:lang w:val="de-DE"/>
        </w:rPr>
        <w:instrText xml:space="preserve">terial peptidoglycan, the major constituent of the cell wall, is one of the most important, yet still unsolved, structural problems in biochemistry. The peptidoglycan comprises alternating N-acetylglucosamine (NAG) and N-acetylmuramic disaccharide (NAM) saccharides, the latter of which has a peptide stem. Adjacent peptide stems are cross-linked by the transpeptidase enzymes of cell wall biosynthesis to provide the cell wall polymer with the structural integrity required by the bacterium. The cell wall and its biosynthetic enzymes are targets of antibiotics. The 3D structure of the cell wall has been elusive because of its complexity and the lack of pure samples. Herein we report the 3D solution structure as determined by NMR of the 2-kDa NAG-NAM(pentapeptide)-NAG-NAM(pentapeptide) synthetic fragment of the cell wall. The glycan backbone of this peptidoglycan forms a right-handed helix with a periodicity of three for the NAG-NAM repeat (per turn of the helix). The first two amino acids of the pentapeptide adopt a limited number of conformations. Based on this structure a model for the bacterial cell wall is proposed.","DOI":"10.1073/pnas.0510182103","note":"PMID: 16537437","journalAbbreviation":"Proc. Natl. Acad. Sci. U.S.A.","author":[{"family":"Meroueh","given":"Samy O"},{"family":"Bencze","given":"Krisztina Z"},{"family":"Hesek","given":"Dusan"},{"family":"Lee","given":"Mijoon"},{"family":"Fisher","given":"Jed F"},{"family":"Stemmler","given":"Timothy L"},{"family":"Mobashery","given":"Shahriar"}],"issued":{"year":2006,"month":3,"day":21},"accessed":{"year":2012,"month":4,"day":2}}},{"id":84,"uris":["http://zotero.org/users/944474/items/CHT8D3EN"],"uri":["http://zotero.org/users/944474/items/CHT8D3EN"],"itemData":{"id":84,"type":"article-journal","title":"Morphogenesis of rod-shaped sacculi","container-title":"FEMS Microbiology Reviews","page":"321-344","volume":"32","issue":"2","abstract":"For growth and division of rod-shaped bacteria, the cylindrical part of the sacculus has to be elongated and two new cell poles have to be synthesized. The elongation is performed by a protein complex, the elongase that inserts disaccharidepentapeptide units at a limited number of discrete sites while using the cytoskeletal MreB helix as a tracking device. Upon initiation of cell division by positioning of the cytoskeletal Z-ring at mid cell, a switch from dispersed to concentrated local peptidoglycan-synthesis occurs. From this point on, peptidoglycan synthesis is for a large part redirected from elongating activity to synthesis of new cell poles by the divisome. The divisome might be envisioned as an extended elongase because apart from its basic peptidoglycan synthesizing activity, specific functions have to be added. These are conversion from a cylinder to a sphere, invagination of the outer membrane and addition of hydrolases that allow separation of the daughter cells. The elongase and the divisome are dynamic hyperstructures that probably share part of their proteins. Although this multifunctionality and flexibility form a barrier to the functional elucidation of its individual subunits, it helps the cells to survive a variety of emergency situations and to proliferate securely.","DOI":"10.1111/j.1574-6976.2007.00090.x","note":"PMID: 18291013","journalAbbreviation":"FEMS Microbiol. Rev.","author":[{"family":"den Blaauwen","given":"Tanneke"},{"family":"de Pedro","given":"Miguel A"},{"family":"Nguyen-Distèche","given":"Martine"},{"family":"Ayala","given":"Juan A"}],"issued":{"year":2008,"month":3},"accessed":{"year":2012,"month":4,"day":2}}},{"id":77,"uris":["http://zotero.org/users/944474/items/Z6IUFDEB"],"uri":["http://zotero.org/users/944474/items/Z6IUFDEB"],"itemData":{"id":77,"type":"article-journal","title":"Cell wall peptidoglycan architecture in Bacillus subtilis","container-title":"Proceedings of the National Academy of Sciences of the United States of America","page":"14603-14608","volume":"105","issue":"38","abstract":"The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polymer.","DOI":"10.1073/pnas.0804138105","note":"PMID: 18784364","journalAbbreviation":"Proc. Natl. Acad. Sci. U.S.A.","author":[{"family":"Hayhurst","given":"Emma J"},{"family":"Kailas","given":"Lekshmi"},{"family":"Hobbs","given":"Jamie K"},{"family":"Foster","given":"Simon J"}],"issued":{"year":2008,"month":9,"day":23},"accessed":{"year":2012,"month":3,"day":7}}},{"id":85,"uris":["http://zotero.org/users/944474/items/U2K6CBU6"],"uri":["http://zotero.org/users/944474/items/U2K6CBU6"],"itemData":{"id":85,"type":"article-journal","title":"DipM links peptidoglycan remodelling to outer membrane organization in Caulobacter","container-title":"Molecular Microbiology","page":"56-73","volume":"77","issue":"1","abstract":"Cell division in Gram-negative organisms requires coordinated invagination of the multilayered cell envelope such that each daughter receives an intact inner membrane, peptidoglycan (PG) layer and outer membrane (OM). Here, we identify DipM, a putative LytM endopeptidase in Caulobacter crescentus, and show that it plays a critical role in maintaining cell envelope architecture during growth and division. DipM localized to the division site in an FtsZ-dependent manner via its PG-binding LysM domains. Although not essential for viability, DeltadipM cells exhibited gross morphological defects, including cell widening and filamentation, indicating a role in cell shape maintenance and division that we show requires its LytM domain. Strikingly, cells lacking DipM also showed OM blebbing at the division site, at cell poles and along the cell body. Cryo electron tomography of sacculi isolated from cells depleted of DipM revealed marked thickening of the PG as compared to wild type, which we hypothesize leads to loss of trans-envelope contacts between components of the Tol-Pal complex. We conclude that DipM is required for normal envelope invagination during division and to maintain a sacculus of constant thickness that allows for maintenance of OM connections throughout the cell envelope.","DOI":"10.1111/j.1365-2958.2010.07222.x","note":"PMID: 20497504","journalAbbreviation":"Mol. Microbiol.","author":[{"family":"Goley","given":"Erin D"},{"family":"Comolli","given":"Luis R"},{"family":"Fero","given":"Katherine E"},{"family":"Downing","given":"Kenneth H"},{"family":"Shapiro","given":"Lucy"}],"issued":{"year":2010,"month":7,"day":1},"accessed":{"year":2012,"month":4,"day":2}}},{"id":86,"uris":["http://zotero.org/users/944474/items/EJQB4RC2"],"uri":["http://zotero.org/users/944474/items/EJQB4RC2"],"itemData":{"id":86,"type":"article-journal","title":"Architecture of peptidoglycan: more data and more models","container-title":"Trends in Microbiology","page":"59-66","volume":"18","issue":"2","abstract":"Peptidoglycan forms a net-like sacculus made of glycan strands crosslinked by peptides. The length of the glycan strands and the degree of crosslinkage vary with bacterial species, strains and growth conditions. Several models for the three-dimensional architecture of peptidoglycan have been proposed, some of which have been tested experimentally. The new data support a layered model in Gram-negative bacteria, and a more elaborate peptidoglycan architecture, with bands made of coiled bundles of glycan strands, in the rod-shaped Bacillus subtilis. However, many questions remain unanswered and, therefore, more data and more models are required to decipher the complex cell wall architecture in bacteria.","DOI":"10.1016/j.tim.2009.12.004","note":"PMID: 20060721","shortTitle":"Architecture of peptidoglycan","journalAbbreviation":"Trends Microbiol.","author":[{"family":"Vollmer","given":"Waldemar"},{"family":"Seligman","given":"Stephen J"}],"issued":{"year":2010,"month":2},"accessed":{"year":2012,"month":4,"day":2}}}],"schema":"https://github.com/citation-style-language/schema/raw/master/csl-citation.json"} </w:instrText>
      </w:r>
      <w:r w:rsidRPr="00C00F77">
        <w:rPr>
          <w:rFonts w:ascii="Times New Roman" w:hAnsi="Times New Roman" w:cs="Times New Roman"/>
          <w:color w:val="000000" w:themeColor="text1"/>
          <w:sz w:val="24"/>
          <w:szCs w:val="24"/>
          <w:lang w:val="de-DE"/>
        </w:rPr>
        <w:fldChar w:fldCharType="separate"/>
      </w:r>
      <w:r w:rsidRPr="00C00F77">
        <w:rPr>
          <w:rFonts w:ascii="Times New Roman" w:hAnsi="Times New Roman" w:cs="Times New Roman"/>
          <w:color w:val="000000" w:themeColor="text1"/>
          <w:sz w:val="24"/>
          <w:szCs w:val="24"/>
          <w:lang w:val="de-DE"/>
        </w:rPr>
        <w:t xml:space="preserve">(Koch, 1998; Meroueh </w:t>
      </w:r>
      <w:r w:rsidRPr="00294AE4">
        <w:rPr>
          <w:rFonts w:ascii="Times New Roman" w:hAnsi="Times New Roman" w:cs="Times New Roman"/>
          <w:i/>
          <w:color w:val="000000" w:themeColor="text1"/>
          <w:sz w:val="24"/>
          <w:szCs w:val="24"/>
          <w:lang w:val="de-DE"/>
        </w:rPr>
        <w:t>et al</w:t>
      </w:r>
      <w:r w:rsidRPr="00C00F77">
        <w:rPr>
          <w:rFonts w:ascii="Times New Roman" w:hAnsi="Times New Roman" w:cs="Times New Roman"/>
          <w:color w:val="000000" w:themeColor="text1"/>
          <w:sz w:val="24"/>
          <w:szCs w:val="24"/>
          <w:lang w:val="de-DE"/>
        </w:rPr>
        <w:t xml:space="preserve">., 2006; den Blaauwen </w:t>
      </w:r>
      <w:r w:rsidRPr="00294AE4">
        <w:rPr>
          <w:rFonts w:ascii="Times New Roman" w:hAnsi="Times New Roman" w:cs="Times New Roman"/>
          <w:i/>
          <w:color w:val="000000" w:themeColor="text1"/>
          <w:sz w:val="24"/>
          <w:szCs w:val="24"/>
          <w:lang w:val="de-DE"/>
        </w:rPr>
        <w:t>et al</w:t>
      </w:r>
      <w:r w:rsidRPr="00C00F77">
        <w:rPr>
          <w:rFonts w:ascii="Times New Roman" w:hAnsi="Times New Roman" w:cs="Times New Roman"/>
          <w:color w:val="000000" w:themeColor="text1"/>
          <w:sz w:val="24"/>
          <w:szCs w:val="24"/>
          <w:lang w:val="de-DE"/>
        </w:rPr>
        <w:t xml:space="preserve">., 2008; Hayhurst </w:t>
      </w:r>
      <w:r w:rsidRPr="00294AE4">
        <w:rPr>
          <w:rFonts w:ascii="Times New Roman" w:hAnsi="Times New Roman" w:cs="Times New Roman"/>
          <w:i/>
          <w:color w:val="000000" w:themeColor="text1"/>
          <w:sz w:val="24"/>
          <w:szCs w:val="24"/>
          <w:lang w:val="de-DE"/>
        </w:rPr>
        <w:t>et al</w:t>
      </w:r>
      <w:r w:rsidRPr="00C00F77">
        <w:rPr>
          <w:rFonts w:ascii="Times New Roman" w:hAnsi="Times New Roman" w:cs="Times New Roman"/>
          <w:color w:val="000000" w:themeColor="text1"/>
          <w:sz w:val="24"/>
          <w:szCs w:val="24"/>
          <w:lang w:val="de-DE"/>
        </w:rPr>
        <w:t xml:space="preserve">., 2008; Goley </w:t>
      </w:r>
      <w:r w:rsidRPr="00294AE4">
        <w:rPr>
          <w:rFonts w:ascii="Times New Roman" w:hAnsi="Times New Roman" w:cs="Times New Roman"/>
          <w:i/>
          <w:color w:val="000000" w:themeColor="text1"/>
          <w:sz w:val="24"/>
          <w:szCs w:val="24"/>
          <w:lang w:val="de-DE"/>
        </w:rPr>
        <w:t>et al</w:t>
      </w:r>
      <w:r w:rsidRPr="00C00F77">
        <w:rPr>
          <w:rFonts w:ascii="Times New Roman" w:hAnsi="Times New Roman" w:cs="Times New Roman"/>
          <w:color w:val="000000" w:themeColor="text1"/>
          <w:sz w:val="24"/>
          <w:szCs w:val="24"/>
          <w:lang w:val="de-DE"/>
        </w:rPr>
        <w:t>., 2010; Vollmer and Seligman, 2010)</w:t>
      </w:r>
      <w:r w:rsidRPr="00C00F77">
        <w:rPr>
          <w:rFonts w:ascii="Times New Roman" w:hAnsi="Times New Roman" w:cs="Times New Roman"/>
          <w:color w:val="000000" w:themeColor="text1"/>
          <w:sz w:val="24"/>
          <w:szCs w:val="24"/>
          <w:lang w:val="de-DE"/>
        </w:rPr>
        <w:fldChar w:fldCharType="end"/>
      </w:r>
      <w:r w:rsidRPr="00C00F77">
        <w:rPr>
          <w:rFonts w:ascii="Times New Roman" w:hAnsi="Times New Roman" w:cs="Times New Roman"/>
          <w:color w:val="000000" w:themeColor="text1"/>
          <w:sz w:val="24"/>
          <w:szCs w:val="24"/>
          <w:lang w:val="de-DE"/>
        </w:rPr>
        <w:t xml:space="preserve">. </w:t>
      </w:r>
      <w:r w:rsidRPr="00C00F77">
        <w:rPr>
          <w:rFonts w:ascii="Times New Roman" w:hAnsi="Times New Roman" w:cs="Times New Roman"/>
          <w:color w:val="000000" w:themeColor="text1"/>
          <w:sz w:val="24"/>
          <w:szCs w:val="24"/>
        </w:rPr>
        <w:t xml:space="preserve">These organisms are excellent models due to the availability of genetic tools to perform sophisticated morphogenesis studies </w:t>
      </w:r>
      <w:r w:rsidRPr="00C00F77">
        <w:rPr>
          <w:rFonts w:ascii="Times New Roman" w:hAnsi="Times New Roman" w:cs="Times New Roman"/>
          <w:color w:val="000000" w:themeColor="text1"/>
          <w:sz w:val="24"/>
          <w:szCs w:val="24"/>
        </w:rPr>
        <w:fldChar w:fldCharType="begin"/>
      </w:r>
      <w:r w:rsidRPr="00C00F77">
        <w:rPr>
          <w:rFonts w:ascii="Times New Roman" w:hAnsi="Times New Roman" w:cs="Times New Roman"/>
          <w:color w:val="000000" w:themeColor="text1"/>
          <w:sz w:val="24"/>
          <w:szCs w:val="24"/>
        </w:rPr>
        <w:instrText xml:space="preserve"> ADDIN ZOTERO_ITEM CSL_CITATION {"citationID":"1ruaofjrcs","properties":{"formattedCitation":"(Zapun et al., 2008)","plainCitation":"(Zapun et al., 2008)"},"citationItems":[{"id":87,"uris":["http://zotero.org/users/944474/items/N52MZFST"],"uri":["http://zotero.org/users/944474/items/N52MZFST"],"itemData":{"id":87,"type":"article-journal","title":"The different shapes of cocci","container-title":"FEMS Microbiology Reviews","page":"345-360","volume":"32","issue":"2","abstract":"The shape of bacteria is determined by their cell wall and can be very diverse. Even among genera with the suffix 'cocci', which are the focus of this review, different shapes exist. While staphylococci or Neisseria cells, for example, are truly round-shaped, streptococci, lactococci or enterococci have an ovoid shape. Interestingly, there seems to be a correlation between the shape of an organism and its set of penicillin-binding proteins--the enzymes that assemble the peptidoglycan, the main constituent of the cell wall. While only one peptidoglycan biosynthesis machinery seems to exist in staphylococci, two of these machineries are proposed to function in ovoid-shaped bacteria, reinforcing the intrinsic differences regarding the morphogenesis of different classes of cocci. The present review aims to integrate older ultra-structural data with recent localization studies, in order to clarify the relation between the mechanisms of cell wall synthesis and the determination of cell shape in various cocci.","DOI":"10.1111/j.1574-6976.2007.00098.x","note":"PMID: 18266741","journalAbbreviation":"FEMS Microbiol. Rev.","author":[{"family":"Zapun","given":"André"},{"family":"Vernet","given":"Thierry"},{"family":"Pinho","given":"Mariana G"}],"issued":{"year":2008,"month":3},"accessed":{"year":2012,"month":4,"day":2}}}],"schema":"https://github.com/citation-style-language/schema/raw/master/csl-citation.json"} </w:instrText>
      </w:r>
      <w:r w:rsidRPr="00C00F77">
        <w:rPr>
          <w:rFonts w:ascii="Times New Roman" w:hAnsi="Times New Roman" w:cs="Times New Roman"/>
          <w:color w:val="000000" w:themeColor="text1"/>
          <w:sz w:val="24"/>
          <w:szCs w:val="24"/>
        </w:rPr>
        <w:fldChar w:fldCharType="separate"/>
      </w:r>
      <w:r w:rsidRPr="00C00F77">
        <w:rPr>
          <w:rFonts w:ascii="Times New Roman" w:hAnsi="Times New Roman" w:cs="Times New Roman"/>
          <w:color w:val="000000" w:themeColor="text1"/>
          <w:sz w:val="24"/>
          <w:szCs w:val="21"/>
        </w:rPr>
        <w:t xml:space="preserve">(Zapun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2008)</w:t>
      </w:r>
      <w:r w:rsidRPr="00C00F77">
        <w:rPr>
          <w:rFonts w:ascii="Times New Roman" w:hAnsi="Times New Roman" w:cs="Times New Roman"/>
          <w:color w:val="000000" w:themeColor="text1"/>
          <w:sz w:val="24"/>
          <w:szCs w:val="24"/>
        </w:rPr>
        <w:fldChar w:fldCharType="end"/>
      </w:r>
      <w:r w:rsidRPr="00C00F77">
        <w:rPr>
          <w:rFonts w:ascii="Times New Roman" w:hAnsi="Times New Roman" w:cs="Times New Roman"/>
          <w:color w:val="000000" w:themeColor="text1"/>
          <w:sz w:val="24"/>
          <w:szCs w:val="24"/>
        </w:rPr>
        <w:t xml:space="preserve">. Furthermore the phenotypes of cell growth and cell division mutants are relatively easy to characterise and quantify, with filamentous, coccoid and branched morphologies having been reported </w:t>
      </w:r>
      <w:r w:rsidRPr="00C00F77">
        <w:rPr>
          <w:rFonts w:ascii="Times New Roman" w:hAnsi="Times New Roman" w:cs="Times New Roman"/>
          <w:color w:val="000000" w:themeColor="text1"/>
          <w:sz w:val="24"/>
          <w:szCs w:val="24"/>
        </w:rPr>
        <w:fldChar w:fldCharType="begin"/>
      </w:r>
      <w:r w:rsidRPr="00C00F77">
        <w:rPr>
          <w:rFonts w:ascii="Times New Roman" w:hAnsi="Times New Roman" w:cs="Times New Roman"/>
          <w:color w:val="000000" w:themeColor="text1"/>
          <w:sz w:val="24"/>
          <w:szCs w:val="24"/>
        </w:rPr>
        <w:instrText xml:space="preserve"> ADDIN ZOTERO_ITEM CSL_CITATION {"citationID":"7gv7v980g","properties":{"formattedCitation":"(Kruse et al., 2003; Figge et al., 2004; Feucht and Errington, 2005; Potluri et al., 2012)","plainCitation":"(Kruse et al., 2003; Figge et al., 2004; Feucht and Errington, 2005; Potluri et al., 2012)"},"citationItems":[{"id":88,"uris":["http://zotero.org/users/944474/items/PMSJB8NW"],"uri":["http://zotero.org/users/944474/items/PMSJB8NW"],"itemData":{"id":88,"type":"article-journal","title":"Dysfunctional MreB inhibits chromosome segregation in Escherichia coli","container-title":"The EMBO Journal","page":"5283-5292","volume":"22","issue":"19","abstract":"The mechanism of prokaryotic chromosome segregation is not known. MreB, an actin homolog, is a shape-determining factor in rod-shaped prokaryotic cells. Using immunofluorescence microscopy we found that MreB of Escherichia coli formed helical filaments located beneath the cell surface. Flow cytometric and cytological analyses indicated that MreB-depleted cells segregated their chromosomes in pairs, consistent with chromosome cohesion. Overexpression of wild-type MreB inhibited cell division but did not perturb chromosome segregation. Overexpression of mutant forms of MreB inhibited cell division, caused abnormal MreB filament morphology and induced severe localization defects of the nucleoid and of the oriC and terC chromosomal regions. The chromosomal terminus regions appeared cohered in both MreB-depleted cells and in cells overexpressing mutant forms of MreB. Our observations indicate that MreB filaments participate in directional chromosome movement and segregation.","DOI":"10.1093/emboj/cdg504","note":"PMID: 14517265","journalAbbreviation":"EMBO J.","author":[{"family":"Kruse","given":"Thomas"},{"family":"Møller-Jensen","given":"Jakob"},{"family":"Løbner-Olesen","given":"Anders"},{"family":"Gerdes","given":"Kenn"}],"issued":{"year":2003,"month":10,"day":1},"accessed":{"year":2012,"month":4,"day":2}}},{"id":89,"uris":["http://zotero.org/users/944474/items/4XKTIB2E"],"uri":["http://zotero.org/users/944474/items/4XKTIB2E"],"itemData":{"id":89,"type":"article-journal","title":"MreB, the cell shape-determining bacterial actin homologue, co-ordinates cell wall morphogenesis in Caulobacter crescentus","container-title":"Molecular Microbiology","page":"1321-1332","volume":"51","issue":"5","abstract":"The bacterial actin homologue, MreB, is required for the maintenance of a rod-shaped cell and has been shown to form spirals that traverse along the longitudinal axis of Bacillus subtilis and Escherichia coli cells. The depletion of MreB in Caulobacter crescentus resulted in lemon-shaped cells that possessed defects in the integrity of the cell wall. MreB localization appeared as bands or spirals that encircled the cell along its entire length and switched to a mid-cell location at a time that coincided with the initiation of cell division. The formation of smaller MreB spirals or bands at the mid-cell was dependent on the presence on the cytokinetic protein, FtsZ. Penicillin-binding protein 2 (PBP2) also formed band-like structures perpendicular to the cell periphery that resembled, and depended upon, MreB localization. PBP2 co-immunoprecipitated with several other penicillin-binding proteins, suggesting that these proteins are in association in Caulobacter cells. We hypothesize that MreB filaments function as a cytoskeleton that serves as an organizer or tracking device for the PBP2-peptidoglycan biosynthesis complex.","DOI":"10.1111/j.1365-2958.2003.03936.x","note":"PMID: 14982627","journalAbbreviation":"Mol. Microbiol.","author":[{"family":"Figge","given":"Rainer M"},{"family":"Divakaruni","given":"Arun V"},{"family":"Gober","given":"James W"}],"issued":{"year":2004,"month":3},"accessed":{"year":2012,"month":4,"day":2}}},{"id":90,"uris":["http://zotero.org/users/944474/items/R354MKBI"],"uri":["http://zotero.org/users/944474/items/R354MKBI"],"itemData":{"id":90,"type":"article-journal","title":"ftsZ mutations affecting cell division frequency, placement and morphology in Bacillus subtilis","container-title":"Microbiology (Reading, England)","page":"2053-2064","volume":"151","issue":"Pt 6","abstract":"A key event in cytokinesis in bacteria is the assembly of the essential division protein FtsZ into ring-like structures at the nascent division site. FtsZ is the prokaryotic homologue of tubulin, and is found in nearly all bacteria. In vitro, FtsZ polymerizes in the presence of GTP to form higher-ordered polymers. FtsZ consists of two domains, with the GTP-binding site located in the N-terminal domain. The less-conserved C-terminal domain contains residues important for GTP hydrolysis, but its overall function is still unclear. This paper reports the development of a simple strategy to generate mutations in the essential division gene ftsZ. Nine novel and viable ftsZ mutants of Bacillus subtilis are described. Eight of the mutations would affect the C-terminus of FtsZ. The collection of mutants exhibits a range of morphological phenotypes, ranging from normal to highly filamentous cells; some produce minicells, or divide in a twisted configuration; one mutation has a temperature-sensitive effect specifically impairing sporulation. The sites of the amino acid changes generated by the mutations could be informative about FtsZ function and its protein-protein interactions.","DOI":"10.1099/mic.0.27899-0","note":"PMID: 15942012","journalAbbreviation":"Microbiology (Reading, Engl.)","author":[{"family":"Feucht","given":"Andrea"},{"family":"Errington","given":"Jeffery"}],"issued":{"year":2005,"month":6},"accessed":{"year":2012,"month":4,"day":2}}},{"id":91,"uris":["http://zotero.org/users/944474/items/7RMNUWGI"],"uri":["http://zotero.org/users/944474/items/7RMNUWGI"],"itemData":{"id":91,"type":"article-journal","title":"Escherichia coli low-molecular-weight penicillin-binding proteins help orient septal FtsZ, and their absence leads to asymmetric cell division and branching","container-title":"Molecular Microbiology","abstract":"Escherichia coli cells lacking low-molecular-weight penicillin-binding proteins (LMW PBPs) exhibit morphological alterations that also appear when the septal protein FtsZ is mislocalized, suggesting that peptidoglycan modification and division may work together to produce cell shape. We found that in strains lacking PBP5 and other LMW PBPs, higher FtsZ concentrations increased the frequency of branched cells and incorrectly oriented Z rings by 10- to 15-fold. Invagination of these rings produced improperly oriented septa, which in turn gave rise to asymmetric cell poles that eventually elongated into branches. Branches always originated from the remnants of abnormal septation events, cementing the relationship between aberrant cell division and branch formation. In the absence of PBP5, PBP6 and DacD localized to nascent septa, suggesting that these PBPs can partially substitute for the loss of PBP5. We propose that branching begins when mislocalized FtsZ triggers the insertion of inert peptidoglycan at unusual positions during cell division. Only later, after normal cell wall elongation separates the patches, do branches become visible. Thus, a relationship between the LMW PBPs and cytoplasmic FtsZ ultimately affects cell division and overall shape.","URL":"http://www.ncbi.nlm.nih.gov/pubmed/22390731","DOI":"10.1111/j.1365-2958.2012.08023.x","note":"PMID: 22390731","author":[{"family":"Potluri","given":"Lakshmi-Prasad"},{"family":"de Pedro","given":"Miguel A"},{"family":"Young","given":"Kevin D"}],"issued":{"year":2012,"month":3,"day":5},"accessed":{"year":2012,"month":4,"day":2}}}],"schema":"https://github.com/citation-style-language/schema/raw/master/csl-citation.json"} </w:instrText>
      </w:r>
      <w:r w:rsidRPr="00C00F77">
        <w:rPr>
          <w:rFonts w:ascii="Times New Roman" w:hAnsi="Times New Roman" w:cs="Times New Roman"/>
          <w:color w:val="000000" w:themeColor="text1"/>
          <w:sz w:val="24"/>
          <w:szCs w:val="24"/>
        </w:rPr>
        <w:fldChar w:fldCharType="separate"/>
      </w:r>
      <w:r w:rsidRPr="00C00F77">
        <w:rPr>
          <w:rFonts w:ascii="Times New Roman" w:hAnsi="Times New Roman" w:cs="Times New Roman"/>
          <w:color w:val="000000" w:themeColor="text1"/>
          <w:sz w:val="24"/>
          <w:szCs w:val="21"/>
        </w:rPr>
        <w:t xml:space="preserve">(Kruse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xml:space="preserve">., 2003; Figge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xml:space="preserve">., 2004; Feucht and Errington, 2005; Potluri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2012)</w:t>
      </w:r>
      <w:r w:rsidRPr="00C00F77">
        <w:rPr>
          <w:rFonts w:ascii="Times New Roman" w:hAnsi="Times New Roman" w:cs="Times New Roman"/>
          <w:color w:val="000000" w:themeColor="text1"/>
          <w:sz w:val="24"/>
          <w:szCs w:val="24"/>
        </w:rPr>
        <w:fldChar w:fldCharType="end"/>
      </w:r>
      <w:r w:rsidRPr="00C00F77">
        <w:rPr>
          <w:rFonts w:ascii="Times New Roman" w:hAnsi="Times New Roman" w:cs="Times New Roman"/>
          <w:color w:val="000000" w:themeColor="text1"/>
          <w:sz w:val="24"/>
          <w:szCs w:val="24"/>
        </w:rPr>
        <w:t xml:space="preserve">. However, bacteria are morphologically diverse and it is essential to look beyond rod-shaped organisms in order to fully understand the mechanisms of morphogenesis in bacteria, and to identify clinically appropriate targets to treat the broad range of bacterial </w:t>
      </w:r>
      <w:r w:rsidRPr="00C00F77">
        <w:rPr>
          <w:rFonts w:ascii="Times New Roman" w:hAnsi="Times New Roman" w:cs="Times New Roman"/>
          <w:color w:val="000000" w:themeColor="text1"/>
          <w:sz w:val="24"/>
          <w:szCs w:val="24"/>
        </w:rPr>
        <w:lastRenderedPageBreak/>
        <w:t>pathogens. Recent studies have begun to redress the balance by examin</w:t>
      </w:r>
      <w:r>
        <w:rPr>
          <w:rFonts w:ascii="Times New Roman" w:hAnsi="Times New Roman" w:cs="Times New Roman"/>
          <w:color w:val="000000" w:themeColor="text1"/>
          <w:sz w:val="24"/>
          <w:szCs w:val="24"/>
        </w:rPr>
        <w:t>ing</w:t>
      </w:r>
      <w:r w:rsidRPr="00C00F77">
        <w:rPr>
          <w:rFonts w:ascii="Times New Roman" w:hAnsi="Times New Roman" w:cs="Times New Roman"/>
          <w:color w:val="000000" w:themeColor="text1"/>
          <w:sz w:val="24"/>
          <w:szCs w:val="24"/>
        </w:rPr>
        <w:t xml:space="preserve"> morphogenesis in organisms with spherical shape (cocci) and oval shape (“ovococci”) </w:t>
      </w:r>
      <w:r w:rsidRPr="00C00F77">
        <w:rPr>
          <w:rFonts w:ascii="Times New Roman" w:hAnsi="Times New Roman" w:cs="Times New Roman"/>
          <w:color w:val="000000" w:themeColor="text1"/>
          <w:sz w:val="24"/>
          <w:szCs w:val="24"/>
        </w:rPr>
        <w:fldChar w:fldCharType="begin"/>
      </w:r>
      <w:r w:rsidRPr="00C00F77">
        <w:rPr>
          <w:rFonts w:ascii="Times New Roman" w:hAnsi="Times New Roman" w:cs="Times New Roman"/>
          <w:color w:val="000000" w:themeColor="text1"/>
          <w:sz w:val="24"/>
          <w:szCs w:val="24"/>
        </w:rPr>
        <w:instrText xml:space="preserve"> ADDIN ZOTERO_ITEM CSL_CITATION {"citationID":"1vc7u24m0s","properties":{"formattedCitation":"{\\rtf (Zapun et al., 2008; Andre et al., 2010; Turner et al., 2010; P\\uc0\\u233{}rez-N\\uc0\\u250{}\\uc0\\u241{}ez et al., 2011)}","plainCitation":"(Zapun et al., 2008; Andre et al., 2010; Turner et al., 2010; Pérez-Núñez et al., 2011)"},"citationItems":[{"id":87,"uris":["http://zotero.org/users/944474/items/N52MZFST"],"uri":["http://zotero.org/users/944474/items/N52MZFST"],"itemData":{"id":87,"type":"article-journal","title":"The different shapes of cocci","container-title":"FEMS Microbiology Reviews","page":"345-360","volume":"32","issue":"2","abstract":"The shape of bacteria is determined by their cell wall and can be very diverse. Even among genera with the suffix 'cocci', which are the focus of this review, different shapes exist. While staphylococci or Neisseria cells, for example, are truly round-shaped, streptococci, lactococci or enterococci have an ovoid shape. Interestingly, there seems to be a correlation between the shape of an organism and its set of penicillin-binding proteins--the enzymes that assemble the peptidoglycan, the main constituent of the cell wall. While only one peptidoglycan biosynthesis machinery seems to exist in staphylococci, two of these machineries are proposed to function in ovoid-shaped bacteria, reinforcing the intrinsic differences regarding the morphogenesis of different classes of cocci. The present review aims to integrate older ultra-structural data with recent localization studies, in order to clarify the relation between the mechanisms of cell wall synthesis and the determination of cell shape in various cocci.","DOI":"10.1111/j.1574-6976.2007.00098.x","note":"PMID: 18266741","journalAbbreviation":"FEMS Microbiol. Rev.","author":[{"family":"Zapun","given":"André"},{"family":"Vernet","given":"Thierry"},{"family":"Pinho","given":"Mariana G"}],"issued":{"year":2008,"month":3},"accessed":{"year":2012,"month":4,"day":2}}},{"id":92,"uris":["http://zotero.org/users/944474/items/HJM9TTUJ"],"uri":["http://zotero.org/users/944474/items/HJM9TTUJ"],"itemData":{"id":92,"type":"article-journal","title":"Imaging the nanoscale organization of peptidoglycan in living Lactococcus lactis cells","container-title":"Nature Communications","page":"27","volume":"1","abstract":"The spatial organization of peptidoglycan, the major constituent of bacterial cell-walls, is an important, yet still unsolved issue in microbiology. In this paper, we show that the combined use of atomic force microscopy and cell wall mutants is a powerful platform for probing the nanoscale architecture of cell wall peptidoglycan in living Gram-positive bacteria. Using topographic imaging, we found that Lactococcus lactis wild-type cells display a smooth, featureless surface morphology, whereas mutant strains lacking cell wall exopolysaccharides feature 25-nm-wide periodic bands running parallel to the short axis of the cell. In addition, we used single-molecule recognition imaging to show that parallel bands are made of peptidoglycan. Our data, obtained for the first time on living ovococci, argue for an architectural feature of the cell wall in the plane perpendicular to the long axis of the cell. The non-invasive live cell experiments presented here open new avenues for understanding the architecture and assembly of peptidoglycan in Gram-positive bacteria.","DOI":"10.1038/ncomms1027","note":"PMID: 20975688","journalAbbreviation":"Nat Commun","author":[{"family":"Andre","given":"Guillaume"},{"family":"Kulakauskas","given":"Saulius"},{"family":"Chapot-Chartier","given":"Marie-Pierre"},{"family":"Navet","given":"Benjamine"},{"family":"Deghorain","given":"Marie"},{"family":"Bernard","given":"Elvis"},{"family":"Hols","given":"Pascal"},{"family":"Dufrêne","given":"Yves F"}],"issued":{"year":2010},"accessed":{"year":2012,"month":4,"day":2}}},{"id":45,"uris":["http://zotero.org/users/944474/items/G32WSWAT"],"uri":["http://zotero.org/users/944474/items/G32WSWAT"],"itemData":{"id":45,"type":"article-journal","title":"Peptidoglycan architecture can specify division planes in Staphylococcus aureus","container-title":"Nature Communications","page":"26","volume":"1","abstract":"Division in Staphylococci occurs equatorially and on specific sequentially orthogonal planes in three dimensions, resulting, after incomplete cell separation, in the 'bunch of grapes' cluster organization that defines the genus. The shape of Staphylococci is principally maintained by peptidoglycan. In this study, we use Atomic Force Microscopy (AFM) and fluorescence microscopy with vancomycin labelling to examine purified peptidoglycan architecture and its dynamics in Staphylococcus aureus and correlate these with the cell cycle. At the presumptive septum, cells were found to form a large belt of peptidoglycan in the division plane before the centripetal formation of the septal disc; this often had a 'piecrust' texture. After division, the structures remain as orthogonal ribs, encoding the location of past division planes in the cell wall. We propose that this epigenetic information is used to enable S. aureus to divide in sequentially orthogonal planes, explaining how a spherical organism can maintain division plane localization with fidelity over many generations.","DOI":"10.1038/ncomms1025","note":"PMID: 20975691","journalAbbreviation":"Nat Commun","author":[{"family":"Turner","given":"Robert D"},{"family":"Ratcliffe","given":"Emma C"},{"family":"Wheeler","given":"Richard"},{"family":"Golestanian","given":"Ramin"},{"family":"Hobbs","given":"Jamie K"},{"family":"Foster","given":"Simon J"}],"issued":{"year":2010},"accessed":{"year":2012,"month":3,"day":6}}},{"id":93,"uris":["http://zotero.org/users/944474/items/IU5HEDB6"],"uri":["http://zotero.org/users/944474/items/IU5HEDB6"],"itemData":{"id":93,"type":"article-journal","title":"A new morphogenesis pathway in bacteria: unbalanced activity of cell wall synthesis machineries leads to coccus-to-rod transition and filamentation in ovococci","container-title":"Molecular Microbiology","page":"759-771","volume":"79","issue":"3","abstract":"Bacteria display a variety of shapes, which have biological relevance. In most eubacteria, cell shape is maintained by the tough peptidoglycan (PG) layer of the cell wall, the sacculus. The organization of PG synthesis machineries, orchestrated by different cytoskeletal elements, determines the specific shapes of sacculi. In rod-shaped bacteria, the actin-like (MreB) and the tubuline-like (FtsZ) cytoskeletons control synthesis of the sidewall (elongation) and the crosswall (septation) respectively. Much less is known concerning cell morphogenesis in cocci, which lack MreB proteins. While spherical cocci</w:instrText>
      </w:r>
      <w:r w:rsidRPr="00A31CBF">
        <w:rPr>
          <w:rFonts w:ascii="Times New Roman" w:hAnsi="Times New Roman" w:cs="Times New Roman"/>
          <w:color w:val="000000" w:themeColor="text1"/>
          <w:sz w:val="24"/>
          <w:szCs w:val="24"/>
          <w:lang w:val="de-DE"/>
        </w:rPr>
        <w:instrText xml:space="preserve"> exclusively display septal growth, ovococci additionally display peripheral growth, which is responsible of the slight longitudinal expansion that generates their ovoid shape. Here, we report that the ovococcus Lactococcus lactis has the ability to become rod-shaped. L. lactis IL1403 wild-type cells form long aseptate filaments during both biofilm and planktonic growth in a synthetic medium. Nascent PG insertion and the division protein FtsK localize in multiple peripheral rings regularly spaced along the filaments. We show that filamentation results from septation inhibition, and that penicillin-binding proteins PBP2x and PBP2b play a direct role in this process. We propose a model for filament formation in L. lactis, and discuss the possible biological role of such morphological differentiation.","DOI":"10.1111/j.1365-2958.2010.07483.x","note":"PMID: 21255117","shortTitle":"A new morphogenesis pathway in bacteria","journalAbbreviation":"Mol. Microbiol.","author":[{"family":"Pérez-Núñez","given":"Daniel"},{"family":"Briandet","given":"Romain"},{"family":"David","given":"Blandine"},{"family":"Gautier","given":"Céline"},{"family":"Renault","given":"Pierre"},{"family":"Hallet","given":"Bernard"},{"family":"Hols","given":"Pascal"},{"family":"Carballido-López","given":"Rut"},{"family":"Guédon","given":"Eric"}],"issued":{"year":2011,"month":2},"accessed":{"year":2012,"month":4,"day":2}}}],"schema":"https://github.com/citation-style-language/schema/raw/master/csl-citation.json"} </w:instrText>
      </w:r>
      <w:r w:rsidRPr="00C00F77">
        <w:rPr>
          <w:rFonts w:ascii="Times New Roman" w:hAnsi="Times New Roman" w:cs="Times New Roman"/>
          <w:color w:val="000000" w:themeColor="text1"/>
          <w:sz w:val="24"/>
          <w:szCs w:val="24"/>
        </w:rPr>
        <w:fldChar w:fldCharType="separate"/>
      </w:r>
      <w:r w:rsidRPr="00A31CBF">
        <w:rPr>
          <w:rFonts w:ascii="Times New Roman" w:hAnsi="Times New Roman" w:cs="Times New Roman"/>
          <w:color w:val="000000" w:themeColor="text1"/>
          <w:sz w:val="24"/>
          <w:szCs w:val="24"/>
          <w:lang w:val="de-DE"/>
        </w:rPr>
        <w:t xml:space="preserve">(Zapun </w:t>
      </w:r>
      <w:r w:rsidRPr="00A31CBF">
        <w:rPr>
          <w:rFonts w:ascii="Times New Roman" w:hAnsi="Times New Roman" w:cs="Times New Roman"/>
          <w:i/>
          <w:color w:val="000000" w:themeColor="text1"/>
          <w:sz w:val="24"/>
          <w:szCs w:val="24"/>
          <w:lang w:val="de-DE"/>
        </w:rPr>
        <w:t>et al</w:t>
      </w:r>
      <w:r w:rsidRPr="00A31CBF">
        <w:rPr>
          <w:rFonts w:ascii="Times New Roman" w:hAnsi="Times New Roman" w:cs="Times New Roman"/>
          <w:color w:val="000000" w:themeColor="text1"/>
          <w:sz w:val="24"/>
          <w:szCs w:val="24"/>
          <w:lang w:val="de-DE"/>
        </w:rPr>
        <w:t xml:space="preserve">., 2008; Andre </w:t>
      </w:r>
      <w:r w:rsidRPr="00A31CBF">
        <w:rPr>
          <w:rFonts w:ascii="Times New Roman" w:hAnsi="Times New Roman" w:cs="Times New Roman"/>
          <w:i/>
          <w:color w:val="000000" w:themeColor="text1"/>
          <w:sz w:val="24"/>
          <w:szCs w:val="24"/>
          <w:lang w:val="de-DE"/>
        </w:rPr>
        <w:t>et al</w:t>
      </w:r>
      <w:r w:rsidRPr="00A31CBF">
        <w:rPr>
          <w:rFonts w:ascii="Times New Roman" w:hAnsi="Times New Roman" w:cs="Times New Roman"/>
          <w:color w:val="000000" w:themeColor="text1"/>
          <w:sz w:val="24"/>
          <w:szCs w:val="24"/>
          <w:lang w:val="de-DE"/>
        </w:rPr>
        <w:t xml:space="preserve">., 2010; Turner </w:t>
      </w:r>
      <w:r w:rsidRPr="00A31CBF">
        <w:rPr>
          <w:rFonts w:ascii="Times New Roman" w:hAnsi="Times New Roman" w:cs="Times New Roman"/>
          <w:i/>
          <w:color w:val="000000" w:themeColor="text1"/>
          <w:sz w:val="24"/>
          <w:szCs w:val="24"/>
          <w:lang w:val="de-DE"/>
        </w:rPr>
        <w:t>et al</w:t>
      </w:r>
      <w:r w:rsidRPr="00A31CBF">
        <w:rPr>
          <w:rFonts w:ascii="Times New Roman" w:hAnsi="Times New Roman" w:cs="Times New Roman"/>
          <w:color w:val="000000" w:themeColor="text1"/>
          <w:sz w:val="24"/>
          <w:szCs w:val="24"/>
          <w:lang w:val="de-DE"/>
        </w:rPr>
        <w:t xml:space="preserve">., 2010; Pérez-Núñez </w:t>
      </w:r>
      <w:r w:rsidRPr="00A31CBF">
        <w:rPr>
          <w:rFonts w:ascii="Times New Roman" w:hAnsi="Times New Roman" w:cs="Times New Roman"/>
          <w:i/>
          <w:color w:val="000000" w:themeColor="text1"/>
          <w:sz w:val="24"/>
          <w:szCs w:val="24"/>
          <w:lang w:val="de-DE"/>
        </w:rPr>
        <w:t>et al</w:t>
      </w:r>
      <w:r w:rsidRPr="00A31CBF">
        <w:rPr>
          <w:rFonts w:ascii="Times New Roman" w:hAnsi="Times New Roman" w:cs="Times New Roman"/>
          <w:color w:val="000000" w:themeColor="text1"/>
          <w:sz w:val="24"/>
          <w:szCs w:val="24"/>
          <w:lang w:val="de-DE"/>
        </w:rPr>
        <w:t>., 2011)</w:t>
      </w:r>
      <w:r w:rsidRPr="00C00F77">
        <w:rPr>
          <w:rFonts w:ascii="Times New Roman" w:hAnsi="Times New Roman" w:cs="Times New Roman"/>
          <w:color w:val="000000" w:themeColor="text1"/>
          <w:sz w:val="24"/>
          <w:szCs w:val="24"/>
        </w:rPr>
        <w:fldChar w:fldCharType="end"/>
      </w:r>
      <w:r w:rsidRPr="00A31CBF">
        <w:rPr>
          <w:rFonts w:ascii="Times New Roman" w:hAnsi="Times New Roman" w:cs="Times New Roman"/>
          <w:color w:val="000000" w:themeColor="text1"/>
          <w:sz w:val="24"/>
          <w:szCs w:val="24"/>
          <w:lang w:val="de-DE"/>
        </w:rPr>
        <w:t xml:space="preserve">. </w:t>
      </w:r>
      <w:r w:rsidRPr="00C00F77">
        <w:rPr>
          <w:rFonts w:ascii="Times New Roman" w:hAnsi="Times New Roman" w:cs="Times New Roman"/>
          <w:color w:val="000000" w:themeColor="text1"/>
          <w:sz w:val="24"/>
          <w:szCs w:val="24"/>
        </w:rPr>
        <w:t>This chapter is concerned with morphogenesis in ovococcal bacteria.</w:t>
      </w:r>
    </w:p>
    <w:p w:rsidR="002D7C9B" w:rsidRDefault="002D7C9B" w:rsidP="002D7C9B">
      <w:pPr>
        <w:tabs>
          <w:tab w:val="left" w:pos="5745"/>
        </w:tabs>
        <w:spacing w:line="480" w:lineRule="auto"/>
        <w:jc w:val="both"/>
        <w:rPr>
          <w:rFonts w:ascii="Times New Roman" w:hAnsi="Times New Roman" w:cs="Times New Roman"/>
          <w:sz w:val="24"/>
          <w:szCs w:val="24"/>
        </w:rPr>
        <w:sectPr w:rsidR="002D7C9B" w:rsidSect="002D7C9B">
          <w:footerReference w:type="default" r:id="rId32"/>
          <w:pgSz w:w="11906" w:h="16838"/>
          <w:pgMar w:top="1440" w:right="1134" w:bottom="1440" w:left="2268" w:header="709" w:footer="709" w:gutter="0"/>
          <w:pgNumType w:start="83"/>
          <w:cols w:space="708"/>
          <w:docGrid w:linePitch="360"/>
        </w:sectPr>
      </w:pPr>
      <w:r w:rsidRPr="00C00F77">
        <w:rPr>
          <w:rFonts w:ascii="Times New Roman" w:hAnsi="Times New Roman" w:cs="Times New Roman"/>
          <w:color w:val="000000" w:themeColor="text1"/>
          <w:sz w:val="24"/>
          <w:szCs w:val="24"/>
        </w:rPr>
        <w:t>Following the early characterisation of ovococcal cell walls by Tomasz, Shockman</w:t>
      </w:r>
      <w:r>
        <w:rPr>
          <w:rFonts w:ascii="Times New Roman" w:hAnsi="Times New Roman" w:cs="Times New Roman"/>
          <w:color w:val="000000" w:themeColor="text1"/>
          <w:sz w:val="24"/>
          <w:szCs w:val="24"/>
        </w:rPr>
        <w:t xml:space="preserve"> and</w:t>
      </w:r>
      <w:r w:rsidRPr="00C00F77">
        <w:rPr>
          <w:rFonts w:ascii="Times New Roman" w:hAnsi="Times New Roman" w:cs="Times New Roman"/>
          <w:color w:val="000000" w:themeColor="text1"/>
          <w:sz w:val="24"/>
          <w:szCs w:val="24"/>
        </w:rPr>
        <w:t xml:space="preserve"> Higgins (Chapter 1.5.2.3), investigation of peptidoglycan architecture in ovococcal species has remained scarce. Two factors have likely contributed; the functional ambiguity of the two biosynthetic machineries in cell growth (Chapter 1.5.2.3), and a dearth of techniques capable of investigating the </w:t>
      </w:r>
      <w:r w:rsidRPr="00C00F77">
        <w:rPr>
          <w:rFonts w:ascii="Times New Roman" w:hAnsi="Times New Roman" w:cs="Times New Roman"/>
          <w:i/>
          <w:color w:val="000000" w:themeColor="text1"/>
          <w:sz w:val="24"/>
          <w:szCs w:val="24"/>
        </w:rPr>
        <w:t xml:space="preserve">in vivo </w:t>
      </w:r>
      <w:r w:rsidRPr="00C00F77">
        <w:rPr>
          <w:rFonts w:ascii="Times New Roman" w:hAnsi="Times New Roman" w:cs="Times New Roman"/>
          <w:color w:val="000000" w:themeColor="text1"/>
          <w:sz w:val="24"/>
          <w:szCs w:val="24"/>
        </w:rPr>
        <w:t xml:space="preserve">architecture of the complex peptidoglycan macromolecule. Recently, the advent of microscopy techniques capable of nanometre scale resolution has opened the possibility of directly visualising the nanoscale architecture of bacterial cell walls, including atomic force microscopy (AFM), and the super-resolution fluorescence microscopies, STED, 3D-SIM and PALM/STORM </w:t>
      </w:r>
      <w:r w:rsidRPr="00C00F77">
        <w:rPr>
          <w:rFonts w:ascii="Times New Roman" w:hAnsi="Times New Roman" w:cs="Times New Roman"/>
          <w:color w:val="000000" w:themeColor="text1"/>
          <w:sz w:val="24"/>
          <w:szCs w:val="24"/>
        </w:rPr>
        <w:fldChar w:fldCharType="begin"/>
      </w:r>
      <w:r w:rsidRPr="00C00F77">
        <w:rPr>
          <w:rFonts w:ascii="Times New Roman" w:hAnsi="Times New Roman" w:cs="Times New Roman"/>
          <w:color w:val="000000" w:themeColor="text1"/>
          <w:sz w:val="24"/>
          <w:szCs w:val="24"/>
        </w:rPr>
        <w:instrText xml:space="preserve"> ADDIN ZOTERO_ITEM CSL_CITATION {"citationID":"2ah0neq59u","properties":{"formattedCitation":"(Binnig et al., 1986; Huang et al., 2010)","plainCitation":"(Binnig et al., 1986; Huang et al., 2010)"},"citationItems":[{"id":94,"uris":["http://zotero.org/users/944474/items/FTG7WNUI"],"uri":["http://zotero.org/users/944474/items/FTG7WNUI"],"itemData":{"id":94,"type":"article-journal","title":"Atomic force microscope","container-title":"Physical Review Letters","page":"930-933","volume":"56","issue":"9","note":"PMID: 10033323","journalAbbreviation":"Phys. Rev. Lett.","author":[{"family":"Binnig","given":""},{"family":"Quate","given":""},{"family":"Gerber","given":""}],"issued":{"year":1986,"month":3,"day":3},"accessed":{"year":2012,"month":4,"day":2}}},{"id":95,"uris":["http://zotero.org/users/944474/items/KU3TCQTI"],"uri":["http://zotero.org/users/944474/items/KU3TCQTI"],"itemData":{"id":95,"type":"article-journal","title":"Breaking the diffraction barrier: super-resolution imaging of cells","container-title":"Cell","page":"1047-1058","volume":"143","issue":"7","abstract":"Anyone who has used a light microscope has wished that its resolution could be a little better. Now, after centuries of gradual improvements, fluorescence microscopy has made a quantum leap in its resolving power due, in large part, to advancements over the past several years in a new area of research called super-resolution fluorescence microscopy. In this Primer, we explain the principles of various super-resolution approaches, such as STED, (S)SIM, and STORM/(F)PALM. Then, we describe recent applications of super-resolution microscopy in cells, which demonstrate how these approaches are beginning to provide new insights into cell biology, microbiology, and neurobiology.","DOI":"10.1016/j.cell.2010.12.002","note":"PMID: 21168201","shortTitle":"Breaking the diffraction barrier","journalAbbreviation":"Cell","author":[{"family":"Huang","given":"Bo"},{"family":"Babcock","given":"Hazen"},{"family":"Zhuang","given":"Xiaowei"}],"issued":{"year":2010,"month":12,"day":23},"accessed":{"year":2012,"month":4,"day":2}}}],"schema":"https://github.com/citation-style-language/schema/raw/master/csl-citation.json"} </w:instrText>
      </w:r>
      <w:r w:rsidRPr="00C00F77">
        <w:rPr>
          <w:rFonts w:ascii="Times New Roman" w:hAnsi="Times New Roman" w:cs="Times New Roman"/>
          <w:color w:val="000000" w:themeColor="text1"/>
          <w:sz w:val="24"/>
          <w:szCs w:val="24"/>
        </w:rPr>
        <w:fldChar w:fldCharType="separate"/>
      </w:r>
      <w:r w:rsidRPr="00C00F77">
        <w:rPr>
          <w:rFonts w:ascii="Times New Roman" w:hAnsi="Times New Roman" w:cs="Times New Roman"/>
          <w:color w:val="000000" w:themeColor="text1"/>
          <w:sz w:val="24"/>
          <w:szCs w:val="21"/>
        </w:rPr>
        <w:t xml:space="preserve">(Binnig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xml:space="preserve">., 1986; Huang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2010)</w:t>
      </w:r>
      <w:r w:rsidRPr="00C00F77">
        <w:rPr>
          <w:rFonts w:ascii="Times New Roman" w:hAnsi="Times New Roman" w:cs="Times New Roman"/>
          <w:color w:val="000000" w:themeColor="text1"/>
          <w:sz w:val="24"/>
          <w:szCs w:val="24"/>
        </w:rPr>
        <w:fldChar w:fldCharType="end"/>
      </w:r>
      <w:r w:rsidRPr="00C00F77">
        <w:rPr>
          <w:rFonts w:ascii="Times New Roman" w:hAnsi="Times New Roman" w:cs="Times New Roman"/>
          <w:color w:val="000000" w:themeColor="text1"/>
          <w:sz w:val="24"/>
          <w:szCs w:val="24"/>
        </w:rPr>
        <w:t>. At present the most mature and broadly applied of these techniques for microbial research is AFM</w:t>
      </w:r>
      <w:r>
        <w:rPr>
          <w:rFonts w:ascii="Times New Roman" w:hAnsi="Times New Roman" w:cs="Times New Roman"/>
          <w:color w:val="000000" w:themeColor="text1"/>
          <w:sz w:val="24"/>
          <w:szCs w:val="24"/>
        </w:rPr>
        <w:t>.</w:t>
      </w:r>
      <w:r w:rsidRPr="00C00F77">
        <w:rPr>
          <w:rFonts w:ascii="Times New Roman" w:hAnsi="Times New Roman" w:cs="Times New Roman"/>
          <w:color w:val="000000" w:themeColor="text1"/>
          <w:sz w:val="24"/>
          <w:szCs w:val="24"/>
        </w:rPr>
        <w:t xml:space="preserve"> A schematic describing AFM imaging is presented in Figure 3.1 </w:t>
      </w:r>
      <w:r w:rsidRPr="00C00F77">
        <w:rPr>
          <w:rFonts w:ascii="Times New Roman" w:hAnsi="Times New Roman" w:cs="Times New Roman"/>
          <w:color w:val="000000" w:themeColor="text1"/>
          <w:sz w:val="24"/>
          <w:szCs w:val="24"/>
        </w:rPr>
        <w:fldChar w:fldCharType="begin"/>
      </w:r>
      <w:r w:rsidRPr="00C00F77">
        <w:rPr>
          <w:rFonts w:ascii="Times New Roman" w:hAnsi="Times New Roman" w:cs="Times New Roman"/>
          <w:color w:val="000000" w:themeColor="text1"/>
          <w:sz w:val="24"/>
          <w:szCs w:val="24"/>
        </w:rPr>
        <w:instrText xml:space="preserve"> ADDIN ZOTERO_ITEM CSL_CITATION {"citationID":"2pacpntbj0","properties":{"formattedCitation":"(Dorobantu and Gray, 2010)","plainCitation":"(Dorobantu and Gray, 2010)"},"citationItems":[{"id":96,"uris":["http://zotero.org/users/944474/items/TWGCZVMD"],"uri":["http://zotero.org/users/944474/items/TWGCZVMD"],"itemData":{"id":96,"type":"article-journal","title":"Application of atomic force microscopy in bacterial research","container-title":"Scanning","page":"74-96","volume":"32","issue":"2","abstract":"The atomic force microscope (AFM) has evolved from an imaging device into a multifunctional and powerful toolkit for probing the nanostructures and surface components on the exterior of bacterial cells. Currently, the area of application spans a broad range of interesting fields from materials sciences, in which AFM has been used to deposit patterns of thiol-functionalized molecules onto gold substrates, to biological sciences, in which AFM has been employed to study the undesirable bacterial adhesion to implants and catheters or the essential bacterial adhesion to contaminated soil or aquifers. The unique attribute of AFM is the ability to image bacterial surface features, to measure interaction forces of functionalized probes with these features, and to manipulate these features, for example, by measuring elongation forces under physiological conditions and at high lateral resolution (&lt;1 A). The first imaging studies showed the morphology of various biomolecules followed by rapid progress in visualizing whole bacterial cells. The AFM technique gradually developed into a lab-on-a-tip allowing more quantitative analysis of bacterial samples in aqueous liquids and non-contact modes. Recently, force spectroscopy modes, such as chemical force microscopy, single-cell force spectroscopy, and single-molecule force spectroscopy, have been used to map the spatial arrangement of chemical groups and electrical charges on bacterial surfaces, to measure cell-cell interactions, and to stretch biomolecules. In this review, we present the fascinating options offered by the rapid advances in AFM with emphasizes on bacterial research and provide a background for the exciting research articles to follow.","DOI":"10.1002/sca.20177","note":"PMID: 20695026","journalAbbreviation":"Scanning","author":[{"family":"Dorobantu","given":"Loredana S"},{"family":"Gray","given":"Murray R"}],"issued":{"year":2010,"month":4},"accessed":{"year":2012,"month":4,"day":2}}}],"schema":"https://github.com/citation-style-language/schema/raw/master/csl-citation.json"} </w:instrText>
      </w:r>
      <w:r w:rsidRPr="00C00F77">
        <w:rPr>
          <w:rFonts w:ascii="Times New Roman" w:hAnsi="Times New Roman" w:cs="Times New Roman"/>
          <w:color w:val="000000" w:themeColor="text1"/>
          <w:sz w:val="24"/>
          <w:szCs w:val="24"/>
        </w:rPr>
        <w:fldChar w:fldCharType="separate"/>
      </w:r>
      <w:r w:rsidRPr="00C00F77">
        <w:rPr>
          <w:rFonts w:ascii="Times New Roman" w:hAnsi="Times New Roman" w:cs="Times New Roman"/>
          <w:color w:val="000000" w:themeColor="text1"/>
          <w:sz w:val="24"/>
          <w:szCs w:val="21"/>
        </w:rPr>
        <w:t>(Dorobantu and Gray, 2010)</w:t>
      </w:r>
      <w:r w:rsidRPr="00C00F77">
        <w:rPr>
          <w:rFonts w:ascii="Times New Roman" w:hAnsi="Times New Roman" w:cs="Times New Roman"/>
          <w:color w:val="000000" w:themeColor="text1"/>
          <w:sz w:val="24"/>
          <w:szCs w:val="24"/>
        </w:rPr>
        <w:fldChar w:fldCharType="end"/>
      </w:r>
      <w:r w:rsidRPr="00C00F77">
        <w:rPr>
          <w:rFonts w:ascii="Times New Roman" w:hAnsi="Times New Roman" w:cs="Times New Roman"/>
          <w:color w:val="000000" w:themeColor="text1"/>
          <w:sz w:val="24"/>
          <w:szCs w:val="24"/>
        </w:rPr>
        <w:t xml:space="preserve">. However few studies have applied this technique to the cell wall architecture of ovococci. Analysis of the surface architecture of living </w:t>
      </w:r>
      <w:r w:rsidRPr="00C00F77">
        <w:rPr>
          <w:rFonts w:ascii="Times New Roman" w:hAnsi="Times New Roman" w:cs="Times New Roman"/>
          <w:i/>
          <w:color w:val="000000" w:themeColor="text1"/>
          <w:sz w:val="24"/>
          <w:szCs w:val="24"/>
        </w:rPr>
        <w:t>Lactococcus lactis</w:t>
      </w:r>
      <w:r w:rsidRPr="00C00F77">
        <w:rPr>
          <w:rFonts w:ascii="Times New Roman" w:hAnsi="Times New Roman" w:cs="Times New Roman"/>
          <w:color w:val="000000" w:themeColor="text1"/>
          <w:sz w:val="24"/>
          <w:szCs w:val="24"/>
        </w:rPr>
        <w:t xml:space="preserve"> cells by AFM revealed the presence on the cell surface of approximately 25 nm wide bands running around the short axis of the cell, parallel to the plasma membrane </w:t>
      </w:r>
      <w:r w:rsidRPr="00C00F77">
        <w:rPr>
          <w:rFonts w:ascii="Times New Roman" w:hAnsi="Times New Roman" w:cs="Times New Roman"/>
          <w:color w:val="000000" w:themeColor="text1"/>
          <w:sz w:val="24"/>
          <w:szCs w:val="24"/>
        </w:rPr>
        <w:fldChar w:fldCharType="begin"/>
      </w:r>
      <w:r w:rsidRPr="00C00F77">
        <w:rPr>
          <w:rFonts w:ascii="Times New Roman" w:hAnsi="Times New Roman" w:cs="Times New Roman"/>
          <w:color w:val="000000" w:themeColor="text1"/>
          <w:sz w:val="24"/>
          <w:szCs w:val="24"/>
        </w:rPr>
        <w:instrText xml:space="preserve"> ADDIN ZOTERO_ITEM CSL_CITATION {"citationID":"1b41qmrck1","properties":{"formattedCitation":"(Andre et al., 2010)","plainCitation":"(Andre et al., 2010)"},"citationItems":[{"id":92,"uris":["http://zotero.org/users/944474/items/HJM9TTUJ"],"uri":["http://zotero.org/users/944474/items/HJM9TTUJ"],"itemData":{"id":92,"type":"article-journal","title":"Imaging the nanoscale organization of peptidoglycan in living Lactococcus lactis cells","container-title":"Nature Communications","page":"27","volume":"1","abstract":"The spatial organization of peptidoglycan, the major constituent of bacterial cell-walls, is an important, yet still unsolved issue in microbiology. In this paper, we show that the combined use of atomic force microscopy and cell wall mutants is a powerful platform for probing the nanoscale architecture of cell wall peptidoglycan in living Gram-positive bacteria. Using topographic imaging, we found that Lactococcus lactis wild-type cells display a smooth, featureless surface morphology, whereas mutant strains lacking cell wall exopolysaccharides feature 25-nm-wide periodic bands running parallel to the short axis of the cell. In addition, we used single-molecule recognition imaging to show that parallel bands are made of peptidoglycan. Our data, obtained for the first time on living ovococci, argue for an architectural feature of the cell wall in the plane perpendicular to the long axis of the cell. The non-invasive live cell experiments presented here open new avenues for understanding the architecture and assembly of peptidoglycan in Gram-positive bacteria.","DOI":"10.1038/ncomms1027","note":"PMID: 20975688","journalAbbreviation":"Nat Commun","author":[{"family":"Andre","given":"Guillaume"},{"family":"Kulakauskas","given":"Saulius"},{"family":"Chapot-Chartier","given":"Marie-Pierre"},{"family":"Navet","given":"Benjamine"},{"family":"Deghorain","given":"Marie"},{"family":"Bernard","given":"Elvis"},{"family":"Hols","given":"Pascal"},{"family":"Dufrêne","given":"Yves F"}],"issued":{"year":2010},"accessed":{"year":2012,"month":4,"day":2}}}],"schema":"https://github.com/citation-style-language/schema/raw/master/csl-citation.json"} </w:instrText>
      </w:r>
      <w:r w:rsidRPr="00C00F77">
        <w:rPr>
          <w:rFonts w:ascii="Times New Roman" w:hAnsi="Times New Roman" w:cs="Times New Roman"/>
          <w:color w:val="000000" w:themeColor="text1"/>
          <w:sz w:val="24"/>
          <w:szCs w:val="24"/>
        </w:rPr>
        <w:fldChar w:fldCharType="separate"/>
      </w:r>
      <w:r w:rsidRPr="00C00F77">
        <w:rPr>
          <w:rFonts w:ascii="Times New Roman" w:hAnsi="Times New Roman" w:cs="Times New Roman"/>
          <w:color w:val="000000" w:themeColor="text1"/>
          <w:sz w:val="24"/>
          <w:szCs w:val="21"/>
        </w:rPr>
        <w:t xml:space="preserve">(Andre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2010)</w:t>
      </w:r>
      <w:r w:rsidRPr="00C00F77">
        <w:rPr>
          <w:rFonts w:ascii="Times New Roman" w:hAnsi="Times New Roman" w:cs="Times New Roman"/>
          <w:color w:val="000000" w:themeColor="text1"/>
          <w:sz w:val="24"/>
          <w:szCs w:val="24"/>
        </w:rPr>
        <w:fldChar w:fldCharType="end"/>
      </w:r>
      <w:r w:rsidRPr="00C00F77">
        <w:rPr>
          <w:rFonts w:ascii="Times New Roman" w:hAnsi="Times New Roman" w:cs="Times New Roman"/>
          <w:color w:val="000000" w:themeColor="text1"/>
          <w:sz w:val="24"/>
          <w:szCs w:val="24"/>
        </w:rPr>
        <w:t xml:space="preserve">. Single molecule recognition using a LysM functionalised tip indicated the presence of peptidoglycan on these ridges. The authors proposed a planar model of peptidoglycan architecture in ovococci, comprising a single layer of peptidoglycan nanocables arranged as hoops or helices around the short axis of the cell </w:t>
      </w:r>
      <w:r w:rsidRPr="00C00F77">
        <w:rPr>
          <w:rFonts w:ascii="Times New Roman" w:hAnsi="Times New Roman" w:cs="Times New Roman"/>
          <w:color w:val="000000" w:themeColor="text1"/>
          <w:sz w:val="24"/>
          <w:szCs w:val="24"/>
        </w:rPr>
        <w:fldChar w:fldCharType="begin"/>
      </w:r>
      <w:r w:rsidRPr="00C00F77">
        <w:rPr>
          <w:rFonts w:ascii="Times New Roman" w:hAnsi="Times New Roman" w:cs="Times New Roman"/>
          <w:color w:val="000000" w:themeColor="text1"/>
          <w:sz w:val="24"/>
          <w:szCs w:val="24"/>
        </w:rPr>
        <w:instrText xml:space="preserve"> ADDIN ZOTERO_ITEM CSL_CITATION {"citationID":"4mvm03di9","properties":{"formattedCitation":"(Andre et al., 2010; Tripathi et al., 2012)","plainCitation":"(Andre et al., 2010; Tripathi et al., 2012)"},"citationItems":[{"id":92,"uris":["http://zotero.org/users/944474/items/HJM9TTUJ"],"uri":["http://zotero.org/users/944474/items/HJM9TTUJ"],"itemData":{"id":92,"type":"article-journal","title":"Imaging the nanoscale organization of peptidoglycan in living Lactococcus lactis cells","container-title":"Nature Communications","page":"27","volume":"1","abstract":"The spatial organization of peptidoglycan, the major constituent of bacterial cell-walls, is an important, yet still unsolved issue in microbiology. In this paper, we show that the combined use of atomic force microscopy and cell wall mutants is a powerful platform for probing the nanoscale architecture of cell wall peptidoglycan in living Gram-positive bacteria. Using topographic imaging, we found that Lactococcus lactis wild-type cells display a smooth, featureless surface morphology, whereas mutant strains lacking cell wall exopolysaccharides feature 25-nm-wide periodic bands running parallel to the short axis of the cell. In addition, we used single-molecule recognition imaging to show that parallel bands are made of peptidoglycan. Our data, obtained for the first time on living ovococci, argue for an architectural feature of the cell wall in the plane perpendicular to the long axis of the cell. The non-invasive live cell experiments presented here open new avenues for understanding the architecture and assembly of peptidoglycan in Gram-positive bacteria.","DOI":"10.1038/ncomms1027","note":"PMID: 20975688","journalAbbreviation":"Nat Commun","author":[{"family":"Andre","given":"Guillaume"},{"family":"Kulakauskas","given":"Saulius"},{"family":"Chapot-Chartier","given":"Marie-Pierre"},{"family":"Navet","given":"Benjamine"},{"family":"Deghorain","given":"Marie"},{"family":"Bernard","given":"Elvis"},{"family":"Hols","given":"Pascal"},{"family":"Dufrêne","given":"Yves F"}],"issued":{"year":2010},"accessed":{"year":2012,"month":4,"day":2}}},{"id":97,"uris":["http://zotero.org/users/944474/items/TNWR83NI"],"uri":["http://zotero.org/users/944474/items/TNWR83NI"],"itemData":{"id":97,"type":"article-journal","title":"Towards a nanoscale view of lactic acid bacteria","container-title":"Micron (Oxford, England: 1993)","abstract":"Probiotic bacteria have a strong potential in biomedicine owing to their ability to induce various beneficial health effects. Bacterial cell surface constituents play a key role in establishing tight interactions between probiotics and their host. Yet, little is known about the spatial organization and biophysical properties of the individual molecules. In this paper, we discuss how we have been using atomic force microscopy imaging and force spectroscopy to probe the nanoscale surface properties of Gram-positive lactic acid bacteria, with an emphasis on probiotic strains. Topographic imaging has enabled us to visualize bacterial cell surface structures (peptidoglycan, teichoic acids, pili, polysaccharides) under physiological conditions and with unprecedented resolution. In parallel, single-molecule force spectroscopy has been used to localize and force probe single cell surface constituents, providing novel insights into their spatial distribution and molecular elasticity.","URL":"http://www.ncbi.nlm.nih.gov/pubmed/22293169","DOI":"10.1016/j.micron.2012.01.001","note":"PMID: 22293169","author":[{"family":"Tripathi","given":"Prachi"},{"family":"Beaussart","given":"Audrey"},{"family":"Andre","given":"Guillaume"},{"family":"Rolain","given":"Thomas"},{"family":"Lebeer","given":"Sarah"},{"family":"Vanderleyden","given":"Jos"},{"family":"Hols","given":"Pascal"},{"family":"Dufrêne","given":"Yves F"}],"issued":{"year":2012,"month":1,"day":12},"accessed":{"year":2012,"month":4,"day":2}}}],"schema":"https://github.com/citation-style-language/schema/raw/master/csl-citation.json"} </w:instrText>
      </w:r>
      <w:r w:rsidRPr="00C00F77">
        <w:rPr>
          <w:rFonts w:ascii="Times New Roman" w:hAnsi="Times New Roman" w:cs="Times New Roman"/>
          <w:color w:val="000000" w:themeColor="text1"/>
          <w:sz w:val="24"/>
          <w:szCs w:val="24"/>
        </w:rPr>
        <w:fldChar w:fldCharType="separate"/>
      </w:r>
      <w:r w:rsidRPr="00C00F77">
        <w:rPr>
          <w:rFonts w:ascii="Times New Roman" w:hAnsi="Times New Roman" w:cs="Times New Roman"/>
          <w:color w:val="000000" w:themeColor="text1"/>
          <w:sz w:val="24"/>
          <w:szCs w:val="21"/>
        </w:rPr>
        <w:t xml:space="preserve">(Andre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xml:space="preserve">., 2010; Tripathi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2012)</w:t>
      </w:r>
      <w:r w:rsidRPr="00C00F77">
        <w:rPr>
          <w:rFonts w:ascii="Times New Roman" w:hAnsi="Times New Roman" w:cs="Times New Roman"/>
          <w:color w:val="000000" w:themeColor="text1"/>
          <w:sz w:val="24"/>
          <w:szCs w:val="24"/>
        </w:rPr>
        <w:fldChar w:fldCharType="end"/>
      </w:r>
      <w:r w:rsidRPr="00C00F77">
        <w:rPr>
          <w:rFonts w:ascii="Times New Roman" w:hAnsi="Times New Roman" w:cs="Times New Roman"/>
          <w:color w:val="000000" w:themeColor="text1"/>
          <w:sz w:val="24"/>
          <w:szCs w:val="24"/>
        </w:rPr>
        <w:t>.</w:t>
      </w:r>
      <w:r>
        <w:rPr>
          <w:rFonts w:ascii="Times New Roman" w:hAnsi="Times New Roman" w:cs="Times New Roman"/>
          <w:sz w:val="24"/>
          <w:szCs w:val="24"/>
        </w:rPr>
        <w:t xml:space="preserve"> However, the observed architecture may not reflect the </w:t>
      </w:r>
    </w:p>
    <w:p w:rsidR="002D7C9B" w:rsidRDefault="002D7C9B" w:rsidP="002D7C9B">
      <w:pPr>
        <w:rPr>
          <w:rFonts w:ascii="Times New Roman" w:hAnsi="Times New Roman" w:cs="Times New Roman"/>
          <w:color w:val="000000"/>
          <w:sz w:val="28"/>
          <w:szCs w:val="28"/>
        </w:rPr>
      </w:pPr>
      <w:r>
        <w:rPr>
          <w:rFonts w:ascii="Times New Roman" w:hAnsi="Times New Roman" w:cs="Times New Roman"/>
          <w:noProof/>
          <w:color w:val="000000"/>
          <w:sz w:val="28"/>
          <w:szCs w:val="28"/>
          <w:lang w:eastAsia="en-GB"/>
        </w:rPr>
        <w:lastRenderedPageBreak/>
        <w:drawing>
          <wp:inline distT="0" distB="0" distL="0" distR="0">
            <wp:extent cx="5277600" cy="4322512"/>
            <wp:effectExtent l="0" t="0" r="0" b="0"/>
            <wp:docPr id="9" name="Picture 22" descr="AFM diagram.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M diagram.emf"/>
                    <pic:cNvPicPr/>
                  </pic:nvPicPr>
                  <pic:blipFill>
                    <a:blip r:embed="rId33" cstate="print"/>
                    <a:srcRect l="1264" t="1333" r="1986" b="1111"/>
                    <a:stretch>
                      <a:fillRect/>
                    </a:stretch>
                  </pic:blipFill>
                  <pic:spPr>
                    <a:xfrm>
                      <a:off x="0" y="0"/>
                      <a:ext cx="5277600" cy="4322512"/>
                    </a:xfrm>
                    <a:prstGeom prst="rect">
                      <a:avLst/>
                    </a:prstGeom>
                  </pic:spPr>
                </pic:pic>
              </a:graphicData>
            </a:graphic>
          </wp:inline>
        </w:drawing>
      </w:r>
    </w:p>
    <w:p w:rsidR="002D7C9B" w:rsidRPr="00C00F77" w:rsidRDefault="002D7C9B" w:rsidP="002D7C9B">
      <w:pPr>
        <w:spacing w:line="360" w:lineRule="auto"/>
        <w:jc w:val="both"/>
        <w:rPr>
          <w:rFonts w:ascii="Times New Roman" w:hAnsi="Times New Roman" w:cs="Times New Roman"/>
          <w:color w:val="000000" w:themeColor="text1"/>
          <w:sz w:val="24"/>
          <w:szCs w:val="24"/>
        </w:rPr>
      </w:pPr>
      <w:proofErr w:type="gramStart"/>
      <w:r w:rsidRPr="008D7BBF">
        <w:rPr>
          <w:rFonts w:ascii="Times New Roman" w:hAnsi="Times New Roman" w:cs="Times New Roman"/>
          <w:b/>
          <w:color w:val="000000"/>
          <w:sz w:val="24"/>
          <w:szCs w:val="24"/>
        </w:rPr>
        <w:t xml:space="preserve">Figure </w:t>
      </w:r>
      <w:r>
        <w:rPr>
          <w:rFonts w:ascii="Times New Roman" w:hAnsi="Times New Roman" w:cs="Times New Roman"/>
          <w:b/>
          <w:color w:val="000000"/>
          <w:sz w:val="24"/>
          <w:szCs w:val="24"/>
        </w:rPr>
        <w:t>3.1.</w:t>
      </w:r>
      <w:proofErr w:type="gramEnd"/>
      <w:r>
        <w:rPr>
          <w:rFonts w:ascii="Times New Roman" w:hAnsi="Times New Roman" w:cs="Times New Roman"/>
          <w:b/>
          <w:color w:val="000000"/>
          <w:sz w:val="24"/>
          <w:szCs w:val="24"/>
        </w:rPr>
        <w:t xml:space="preserve"> </w:t>
      </w:r>
      <w:proofErr w:type="gramStart"/>
      <w:r>
        <w:rPr>
          <w:rFonts w:ascii="Times New Roman" w:hAnsi="Times New Roman" w:cs="Times New Roman"/>
          <w:b/>
          <w:color w:val="000000"/>
          <w:sz w:val="24"/>
          <w:szCs w:val="24"/>
        </w:rPr>
        <w:t>Schematic of an Atomic Force Microscope (AFM)</w:t>
      </w:r>
      <w:r w:rsidRPr="008D7BBF">
        <w:rPr>
          <w:rFonts w:ascii="Times New Roman" w:hAnsi="Times New Roman" w:cs="Times New Roman"/>
          <w:b/>
          <w:color w:val="000000"/>
          <w:sz w:val="24"/>
          <w:szCs w:val="24"/>
        </w:rPr>
        <w:t>.</w:t>
      </w:r>
      <w:proofErr w:type="gramEnd"/>
      <w:r w:rsidRPr="00AF4B66">
        <w:rPr>
          <w:rFonts w:ascii="Times New Roman" w:hAnsi="Times New Roman" w:cs="Times New Roman"/>
          <w:color w:val="000000"/>
          <w:sz w:val="24"/>
          <w:szCs w:val="24"/>
        </w:rPr>
        <w:t xml:space="preserve"> </w:t>
      </w:r>
      <w:r>
        <w:rPr>
          <w:rFonts w:ascii="Times New Roman" w:hAnsi="Times New Roman" w:cs="Times New Roman"/>
          <w:color w:val="000000"/>
          <w:sz w:val="24"/>
          <w:szCs w:val="24"/>
        </w:rPr>
        <w:t>A</w:t>
      </w:r>
      <w:r w:rsidRPr="00AF4B66">
        <w:rPr>
          <w:rFonts w:ascii="Times New Roman" w:hAnsi="Times New Roman" w:cs="Times New Roman"/>
          <w:color w:val="000000"/>
          <w:sz w:val="24"/>
          <w:szCs w:val="24"/>
        </w:rPr>
        <w:t xml:space="preserve"> cantilever with a sharp tip </w:t>
      </w:r>
      <w:r>
        <w:rPr>
          <w:rFonts w:ascii="Times New Roman" w:hAnsi="Times New Roman" w:cs="Times New Roman"/>
          <w:color w:val="000000"/>
          <w:sz w:val="24"/>
          <w:szCs w:val="24"/>
        </w:rPr>
        <w:t>scans</w:t>
      </w:r>
      <w:r w:rsidRPr="00AF4B66">
        <w:rPr>
          <w:rFonts w:ascii="Times New Roman" w:hAnsi="Times New Roman" w:cs="Times New Roman"/>
          <w:color w:val="000000"/>
          <w:sz w:val="24"/>
          <w:szCs w:val="24"/>
        </w:rPr>
        <w:t xml:space="preserve"> back and forth </w:t>
      </w:r>
      <w:r>
        <w:rPr>
          <w:rFonts w:ascii="Times New Roman" w:hAnsi="Times New Roman" w:cs="Times New Roman"/>
          <w:color w:val="000000"/>
          <w:sz w:val="24"/>
          <w:szCs w:val="24"/>
        </w:rPr>
        <w:t xml:space="preserve">(raster scan) </w:t>
      </w:r>
      <w:r w:rsidRPr="00AF4B66">
        <w:rPr>
          <w:rFonts w:ascii="Times New Roman" w:hAnsi="Times New Roman" w:cs="Times New Roman"/>
          <w:color w:val="000000"/>
          <w:sz w:val="24"/>
          <w:szCs w:val="24"/>
        </w:rPr>
        <w:t xml:space="preserve">across the sample surface. The deflection of the tip by the surface is </w:t>
      </w:r>
      <w:r>
        <w:rPr>
          <w:rFonts w:ascii="Times New Roman" w:hAnsi="Times New Roman" w:cs="Times New Roman"/>
          <w:color w:val="000000"/>
          <w:sz w:val="24"/>
          <w:szCs w:val="24"/>
        </w:rPr>
        <w:t>recorded</w:t>
      </w:r>
      <w:r w:rsidRPr="00AF4B66">
        <w:rPr>
          <w:rFonts w:ascii="Times New Roman" w:hAnsi="Times New Roman" w:cs="Times New Roman"/>
          <w:color w:val="000000"/>
          <w:sz w:val="24"/>
          <w:szCs w:val="24"/>
        </w:rPr>
        <w:t xml:space="preserve"> by </w:t>
      </w:r>
      <w:r>
        <w:rPr>
          <w:rFonts w:ascii="Times New Roman" w:hAnsi="Times New Roman" w:cs="Times New Roman"/>
          <w:color w:val="000000"/>
          <w:sz w:val="24"/>
          <w:szCs w:val="24"/>
        </w:rPr>
        <w:t>reflecting a</w:t>
      </w:r>
      <w:r w:rsidRPr="00AF4B66">
        <w:rPr>
          <w:rFonts w:ascii="Times New Roman" w:hAnsi="Times New Roman" w:cs="Times New Roman"/>
          <w:color w:val="000000"/>
          <w:sz w:val="24"/>
          <w:szCs w:val="24"/>
        </w:rPr>
        <w:t xml:space="preserve"> laser beam from the cantilever to a photodetector, and translat</w:t>
      </w:r>
      <w:r>
        <w:rPr>
          <w:rFonts w:ascii="Times New Roman" w:hAnsi="Times New Roman" w:cs="Times New Roman"/>
          <w:color w:val="000000"/>
          <w:sz w:val="24"/>
          <w:szCs w:val="24"/>
        </w:rPr>
        <w:t>ing the deflection</w:t>
      </w:r>
      <w:r w:rsidRPr="00AF4B66">
        <w:rPr>
          <w:rFonts w:ascii="Times New Roman" w:hAnsi="Times New Roman" w:cs="Times New Roman"/>
          <w:color w:val="000000"/>
          <w:sz w:val="24"/>
          <w:szCs w:val="24"/>
        </w:rPr>
        <w:t xml:space="preserve"> into a topographical image.</w:t>
      </w:r>
      <w:r>
        <w:rPr>
          <w:rFonts w:ascii="Times New Roman" w:hAnsi="Times New Roman" w:cs="Times New Roman"/>
          <w:color w:val="000000"/>
          <w:sz w:val="24"/>
          <w:szCs w:val="24"/>
        </w:rPr>
        <w:t xml:space="preserve"> The image generated is referred to as a ‘height image’. </w:t>
      </w:r>
      <w:r>
        <w:rPr>
          <w:rFonts w:ascii="Times New Roman" w:hAnsi="Times New Roman" w:cs="Times New Roman"/>
          <w:bCs/>
          <w:color w:val="000000"/>
          <w:sz w:val="24"/>
          <w:szCs w:val="24"/>
        </w:rPr>
        <w:t xml:space="preserve">To reduce lateral shearing forces that may displace the sample, the cantilever can be driven to oscillate at a high frequency, referred to as “tapping mode”. The AFM tip ‘taps’ across the sample instead of being in constant contact with </w:t>
      </w:r>
      <w:r w:rsidRPr="00C00F77">
        <w:rPr>
          <w:rFonts w:ascii="Times New Roman" w:hAnsi="Times New Roman" w:cs="Times New Roman"/>
          <w:bCs/>
          <w:color w:val="000000" w:themeColor="text1"/>
          <w:sz w:val="24"/>
          <w:szCs w:val="24"/>
        </w:rPr>
        <w:t xml:space="preserve">the surface. </w:t>
      </w:r>
      <w:r w:rsidRPr="00C00F77">
        <w:rPr>
          <w:rFonts w:ascii="Times New Roman" w:hAnsi="Times New Roman" w:cs="Times New Roman"/>
          <w:color w:val="000000" w:themeColor="text1"/>
          <w:sz w:val="24"/>
          <w:szCs w:val="24"/>
        </w:rPr>
        <w:t xml:space="preserve">A secondary effect of the cantilever oscillation is that weak interactions between the tip and sample surface cause the tip oscillation to move out of phase with the motor driven oscillation </w:t>
      </w:r>
      <w:r w:rsidRPr="00C00F77">
        <w:rPr>
          <w:rFonts w:ascii="Times New Roman" w:hAnsi="Times New Roman" w:cs="Times New Roman"/>
          <w:color w:val="000000" w:themeColor="text1"/>
          <w:sz w:val="24"/>
          <w:szCs w:val="24"/>
        </w:rPr>
        <w:fldChar w:fldCharType="begin"/>
      </w:r>
      <w:r w:rsidRPr="00C00F77">
        <w:rPr>
          <w:rFonts w:ascii="Times New Roman" w:hAnsi="Times New Roman" w:cs="Times New Roman"/>
          <w:color w:val="000000" w:themeColor="text1"/>
          <w:sz w:val="24"/>
          <w:szCs w:val="24"/>
        </w:rPr>
        <w:instrText xml:space="preserve"> ADDIN ZOTERO_ITEM CSL_CITATION {"citationID":"2kdknd1cph","properties":{"formattedCitation":"(Zlatanova et al., 2000)","plainCitation":"(Zlatanova et al., 2000)"},"citationItems":[{"id":406,"uris":["http://zotero.org/users/944474/items/45R56S53"],"uri":["http://zotero.org/users/944474/items/45R56S53"],"itemData":{"id":406,"type":"article-journal","title":"Single molecule force spectroscopy in biology using the atomic force microscope","container-title":"Progress in biophysics and molecular biology","page":"37-61","volume":"74","issue":"1-2","abstract":"The importance of forces in biology has been recognized for quite a while but only in the past decade have we acquired instrumentation and methodology to directly measure interactive forces at the level of single biological macromolecules and/or their complexes. This review focuses on force measurements performed with the atomic force microscope. A general introduction to the principle of action is followed by review of the types of interactions being studied, describing the main results and discussing the biological implications.","note":"PMID: 11106806","journalAbbreviation":"Prog. Biophys. Mol. Biol.","author":[{"family":"Zlatanova","given":"J"},{"family":"Lindsay","given":"S M"},{"family":"Leuba","given":"S H"}],"issued":{"year":2000},"accessed":{"year":2012,"month":6,"day":6},"page-first":"37"}}],"schema":"https://github.com/citation-style-language/schema/raw/master/csl-citation.json"} </w:instrText>
      </w:r>
      <w:r w:rsidRPr="00C00F77">
        <w:rPr>
          <w:rFonts w:ascii="Times New Roman" w:hAnsi="Times New Roman" w:cs="Times New Roman"/>
          <w:color w:val="000000" w:themeColor="text1"/>
          <w:sz w:val="24"/>
          <w:szCs w:val="24"/>
        </w:rPr>
        <w:fldChar w:fldCharType="separate"/>
      </w:r>
      <w:r w:rsidRPr="00C00F77">
        <w:rPr>
          <w:rFonts w:ascii="Times New Roman" w:hAnsi="Times New Roman" w:cs="Times New Roman"/>
          <w:color w:val="000000" w:themeColor="text1"/>
          <w:sz w:val="24"/>
        </w:rPr>
        <w:t xml:space="preserve">(Zlatanova </w:t>
      </w:r>
      <w:r w:rsidRPr="00294AE4">
        <w:rPr>
          <w:rFonts w:ascii="Times New Roman" w:hAnsi="Times New Roman" w:cs="Times New Roman"/>
          <w:i/>
          <w:color w:val="000000" w:themeColor="text1"/>
          <w:sz w:val="24"/>
        </w:rPr>
        <w:t>et al</w:t>
      </w:r>
      <w:r w:rsidRPr="00C00F77">
        <w:rPr>
          <w:rFonts w:ascii="Times New Roman" w:hAnsi="Times New Roman" w:cs="Times New Roman"/>
          <w:color w:val="000000" w:themeColor="text1"/>
          <w:sz w:val="24"/>
        </w:rPr>
        <w:t>., 2000)</w:t>
      </w:r>
      <w:r w:rsidRPr="00C00F77">
        <w:rPr>
          <w:rFonts w:ascii="Times New Roman" w:hAnsi="Times New Roman" w:cs="Times New Roman"/>
          <w:color w:val="000000" w:themeColor="text1"/>
          <w:sz w:val="24"/>
          <w:szCs w:val="24"/>
        </w:rPr>
        <w:fldChar w:fldCharType="end"/>
      </w:r>
      <w:r w:rsidRPr="00C00F77">
        <w:rPr>
          <w:rFonts w:ascii="Times New Roman" w:hAnsi="Times New Roman" w:cs="Times New Roman"/>
          <w:color w:val="000000" w:themeColor="text1"/>
          <w:sz w:val="24"/>
          <w:szCs w:val="24"/>
        </w:rPr>
        <w:t>. This phase shift is converted into an image in which topographical features are highlighted, as are changes in the chemical and mechanical properties of the sample. Such an image is referred to as a “phase image”. Both height and phase image are presented in this study.</w:t>
      </w:r>
    </w:p>
    <w:p w:rsidR="002D7C9B" w:rsidRPr="00C00F77" w:rsidRDefault="002D7C9B" w:rsidP="002D7C9B">
      <w:pPr>
        <w:rPr>
          <w:rFonts w:ascii="Times New Roman" w:hAnsi="Times New Roman" w:cs="Times New Roman"/>
          <w:color w:val="000000" w:themeColor="text1"/>
          <w:sz w:val="24"/>
          <w:szCs w:val="24"/>
        </w:rPr>
      </w:pPr>
      <w:r w:rsidRPr="00C00F77">
        <w:rPr>
          <w:rFonts w:ascii="Times New Roman" w:hAnsi="Times New Roman" w:cs="Times New Roman"/>
          <w:color w:val="000000" w:themeColor="text1"/>
          <w:sz w:val="24"/>
          <w:szCs w:val="24"/>
        </w:rPr>
        <w:br w:type="page"/>
      </w:r>
    </w:p>
    <w:p w:rsidR="002D7C9B" w:rsidRPr="00C00F77" w:rsidRDefault="002D7C9B" w:rsidP="002D7C9B">
      <w:pPr>
        <w:tabs>
          <w:tab w:val="left" w:pos="5745"/>
        </w:tabs>
        <w:spacing w:line="480" w:lineRule="auto"/>
        <w:jc w:val="both"/>
        <w:rPr>
          <w:rFonts w:ascii="Times New Roman" w:hAnsi="Times New Roman" w:cs="Times New Roman"/>
          <w:color w:val="000000" w:themeColor="text1"/>
          <w:sz w:val="24"/>
          <w:szCs w:val="24"/>
        </w:rPr>
      </w:pPr>
      <w:proofErr w:type="gramStart"/>
      <w:r w:rsidRPr="00C00F77">
        <w:rPr>
          <w:rFonts w:ascii="Times New Roman" w:hAnsi="Times New Roman" w:cs="Times New Roman"/>
          <w:i/>
          <w:color w:val="000000" w:themeColor="text1"/>
          <w:sz w:val="24"/>
          <w:szCs w:val="24"/>
        </w:rPr>
        <w:lastRenderedPageBreak/>
        <w:t>de</w:t>
      </w:r>
      <w:proofErr w:type="gramEnd"/>
      <w:r w:rsidRPr="00C00F77">
        <w:rPr>
          <w:rFonts w:ascii="Times New Roman" w:hAnsi="Times New Roman" w:cs="Times New Roman"/>
          <w:i/>
          <w:color w:val="000000" w:themeColor="text1"/>
          <w:sz w:val="24"/>
          <w:szCs w:val="24"/>
        </w:rPr>
        <w:t> novo</w:t>
      </w:r>
      <w:r w:rsidRPr="00C00F77">
        <w:rPr>
          <w:rFonts w:ascii="Times New Roman" w:hAnsi="Times New Roman" w:cs="Times New Roman"/>
          <w:color w:val="000000" w:themeColor="text1"/>
          <w:sz w:val="24"/>
          <w:szCs w:val="24"/>
        </w:rPr>
        <w:t xml:space="preserve"> nanoscale organisation of the peptidoglycan, as similar bands were not seen on purified sacculi. The extent to which integral cell wall secondary polymers or autolysin activities contribute to the observed architecture remains unclear. This model also does not account for the presence of two peptidoglycan biosynthesis machineries and their contribution to the growth mode of ovococcal cells (Chapter 1.5.2.3). </w:t>
      </w:r>
    </w:p>
    <w:p w:rsidR="002D7C9B" w:rsidRPr="009449DC" w:rsidRDefault="002D7C9B" w:rsidP="002D7C9B">
      <w:pPr>
        <w:autoSpaceDE w:val="0"/>
        <w:autoSpaceDN w:val="0"/>
        <w:adjustRightInd w:val="0"/>
        <w:spacing w:after="120" w:line="480" w:lineRule="auto"/>
        <w:jc w:val="both"/>
        <w:rPr>
          <w:rFonts w:ascii="Times New Roman" w:hAnsi="Times New Roman" w:cs="Times New Roman"/>
          <w:color w:val="000000"/>
          <w:sz w:val="24"/>
          <w:szCs w:val="24"/>
        </w:rPr>
      </w:pPr>
      <w:r w:rsidRPr="00C00F77">
        <w:rPr>
          <w:rFonts w:ascii="Times New Roman" w:hAnsi="Times New Roman" w:cs="Times New Roman"/>
          <w:color w:val="000000" w:themeColor="text1"/>
          <w:sz w:val="24"/>
          <w:szCs w:val="24"/>
        </w:rPr>
        <w:t xml:space="preserve">The relationship between the dynamics of peptidoglycan synthesis and the resulting cell wall architecture has been largely ignored </w:t>
      </w:r>
      <w:r w:rsidRPr="00C00F77">
        <w:rPr>
          <w:rFonts w:ascii="Times New Roman" w:hAnsi="Times New Roman" w:cs="Times New Roman"/>
          <w:color w:val="000000" w:themeColor="text1"/>
          <w:sz w:val="24"/>
          <w:szCs w:val="24"/>
        </w:rPr>
        <w:fldChar w:fldCharType="begin"/>
      </w:r>
      <w:r w:rsidRPr="00C00F77">
        <w:rPr>
          <w:rFonts w:ascii="Times New Roman" w:hAnsi="Times New Roman" w:cs="Times New Roman"/>
          <w:color w:val="000000" w:themeColor="text1"/>
          <w:sz w:val="24"/>
          <w:szCs w:val="24"/>
        </w:rPr>
        <w:instrText xml:space="preserve"> ADDIN ZOTERO_ITEM CSL_CITATION {"citationID":"i0avujjgn","properties":{"formattedCitation":"(Vollmer and Seligman, 2010)","plainCitation":"(Vollmer and Seligman, 2010)"},"citationItems":[{"id":86,"uris":["http://zotero.org/users/944474/items/EJQB4RC2"],"uri":["http://zotero.org/users/944474/items/EJQB4RC2"],"itemData":{"id":86,"type":"article-journal","title":"Architecture of peptidoglycan: more data and more models","container-title":"Trends in Microbiology","page":"59-66","volume":"18","issue":"2","abstract":"Peptidoglycan forms a net-like sacculus made of glycan strands crosslinked by peptides. The length of the glycan strands and the degree of crosslinkage vary with bacterial species, strains and growth conditions. Several models for the three-dimensional architecture of peptidoglycan have been proposed, some of which have been tested experimentally. The new data support a layered model in Gram-negative bacteria, and a more elaborate peptidoglycan architecture, with bands made of coiled bundles of glycan strands, in the rod-shaped Bacillus subtilis. However, many questions remain unanswered and, therefore, more data and more models are required to decipher the complex cell wall architecture in bacteria.","DOI":"10.1016/j.tim.2009.12.004","note":"PMID: 20060721","shortTitle":"Architecture of peptidoglycan","journalAbbreviation":"Trends Microbiol.","author":[{"family":"Vollmer","given":"Waldemar"},{"family":"Seligman","given":"Stephen J"}],"issued":{"year":2010,"month":2},"accessed":{"year":2012,"month":4,"day":2}}}],"schema":"https://github.com/citation-style-language/schema/raw/master/csl-citation.json"} </w:instrText>
      </w:r>
      <w:r w:rsidRPr="00C00F77">
        <w:rPr>
          <w:rFonts w:ascii="Times New Roman" w:hAnsi="Times New Roman" w:cs="Times New Roman"/>
          <w:color w:val="000000" w:themeColor="text1"/>
          <w:sz w:val="24"/>
          <w:szCs w:val="24"/>
        </w:rPr>
        <w:fldChar w:fldCharType="separate"/>
      </w:r>
      <w:r w:rsidRPr="00C00F77">
        <w:rPr>
          <w:rFonts w:ascii="Times New Roman" w:hAnsi="Times New Roman" w:cs="Times New Roman"/>
          <w:color w:val="000000" w:themeColor="text1"/>
          <w:sz w:val="24"/>
          <w:szCs w:val="21"/>
        </w:rPr>
        <w:t>(Vollmer and Seligman, 2010)</w:t>
      </w:r>
      <w:r w:rsidRPr="00C00F77">
        <w:rPr>
          <w:rFonts w:ascii="Times New Roman" w:hAnsi="Times New Roman" w:cs="Times New Roman"/>
          <w:color w:val="000000" w:themeColor="text1"/>
          <w:sz w:val="24"/>
          <w:szCs w:val="24"/>
        </w:rPr>
        <w:fldChar w:fldCharType="end"/>
      </w:r>
      <w:r w:rsidRPr="00C00F77">
        <w:rPr>
          <w:rFonts w:ascii="Times New Roman" w:hAnsi="Times New Roman" w:cs="Times New Roman"/>
          <w:color w:val="000000" w:themeColor="text1"/>
          <w:sz w:val="24"/>
          <w:szCs w:val="24"/>
        </w:rPr>
        <w:t xml:space="preserve">. In this work, we combined biochemical analyses with super-resolution microscopy to dissect the cell wall peptidoglycan architecture and dynamics of three species of ovococcus: </w:t>
      </w:r>
      <w:r w:rsidRPr="00C00F77">
        <w:rPr>
          <w:rFonts w:ascii="Times New Roman" w:hAnsi="Times New Roman" w:cs="Times New Roman"/>
          <w:i/>
          <w:iCs/>
          <w:color w:val="000000" w:themeColor="text1"/>
          <w:sz w:val="24"/>
          <w:szCs w:val="24"/>
        </w:rPr>
        <w:t>Streptococcus pneumoniae</w:t>
      </w:r>
      <w:r w:rsidRPr="00C00F77">
        <w:rPr>
          <w:rFonts w:ascii="Times New Roman" w:hAnsi="Times New Roman" w:cs="Times New Roman"/>
          <w:color w:val="000000" w:themeColor="text1"/>
          <w:sz w:val="24"/>
          <w:szCs w:val="24"/>
        </w:rPr>
        <w:t xml:space="preserve">, </w:t>
      </w:r>
      <w:r w:rsidRPr="00C00F77">
        <w:rPr>
          <w:rFonts w:ascii="Times New Roman" w:hAnsi="Times New Roman" w:cs="Times New Roman"/>
          <w:i/>
          <w:iCs/>
          <w:color w:val="000000" w:themeColor="text1"/>
          <w:sz w:val="24"/>
          <w:szCs w:val="24"/>
        </w:rPr>
        <w:t xml:space="preserve">Enterococcus faecalis </w:t>
      </w:r>
      <w:r w:rsidRPr="00C00F77">
        <w:rPr>
          <w:rFonts w:ascii="Times New Roman" w:hAnsi="Times New Roman" w:cs="Times New Roman"/>
          <w:color w:val="000000" w:themeColor="text1"/>
          <w:sz w:val="24"/>
          <w:szCs w:val="24"/>
        </w:rPr>
        <w:t xml:space="preserve">and </w:t>
      </w:r>
      <w:r w:rsidRPr="00C00F77">
        <w:rPr>
          <w:rFonts w:ascii="Times New Roman" w:hAnsi="Times New Roman" w:cs="Times New Roman"/>
          <w:i/>
          <w:iCs/>
          <w:color w:val="000000" w:themeColor="text1"/>
          <w:sz w:val="24"/>
          <w:szCs w:val="24"/>
        </w:rPr>
        <w:t>L. lactis</w:t>
      </w:r>
      <w:r w:rsidRPr="00C00F77">
        <w:rPr>
          <w:rFonts w:ascii="Times New Roman" w:hAnsi="Times New Roman" w:cs="Times New Roman"/>
          <w:color w:val="000000" w:themeColor="text1"/>
          <w:sz w:val="24"/>
          <w:szCs w:val="24"/>
        </w:rPr>
        <w:t>. Based on our results</w:t>
      </w:r>
      <w:r w:rsidRPr="009449DC">
        <w:rPr>
          <w:rFonts w:ascii="Times New Roman" w:hAnsi="Times New Roman" w:cs="Times New Roman"/>
          <w:color w:val="000000"/>
          <w:sz w:val="24"/>
          <w:szCs w:val="24"/>
        </w:rPr>
        <w:t>, we propose that ovococci have a unique peptidoglycan architecture not observed previously in other model organisms.</w:t>
      </w:r>
    </w:p>
    <w:p w:rsidR="002D7C9B" w:rsidRPr="009449DC" w:rsidRDefault="002D7C9B" w:rsidP="002D7C9B">
      <w:pPr>
        <w:autoSpaceDE w:val="0"/>
        <w:autoSpaceDN w:val="0"/>
        <w:adjustRightInd w:val="0"/>
        <w:spacing w:after="120" w:line="480" w:lineRule="auto"/>
        <w:jc w:val="both"/>
        <w:rPr>
          <w:rFonts w:ascii="Times New Roman" w:hAnsi="Times New Roman" w:cs="Times New Roman"/>
          <w:color w:val="000000"/>
          <w:sz w:val="24"/>
          <w:szCs w:val="24"/>
        </w:rPr>
      </w:pPr>
    </w:p>
    <w:p w:rsidR="002D7C9B" w:rsidRDefault="002D7C9B" w:rsidP="002D7C9B">
      <w:pPr>
        <w:spacing w:line="480" w:lineRule="auto"/>
        <w:rPr>
          <w:rFonts w:ascii="Times New Roman" w:hAnsi="Times New Roman" w:cs="Times New Roman"/>
          <w:sz w:val="28"/>
          <w:szCs w:val="28"/>
        </w:rPr>
      </w:pPr>
      <w:r>
        <w:rPr>
          <w:rFonts w:ascii="Times New Roman" w:hAnsi="Times New Roman" w:cs="Times New Roman"/>
          <w:sz w:val="28"/>
          <w:szCs w:val="28"/>
        </w:rPr>
        <w:t>3.1.2</w:t>
      </w:r>
      <w:r>
        <w:rPr>
          <w:rFonts w:ascii="Times New Roman" w:hAnsi="Times New Roman" w:cs="Times New Roman"/>
          <w:sz w:val="28"/>
          <w:szCs w:val="28"/>
        </w:rPr>
        <w:tab/>
      </w:r>
      <w:r>
        <w:rPr>
          <w:rFonts w:ascii="Times New Roman" w:hAnsi="Times New Roman" w:cs="Times New Roman"/>
          <w:sz w:val="28"/>
          <w:szCs w:val="28"/>
        </w:rPr>
        <w:tab/>
        <w:t>Aims of this chapter</w:t>
      </w:r>
    </w:p>
    <w:p w:rsidR="002D7C9B" w:rsidRPr="00011A68" w:rsidRDefault="002D7C9B" w:rsidP="002D7C9B">
      <w:pPr>
        <w:pStyle w:val="ListParagraph"/>
        <w:numPr>
          <w:ilvl w:val="0"/>
          <w:numId w:val="14"/>
        </w:numPr>
        <w:spacing w:line="480" w:lineRule="auto"/>
        <w:rPr>
          <w:rFonts w:ascii="Times New Roman" w:hAnsi="Times New Roman" w:cs="Times New Roman"/>
          <w:sz w:val="24"/>
          <w:szCs w:val="24"/>
        </w:rPr>
      </w:pPr>
      <w:r w:rsidRPr="00011A68">
        <w:rPr>
          <w:rFonts w:ascii="Times New Roman" w:hAnsi="Times New Roman" w:cs="Times New Roman"/>
          <w:sz w:val="24"/>
          <w:szCs w:val="24"/>
        </w:rPr>
        <w:t>Determine the distribution of glycan chain lengths in ovococcal bacteria</w:t>
      </w:r>
    </w:p>
    <w:p w:rsidR="002D7C9B" w:rsidRDefault="002D7C9B" w:rsidP="002D7C9B">
      <w:pPr>
        <w:pStyle w:val="ListParagraph"/>
        <w:numPr>
          <w:ilvl w:val="0"/>
          <w:numId w:val="14"/>
        </w:numPr>
        <w:spacing w:line="480" w:lineRule="auto"/>
        <w:rPr>
          <w:rFonts w:ascii="Times New Roman" w:hAnsi="Times New Roman" w:cs="Times New Roman"/>
          <w:sz w:val="24"/>
          <w:szCs w:val="24"/>
        </w:rPr>
      </w:pPr>
      <w:r w:rsidRPr="00011A68">
        <w:rPr>
          <w:rFonts w:ascii="Times New Roman" w:hAnsi="Times New Roman" w:cs="Times New Roman"/>
          <w:sz w:val="24"/>
          <w:szCs w:val="24"/>
        </w:rPr>
        <w:t xml:space="preserve">Investigate the </w:t>
      </w:r>
      <w:r>
        <w:rPr>
          <w:rFonts w:ascii="Times New Roman" w:hAnsi="Times New Roman" w:cs="Times New Roman"/>
          <w:sz w:val="24"/>
          <w:szCs w:val="24"/>
        </w:rPr>
        <w:t xml:space="preserve">peptidoglycan </w:t>
      </w:r>
      <w:r w:rsidRPr="00011A68">
        <w:rPr>
          <w:rFonts w:ascii="Times New Roman" w:hAnsi="Times New Roman" w:cs="Times New Roman"/>
          <w:sz w:val="24"/>
          <w:szCs w:val="24"/>
        </w:rPr>
        <w:t xml:space="preserve">architecture of </w:t>
      </w:r>
      <w:r>
        <w:rPr>
          <w:rFonts w:ascii="Times New Roman" w:hAnsi="Times New Roman" w:cs="Times New Roman"/>
          <w:sz w:val="24"/>
          <w:szCs w:val="24"/>
        </w:rPr>
        <w:t>ovococci</w:t>
      </w:r>
      <w:r w:rsidRPr="00011A68">
        <w:rPr>
          <w:rFonts w:ascii="Times New Roman" w:hAnsi="Times New Roman" w:cs="Times New Roman"/>
          <w:sz w:val="24"/>
          <w:szCs w:val="24"/>
        </w:rPr>
        <w:t xml:space="preserve"> by AFM</w:t>
      </w:r>
    </w:p>
    <w:p w:rsidR="002D7C9B" w:rsidRDefault="002D7C9B" w:rsidP="002D7C9B">
      <w:pPr>
        <w:pStyle w:val="ListParagraph"/>
        <w:numPr>
          <w:ilvl w:val="0"/>
          <w:numId w:val="14"/>
        </w:numPr>
        <w:spacing w:line="480" w:lineRule="auto"/>
        <w:rPr>
          <w:rFonts w:ascii="Times New Roman" w:hAnsi="Times New Roman" w:cs="Times New Roman"/>
          <w:sz w:val="24"/>
          <w:szCs w:val="24"/>
        </w:rPr>
      </w:pPr>
      <w:r>
        <w:rPr>
          <w:rFonts w:ascii="Times New Roman" w:hAnsi="Times New Roman" w:cs="Times New Roman"/>
          <w:sz w:val="24"/>
          <w:szCs w:val="24"/>
        </w:rPr>
        <w:t>Compare the growth mode of different ovococcal species</w:t>
      </w:r>
    </w:p>
    <w:p w:rsidR="002D7C9B" w:rsidRDefault="002D7C9B" w:rsidP="002D7C9B">
      <w:pPr>
        <w:pStyle w:val="ListParagraph"/>
        <w:numPr>
          <w:ilvl w:val="0"/>
          <w:numId w:val="14"/>
        </w:numPr>
        <w:spacing w:line="480" w:lineRule="auto"/>
        <w:rPr>
          <w:rFonts w:ascii="Times New Roman" w:hAnsi="Times New Roman" w:cs="Times New Roman"/>
          <w:sz w:val="24"/>
          <w:szCs w:val="24"/>
        </w:rPr>
      </w:pPr>
      <w:r>
        <w:rPr>
          <w:rFonts w:ascii="Times New Roman" w:hAnsi="Times New Roman" w:cs="Times New Roman"/>
          <w:sz w:val="24"/>
          <w:szCs w:val="24"/>
        </w:rPr>
        <w:t>Develop a model of peptidoglycan synthesis in ovococci relating biochemical and architectural data to the growth mode of ovococcal bacteria</w:t>
      </w:r>
    </w:p>
    <w:p w:rsidR="002D7C9B" w:rsidRDefault="002D7C9B" w:rsidP="002D7C9B">
      <w:pPr>
        <w:spacing w:line="480" w:lineRule="auto"/>
        <w:rPr>
          <w:rFonts w:ascii="Times New Roman" w:hAnsi="Times New Roman" w:cs="Times New Roman"/>
          <w:sz w:val="24"/>
          <w:szCs w:val="24"/>
        </w:rPr>
      </w:pPr>
      <w:r>
        <w:rPr>
          <w:rFonts w:ascii="Times New Roman" w:hAnsi="Times New Roman" w:cs="Times New Roman"/>
          <w:sz w:val="24"/>
          <w:szCs w:val="24"/>
        </w:rPr>
        <w:br w:type="page"/>
      </w:r>
    </w:p>
    <w:p w:rsidR="002D7C9B" w:rsidRDefault="002D7C9B" w:rsidP="002D7C9B">
      <w:pPr>
        <w:spacing w:line="480" w:lineRule="auto"/>
        <w:rPr>
          <w:rFonts w:ascii="Times New Roman" w:hAnsi="Times New Roman" w:cs="Times New Roman"/>
          <w:sz w:val="28"/>
          <w:szCs w:val="28"/>
        </w:rPr>
      </w:pPr>
      <w:r w:rsidRPr="00011A68">
        <w:rPr>
          <w:rFonts w:ascii="Times New Roman" w:hAnsi="Times New Roman" w:cs="Times New Roman"/>
          <w:sz w:val="28"/>
          <w:szCs w:val="28"/>
        </w:rPr>
        <w:lastRenderedPageBreak/>
        <w:t>3.2</w:t>
      </w:r>
      <w:r w:rsidRPr="00011A68">
        <w:rPr>
          <w:rFonts w:ascii="Times New Roman" w:hAnsi="Times New Roman" w:cs="Times New Roman"/>
          <w:sz w:val="28"/>
          <w:szCs w:val="28"/>
        </w:rPr>
        <w:tab/>
      </w:r>
      <w:r w:rsidRPr="00011A68">
        <w:rPr>
          <w:rFonts w:ascii="Times New Roman" w:hAnsi="Times New Roman" w:cs="Times New Roman"/>
          <w:sz w:val="28"/>
          <w:szCs w:val="28"/>
        </w:rPr>
        <w:tab/>
        <w:t>Results</w:t>
      </w:r>
    </w:p>
    <w:p w:rsidR="002D7C9B" w:rsidRDefault="002D7C9B" w:rsidP="002D7C9B">
      <w:pPr>
        <w:spacing w:line="480" w:lineRule="auto"/>
        <w:rPr>
          <w:rFonts w:ascii="Times New Roman" w:hAnsi="Times New Roman" w:cs="Times New Roman"/>
          <w:sz w:val="28"/>
          <w:szCs w:val="28"/>
        </w:rPr>
      </w:pPr>
      <w:r w:rsidRPr="009A5BD3">
        <w:rPr>
          <w:rFonts w:ascii="Times New Roman" w:hAnsi="Times New Roman" w:cs="Times New Roman"/>
          <w:sz w:val="28"/>
          <w:szCs w:val="28"/>
        </w:rPr>
        <w:t>3.2.1</w:t>
      </w:r>
      <w:r>
        <w:rPr>
          <w:rFonts w:ascii="Times New Roman" w:hAnsi="Times New Roman" w:cs="Times New Roman"/>
          <w:sz w:val="28"/>
          <w:szCs w:val="28"/>
        </w:rPr>
        <w:tab/>
      </w:r>
      <w:r>
        <w:rPr>
          <w:rFonts w:ascii="Times New Roman" w:hAnsi="Times New Roman" w:cs="Times New Roman"/>
          <w:sz w:val="28"/>
          <w:szCs w:val="28"/>
        </w:rPr>
        <w:tab/>
        <w:t>Glycan chain length in ovococcal bacteria</w:t>
      </w:r>
    </w:p>
    <w:p w:rsidR="002D7C9B" w:rsidRPr="00142255" w:rsidRDefault="002D7C9B" w:rsidP="002D7C9B">
      <w:pPr>
        <w:spacing w:line="480" w:lineRule="auto"/>
        <w:rPr>
          <w:rFonts w:ascii="Times New Roman" w:hAnsi="Times New Roman" w:cs="Times New Roman"/>
          <w:sz w:val="28"/>
          <w:szCs w:val="28"/>
        </w:rPr>
      </w:pPr>
      <w:r w:rsidRPr="00142255">
        <w:rPr>
          <w:rFonts w:ascii="Times New Roman" w:hAnsi="Times New Roman" w:cs="Times New Roman"/>
          <w:sz w:val="28"/>
          <w:szCs w:val="28"/>
        </w:rPr>
        <w:t>3.2.1.2</w:t>
      </w:r>
      <w:r w:rsidRPr="00142255">
        <w:rPr>
          <w:rFonts w:ascii="Times New Roman" w:hAnsi="Times New Roman" w:cs="Times New Roman"/>
          <w:sz w:val="28"/>
          <w:szCs w:val="28"/>
        </w:rPr>
        <w:tab/>
      </w:r>
      <w:r>
        <w:rPr>
          <w:rFonts w:ascii="Times New Roman" w:hAnsi="Times New Roman" w:cs="Times New Roman"/>
          <w:sz w:val="28"/>
          <w:szCs w:val="28"/>
        </w:rPr>
        <w:t xml:space="preserve">Generation of recombinant Atl amidase </w:t>
      </w:r>
    </w:p>
    <w:p w:rsidR="002D7C9B" w:rsidRPr="00C00F77" w:rsidRDefault="002D7C9B" w:rsidP="002D7C9B">
      <w:pPr>
        <w:spacing w:line="480" w:lineRule="auto"/>
        <w:jc w:val="both"/>
        <w:rPr>
          <w:rFonts w:ascii="Times New Roman" w:hAnsi="Times New Roman" w:cs="Times New Roman"/>
          <w:color w:val="000000" w:themeColor="text1"/>
          <w:sz w:val="24"/>
          <w:szCs w:val="24"/>
        </w:rPr>
      </w:pPr>
      <w:r w:rsidRPr="00C00F77">
        <w:rPr>
          <w:rFonts w:ascii="Times New Roman" w:hAnsi="Times New Roman" w:cs="Times New Roman"/>
          <w:color w:val="000000" w:themeColor="text1"/>
          <w:sz w:val="24"/>
          <w:szCs w:val="24"/>
        </w:rPr>
        <w:t xml:space="preserve">To separate intact glycan strands from peptide stems, purified peptidoglycan sacculi are hydrolysed with an </w:t>
      </w:r>
      <w:r w:rsidRPr="00C00F77">
        <w:rPr>
          <w:rFonts w:ascii="Times New Roman" w:hAnsi="Times New Roman" w:cs="Times New Roman"/>
          <w:i/>
          <w:color w:val="000000" w:themeColor="text1"/>
          <w:sz w:val="24"/>
          <w:szCs w:val="24"/>
        </w:rPr>
        <w:t>N</w:t>
      </w:r>
      <w:r w:rsidRPr="00C00F77">
        <w:rPr>
          <w:rFonts w:ascii="Times New Roman" w:hAnsi="Times New Roman" w:cs="Times New Roman"/>
          <w:color w:val="000000" w:themeColor="text1"/>
          <w:sz w:val="24"/>
          <w:szCs w:val="24"/>
        </w:rPr>
        <w:t>-acetylmuramyl-ʟ-alanine amidase (amidase), an enzyme that cleaves the amide bond between Mur</w:t>
      </w:r>
      <w:r w:rsidRPr="00C00F77">
        <w:rPr>
          <w:rFonts w:ascii="Times New Roman" w:hAnsi="Times New Roman" w:cs="Times New Roman"/>
          <w:i/>
          <w:color w:val="000000" w:themeColor="text1"/>
          <w:sz w:val="24"/>
          <w:szCs w:val="24"/>
        </w:rPr>
        <w:t>N</w:t>
      </w:r>
      <w:r w:rsidRPr="00C00F77">
        <w:rPr>
          <w:rFonts w:ascii="Times New Roman" w:hAnsi="Times New Roman" w:cs="Times New Roman"/>
          <w:color w:val="000000" w:themeColor="text1"/>
          <w:sz w:val="24"/>
          <w:szCs w:val="24"/>
        </w:rPr>
        <w:t xml:space="preserve">Ac and ʟ-alanine. The major autolysin of </w:t>
      </w:r>
      <w:r w:rsidRPr="00C00F77">
        <w:rPr>
          <w:rFonts w:ascii="Times New Roman" w:hAnsi="Times New Roman" w:cs="Times New Roman"/>
          <w:i/>
          <w:color w:val="000000" w:themeColor="text1"/>
          <w:sz w:val="24"/>
          <w:szCs w:val="24"/>
        </w:rPr>
        <w:t>Staphylococcus aureus</w:t>
      </w:r>
      <w:r w:rsidRPr="00C00F77">
        <w:rPr>
          <w:rFonts w:ascii="Times New Roman" w:hAnsi="Times New Roman" w:cs="Times New Roman"/>
          <w:color w:val="000000" w:themeColor="text1"/>
          <w:sz w:val="24"/>
          <w:szCs w:val="24"/>
        </w:rPr>
        <w:t xml:space="preserve"> is a bifunction peptidoglycan hydrolase, Atl, which has both amidase and glucosaminidase domains. An </w:t>
      </w:r>
      <w:r w:rsidRPr="00C00F77">
        <w:rPr>
          <w:rFonts w:ascii="Times New Roman" w:hAnsi="Times New Roman" w:cs="Times New Roman"/>
          <w:i/>
          <w:color w:val="000000" w:themeColor="text1"/>
          <w:sz w:val="24"/>
          <w:szCs w:val="24"/>
        </w:rPr>
        <w:t>E. coli</w:t>
      </w:r>
      <w:r w:rsidRPr="00C00F77">
        <w:rPr>
          <w:rFonts w:ascii="Times New Roman" w:hAnsi="Times New Roman" w:cs="Times New Roman"/>
          <w:color w:val="000000" w:themeColor="text1"/>
          <w:sz w:val="24"/>
          <w:szCs w:val="24"/>
        </w:rPr>
        <w:t xml:space="preserve"> overexpression construct, pSRC002 (Table 2.5) was developed previously in our lab. The pSRC002 construct comprises a pET21a overexpression vector with His-tagged Atl amidase domain insertion under control of an IPTG inducible promoter </w:t>
      </w:r>
      <w:r w:rsidRPr="00C00F77">
        <w:rPr>
          <w:rFonts w:ascii="Times New Roman" w:hAnsi="Times New Roman" w:cs="Times New Roman"/>
          <w:color w:val="000000" w:themeColor="text1"/>
          <w:sz w:val="24"/>
          <w:szCs w:val="24"/>
        </w:rPr>
        <w:fldChar w:fldCharType="begin"/>
      </w:r>
      <w:r w:rsidRPr="00C00F77">
        <w:rPr>
          <w:rFonts w:ascii="Times New Roman" w:hAnsi="Times New Roman" w:cs="Times New Roman"/>
          <w:color w:val="000000" w:themeColor="text1"/>
          <w:sz w:val="24"/>
          <w:szCs w:val="24"/>
        </w:rPr>
        <w:instrText xml:space="preserve"> ADDIN ZOTERO_ITEM CSL_CITATION {"citationID":"7i2gjj31c","properties":{"formattedCitation":"(Clarke et al., 2006)","plainCitation":"(Clarke et al., 2006)"},"citationItems":[{"id":75,"uris":["http://zotero.org/users/944474/items/T2I9UKF5"],"uri":["http://zotero.org/users/944474/items/T2I9UKF5"],"itemData":{"id":75,"type":"article-journal","title":"Identification of in vivo-expressed antigens of Staphylococcus aureus and their use in vaccinations for protection against nasal carriage","container-title":"The Journal of Infectious Diseases","page":"1098-1108","volume":"193","issue":"8","abstract":"A spectrum of in vivo-expressed Staphylococcus aureus antigens was identified by probing bacteriophage expression libraries of S. aureus with serum samples from infected and uninfected individuals. Eleven recombinant antigenic proteins were produced, and specific antibody titers in a large collection of human serum samples were determined. Significantly increased concentrations of reactive immunoglobulin G (IgG) to 7 antigens were found in serum samples from ill individuals, compared with those in healthy individuals. Significantly higher concentrations of reactive IgG to 4 antigens, including iron-responsive surface determinant (Isd) A and IsdH, were found in serum samples from healthy individuals who were not nasal carriers of S. aureus, compared with those in healthy carriers. Vaccination of cotton rats with IsdA or IsdH protected against nasal carriage. Also, IsdA is involved in adherence of S. aureus to human desquamated nasal epithelial cells and is required for nasal colonization in the cotton rat model. Thus, vaccination with these antigens may prevent S. aureus carriage and reduce the prevalence of human disease.","DOI":"10.1086/501471","note":"PMID: 16544250","journalAbbreviation":"J. Infect. Dis.","author":[{"family":"Clarke","given":"Simon R"},{"family":"Brummell","given":"Kirsten J"},{"family":"Horsburgh","given":"Malcolm J"},{"family":"McDowell","given":"Philip W"},{"family":"Mohamad","given":"Sharifah A Syed"},{"family":"Stapleton","given":"Melanie R"},{"family":"Acevedo","given":"Jorge"},{"family":"Read","given":"Robert C"},{"family":"Day","given":"Nicholas P J"},{"family":"Peacock","given":"Sharon J"},{"family":"Mond","given":"James J"},{"family":"Kokai-Kun","given":"John F"},{"family":"Foster","given":"Simon J"}],"issued":{"year":2006,"month":4,"day":15},"accessed":{"year":2012,"month":3,"day":7}}}],"schema":"https://github.com/citation-style-language/schema/raw/master/csl-citation.json"} </w:instrText>
      </w:r>
      <w:r w:rsidRPr="00C00F77">
        <w:rPr>
          <w:rFonts w:ascii="Times New Roman" w:hAnsi="Times New Roman" w:cs="Times New Roman"/>
          <w:color w:val="000000" w:themeColor="text1"/>
          <w:sz w:val="24"/>
          <w:szCs w:val="24"/>
        </w:rPr>
        <w:fldChar w:fldCharType="separate"/>
      </w:r>
      <w:r w:rsidRPr="00C00F77">
        <w:rPr>
          <w:rFonts w:ascii="Times New Roman" w:hAnsi="Times New Roman" w:cs="Times New Roman"/>
          <w:color w:val="000000" w:themeColor="text1"/>
          <w:sz w:val="24"/>
          <w:szCs w:val="21"/>
        </w:rPr>
        <w:t xml:space="preserve">(Clarke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2006)</w:t>
      </w:r>
      <w:r w:rsidRPr="00C00F77">
        <w:rPr>
          <w:rFonts w:ascii="Times New Roman" w:hAnsi="Times New Roman" w:cs="Times New Roman"/>
          <w:color w:val="000000" w:themeColor="text1"/>
          <w:sz w:val="24"/>
          <w:szCs w:val="24"/>
        </w:rPr>
        <w:fldChar w:fldCharType="end"/>
      </w:r>
      <w:r w:rsidRPr="00C00F77">
        <w:rPr>
          <w:rFonts w:ascii="Times New Roman" w:hAnsi="Times New Roman" w:cs="Times New Roman"/>
          <w:color w:val="000000" w:themeColor="text1"/>
          <w:sz w:val="24"/>
          <w:szCs w:val="24"/>
        </w:rPr>
        <w:t xml:space="preserve">. Previous characterisation work showed that the purified recombinant protein was capable of apparent complete hydrolysis of </w:t>
      </w:r>
      <w:r w:rsidRPr="00C00F77">
        <w:rPr>
          <w:rFonts w:ascii="Times New Roman" w:hAnsi="Times New Roman" w:cs="Times New Roman"/>
          <w:i/>
          <w:color w:val="000000" w:themeColor="text1"/>
          <w:sz w:val="24"/>
          <w:szCs w:val="24"/>
        </w:rPr>
        <w:t xml:space="preserve">B. subtilis </w:t>
      </w:r>
      <w:r w:rsidRPr="00C00F77">
        <w:rPr>
          <w:rFonts w:ascii="Times New Roman" w:hAnsi="Times New Roman" w:cs="Times New Roman"/>
          <w:color w:val="000000" w:themeColor="text1"/>
          <w:sz w:val="24"/>
          <w:szCs w:val="24"/>
        </w:rPr>
        <w:t xml:space="preserve">peptidoglycan (Hayhurst </w:t>
      </w:r>
      <w:r w:rsidRPr="00294AE4">
        <w:rPr>
          <w:rFonts w:ascii="Times New Roman" w:hAnsi="Times New Roman" w:cs="Times New Roman"/>
          <w:i/>
          <w:color w:val="000000" w:themeColor="text1"/>
          <w:sz w:val="24"/>
          <w:szCs w:val="24"/>
        </w:rPr>
        <w:t>et al</w:t>
      </w:r>
      <w:r w:rsidRPr="00C00F77">
        <w:rPr>
          <w:rFonts w:ascii="Times New Roman" w:hAnsi="Times New Roman" w:cs="Times New Roman"/>
          <w:color w:val="000000" w:themeColor="text1"/>
          <w:sz w:val="24"/>
          <w:szCs w:val="24"/>
        </w:rPr>
        <w:t xml:space="preserve">., 2008). </w:t>
      </w:r>
    </w:p>
    <w:p w:rsidR="002D7C9B" w:rsidRPr="00C00F77" w:rsidRDefault="002D7C9B" w:rsidP="002D7C9B">
      <w:pPr>
        <w:spacing w:line="480" w:lineRule="auto"/>
        <w:rPr>
          <w:rFonts w:ascii="Times New Roman" w:hAnsi="Times New Roman" w:cs="Times New Roman"/>
          <w:color w:val="000000" w:themeColor="text1"/>
          <w:sz w:val="24"/>
          <w:szCs w:val="24"/>
        </w:rPr>
      </w:pPr>
    </w:p>
    <w:p w:rsidR="002D7C9B" w:rsidRPr="00C00F77" w:rsidRDefault="002D7C9B" w:rsidP="002D7C9B">
      <w:pPr>
        <w:spacing w:line="480" w:lineRule="auto"/>
        <w:rPr>
          <w:rFonts w:ascii="Times New Roman" w:hAnsi="Times New Roman" w:cs="Times New Roman"/>
          <w:color w:val="000000" w:themeColor="text1"/>
          <w:sz w:val="28"/>
          <w:szCs w:val="28"/>
        </w:rPr>
      </w:pPr>
      <w:r w:rsidRPr="00C00F77">
        <w:rPr>
          <w:rFonts w:ascii="Times New Roman" w:hAnsi="Times New Roman" w:cs="Times New Roman"/>
          <w:color w:val="000000" w:themeColor="text1"/>
          <w:sz w:val="28"/>
          <w:szCs w:val="28"/>
        </w:rPr>
        <w:t>3.2.1.2.1</w:t>
      </w:r>
      <w:r w:rsidRPr="00C00F77">
        <w:rPr>
          <w:rFonts w:ascii="Times New Roman" w:hAnsi="Times New Roman" w:cs="Times New Roman"/>
          <w:color w:val="000000" w:themeColor="text1"/>
          <w:sz w:val="28"/>
          <w:szCs w:val="28"/>
        </w:rPr>
        <w:tab/>
        <w:t>Overexpression of Atl amidase</w:t>
      </w:r>
    </w:p>
    <w:p w:rsidR="002D7C9B" w:rsidRPr="00C00F77" w:rsidRDefault="002D7C9B" w:rsidP="002D7C9B">
      <w:pPr>
        <w:spacing w:line="480" w:lineRule="auto"/>
        <w:jc w:val="both"/>
        <w:rPr>
          <w:rFonts w:ascii="Times New Roman" w:hAnsi="Times New Roman" w:cs="Times New Roman"/>
          <w:color w:val="000000" w:themeColor="text1"/>
          <w:sz w:val="24"/>
          <w:szCs w:val="24"/>
        </w:rPr>
      </w:pPr>
      <w:r w:rsidRPr="00C00F77">
        <w:rPr>
          <w:rFonts w:ascii="Times New Roman" w:hAnsi="Times New Roman" w:cs="Times New Roman"/>
          <w:color w:val="000000" w:themeColor="text1"/>
          <w:sz w:val="24"/>
          <w:szCs w:val="24"/>
        </w:rPr>
        <w:t>Overexpression of Atl amidase was carried out by IPTG induction as described in Chapter 2.12.1. Successful over-expression of the recombinant protein was indicated by the presence of a high yield protein band of approximately 62 kDa four hours post-IPTG induction, corresponding to the predicted mass of Atl amidase (Figure 3.</w:t>
      </w:r>
      <w:r>
        <w:rPr>
          <w:rFonts w:ascii="Times New Roman" w:hAnsi="Times New Roman" w:cs="Times New Roman"/>
          <w:color w:val="000000" w:themeColor="text1"/>
          <w:sz w:val="24"/>
          <w:szCs w:val="24"/>
        </w:rPr>
        <w:t>2</w:t>
      </w:r>
      <w:r w:rsidRPr="00C00F77">
        <w:rPr>
          <w:rFonts w:ascii="Times New Roman" w:hAnsi="Times New Roman" w:cs="Times New Roman"/>
          <w:color w:val="000000" w:themeColor="text1"/>
          <w:sz w:val="24"/>
          <w:szCs w:val="24"/>
        </w:rPr>
        <w:t>A, lane 2). This band was absent from the pre-IPTG induction sample (Figure 3.</w:t>
      </w:r>
      <w:r>
        <w:rPr>
          <w:rFonts w:ascii="Times New Roman" w:hAnsi="Times New Roman" w:cs="Times New Roman"/>
          <w:color w:val="000000" w:themeColor="text1"/>
          <w:sz w:val="24"/>
          <w:szCs w:val="24"/>
        </w:rPr>
        <w:t>2</w:t>
      </w:r>
      <w:r w:rsidRPr="00C00F77">
        <w:rPr>
          <w:rFonts w:ascii="Times New Roman" w:hAnsi="Times New Roman" w:cs="Times New Roman"/>
          <w:color w:val="000000" w:themeColor="text1"/>
          <w:sz w:val="24"/>
          <w:szCs w:val="24"/>
        </w:rPr>
        <w:t>A, lane 1). Protein solubility was determined by SDS-PAGE analysis as described in Chapter 2.12.2. The overexpressed protein was present in the soluble fraction (Figure 3.</w:t>
      </w:r>
      <w:r>
        <w:rPr>
          <w:rFonts w:ascii="Times New Roman" w:hAnsi="Times New Roman" w:cs="Times New Roman"/>
          <w:color w:val="000000" w:themeColor="text1"/>
          <w:sz w:val="24"/>
          <w:szCs w:val="24"/>
        </w:rPr>
        <w:t>2</w:t>
      </w:r>
      <w:r w:rsidRPr="00C00F77">
        <w:rPr>
          <w:rFonts w:ascii="Times New Roman" w:hAnsi="Times New Roman" w:cs="Times New Roman"/>
          <w:color w:val="000000" w:themeColor="text1"/>
          <w:sz w:val="24"/>
          <w:szCs w:val="24"/>
        </w:rPr>
        <w:t xml:space="preserve">A, </w:t>
      </w:r>
      <w:r w:rsidRPr="00C00F77">
        <w:rPr>
          <w:rFonts w:ascii="Times New Roman" w:hAnsi="Times New Roman" w:cs="Times New Roman"/>
          <w:color w:val="000000" w:themeColor="text1"/>
          <w:sz w:val="24"/>
          <w:szCs w:val="24"/>
        </w:rPr>
        <w:lastRenderedPageBreak/>
        <w:t>lanes 3 and 4). However attempts to purify the soluble protein were initially unsuccessful (data not shown). Although Atl amidase was present in the soluble fraction, it apparently became insoluble and it was necessary to purify Atl amidase under denaturing conditions. Such a trend was observed during previous attempts to over-express soluble Atl amidase (Hayhurst, 2006).</w:t>
      </w:r>
    </w:p>
    <w:p w:rsidR="002D7C9B" w:rsidRPr="00C00F77" w:rsidRDefault="002D7C9B" w:rsidP="002D7C9B">
      <w:pPr>
        <w:spacing w:line="480" w:lineRule="auto"/>
        <w:rPr>
          <w:rFonts w:ascii="Times New Roman" w:hAnsi="Times New Roman" w:cs="Times New Roman"/>
          <w:color w:val="000000" w:themeColor="text1"/>
          <w:sz w:val="24"/>
          <w:szCs w:val="24"/>
        </w:rPr>
      </w:pPr>
    </w:p>
    <w:p w:rsidR="002D7C9B" w:rsidRPr="00C00F77" w:rsidRDefault="002D7C9B" w:rsidP="002D7C9B">
      <w:pPr>
        <w:spacing w:line="480" w:lineRule="auto"/>
        <w:rPr>
          <w:rFonts w:ascii="Times New Roman" w:hAnsi="Times New Roman" w:cs="Times New Roman"/>
          <w:color w:val="000000" w:themeColor="text1"/>
          <w:sz w:val="28"/>
          <w:szCs w:val="28"/>
        </w:rPr>
      </w:pPr>
      <w:r w:rsidRPr="00C00F77">
        <w:rPr>
          <w:rFonts w:ascii="Times New Roman" w:hAnsi="Times New Roman" w:cs="Times New Roman"/>
          <w:color w:val="000000" w:themeColor="text1"/>
          <w:sz w:val="28"/>
          <w:szCs w:val="28"/>
        </w:rPr>
        <w:t>3.2.1.2.2</w:t>
      </w:r>
      <w:r w:rsidRPr="00C00F77">
        <w:rPr>
          <w:rFonts w:ascii="Times New Roman" w:hAnsi="Times New Roman" w:cs="Times New Roman"/>
          <w:color w:val="000000" w:themeColor="text1"/>
          <w:sz w:val="28"/>
          <w:szCs w:val="28"/>
        </w:rPr>
        <w:tab/>
        <w:t>Purification of Atl amidase</w:t>
      </w:r>
    </w:p>
    <w:p w:rsidR="002D7C9B" w:rsidRPr="00C00F77" w:rsidRDefault="002D7C9B" w:rsidP="002D7C9B">
      <w:pPr>
        <w:spacing w:line="480" w:lineRule="auto"/>
        <w:jc w:val="both"/>
        <w:rPr>
          <w:rFonts w:ascii="Times New Roman" w:hAnsi="Times New Roman" w:cs="Times New Roman"/>
          <w:color w:val="000000" w:themeColor="text1"/>
          <w:sz w:val="24"/>
          <w:szCs w:val="24"/>
        </w:rPr>
      </w:pPr>
      <w:r w:rsidRPr="00C00F77">
        <w:rPr>
          <w:rFonts w:ascii="Times New Roman" w:hAnsi="Times New Roman" w:cs="Times New Roman"/>
          <w:color w:val="000000" w:themeColor="text1"/>
          <w:sz w:val="24"/>
          <w:szCs w:val="24"/>
        </w:rPr>
        <w:t>The recombinant Atl amidase contains a C-terminal His tag, facilitating purification in a single step by nickel-affinity chromatography using a HiTrap column as described in Chapter 2.12.4. As Atl amidase was insoluble, it was necessary to purify the amidase in the presence of 8 M urea. Protein was purified using the HiTrap system and eluted using an imidazole gradient as described in Chapter 2.12.4. Elution of Atl amidase was maximal at a buffer concentration corresponding to approximately 150 mM imidazole, as indicated by UV detection at 280 nm. Fractions corresponding to this absorbance peak were collected and analysed by SDS-PAGE, confirming overexpression of protein at the expected size for Atl amidase (Fig 3.1B). Some smaller bands present in the overloaded lanes, were most likely Atl amidase degradation products.</w:t>
      </w:r>
    </w:p>
    <w:p w:rsidR="002D7C9B" w:rsidRPr="00C00F77" w:rsidRDefault="002D7C9B" w:rsidP="002D7C9B">
      <w:pPr>
        <w:spacing w:line="480" w:lineRule="auto"/>
        <w:jc w:val="both"/>
        <w:rPr>
          <w:rFonts w:ascii="Times New Roman" w:hAnsi="Times New Roman" w:cs="Times New Roman"/>
          <w:color w:val="000000" w:themeColor="text1"/>
          <w:sz w:val="24"/>
          <w:szCs w:val="24"/>
        </w:rPr>
      </w:pPr>
      <w:r w:rsidRPr="00C00F77">
        <w:rPr>
          <w:rFonts w:ascii="Times New Roman" w:hAnsi="Times New Roman" w:cs="Times New Roman"/>
          <w:color w:val="000000" w:themeColor="text1"/>
          <w:sz w:val="24"/>
          <w:szCs w:val="24"/>
        </w:rPr>
        <w:t>Appropriate fractions were pooled and salt/urea concentrations depleted by dialysis in 1 l PBS, with stepwise decreases in urea concentration as described in Chapter 2.12.5. Incremental decrease in urea concentration helps prevent precipitation of the recombinant protein. Buffer was changed six times over a 24 hour period. The final urea concentration of the sample was approximately 250 µM. Final Atl amidase concentration was 2.5 mg ml</w:t>
      </w:r>
      <w:r w:rsidRPr="00C00F77">
        <w:rPr>
          <w:rFonts w:ascii="Times New Roman" w:hAnsi="Times New Roman" w:cs="Times New Roman"/>
          <w:color w:val="000000" w:themeColor="text1"/>
          <w:sz w:val="24"/>
          <w:szCs w:val="24"/>
          <w:vertAlign w:val="superscript"/>
        </w:rPr>
        <w:t>-1</w:t>
      </w:r>
      <w:r w:rsidRPr="00C00F77">
        <w:rPr>
          <w:rFonts w:ascii="Times New Roman" w:hAnsi="Times New Roman" w:cs="Times New Roman"/>
          <w:color w:val="000000" w:themeColor="text1"/>
          <w:sz w:val="24"/>
          <w:szCs w:val="24"/>
        </w:rPr>
        <w:t xml:space="preserve"> as determined by Bio-Rad protein concentration assay (Chapter 2.12.5).</w:t>
      </w:r>
    </w:p>
    <w:p w:rsidR="002D7C9B" w:rsidRDefault="002D7C9B" w:rsidP="002D7C9B">
      <w:pPr>
        <w:spacing w:line="48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5288915" cy="5239385"/>
            <wp:effectExtent l="0" t="0" r="0" b="0"/>
            <wp:docPr id="12" name="Picture 6" descr="Description: Fig 3.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Fig 3.1.emf"/>
                    <pic:cNvPicPr>
                      <a:picLocks noChangeAspect="1" noChangeArrowheads="1"/>
                    </pic:cNvPicPr>
                  </pic:nvPicPr>
                  <pic:blipFill>
                    <a:blip r:embed="rId34" cstate="print">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8915" cy="5239385"/>
                    </a:xfrm>
                    <a:prstGeom prst="rect">
                      <a:avLst/>
                    </a:prstGeom>
                    <a:noFill/>
                    <a:ln>
                      <a:noFill/>
                    </a:ln>
                  </pic:spPr>
                </pic:pic>
              </a:graphicData>
            </a:graphic>
          </wp:inline>
        </w:drawing>
      </w:r>
    </w:p>
    <w:p w:rsidR="002D7C9B" w:rsidRDefault="002D7C9B" w:rsidP="002D7C9B">
      <w:pPr>
        <w:spacing w:line="360" w:lineRule="auto"/>
        <w:jc w:val="both"/>
        <w:rPr>
          <w:rFonts w:ascii="Times New Roman" w:hAnsi="Times New Roman" w:cs="Times New Roman"/>
          <w:sz w:val="24"/>
          <w:szCs w:val="24"/>
        </w:rPr>
      </w:pPr>
      <w:proofErr w:type="gramStart"/>
      <w:r w:rsidRPr="00D95C4C">
        <w:rPr>
          <w:rFonts w:ascii="Times New Roman" w:hAnsi="Times New Roman" w:cs="Times New Roman"/>
          <w:b/>
          <w:sz w:val="24"/>
          <w:szCs w:val="24"/>
        </w:rPr>
        <w:t>Fig</w:t>
      </w:r>
      <w:r>
        <w:rPr>
          <w:rFonts w:ascii="Times New Roman" w:hAnsi="Times New Roman" w:cs="Times New Roman"/>
          <w:b/>
          <w:sz w:val="24"/>
          <w:szCs w:val="24"/>
        </w:rPr>
        <w:t>ure</w:t>
      </w:r>
      <w:r w:rsidRPr="00D95C4C">
        <w:rPr>
          <w:rFonts w:ascii="Times New Roman" w:hAnsi="Times New Roman" w:cs="Times New Roman"/>
          <w:b/>
          <w:sz w:val="24"/>
          <w:szCs w:val="24"/>
        </w:rPr>
        <w:t xml:space="preserve"> 3.</w:t>
      </w:r>
      <w:r>
        <w:rPr>
          <w:rFonts w:ascii="Times New Roman" w:hAnsi="Times New Roman" w:cs="Times New Roman"/>
          <w:b/>
          <w:sz w:val="24"/>
          <w:szCs w:val="24"/>
        </w:rPr>
        <w:t>2</w:t>
      </w:r>
      <w:r w:rsidRPr="00D95C4C">
        <w:rPr>
          <w:rFonts w:ascii="Times New Roman" w:hAnsi="Times New Roman" w:cs="Times New Roman"/>
          <w:b/>
          <w:sz w:val="24"/>
          <w:szCs w:val="24"/>
        </w:rPr>
        <w:t>.</w:t>
      </w:r>
      <w:proofErr w:type="gramEnd"/>
      <w:r w:rsidRPr="00D95C4C">
        <w:rPr>
          <w:rFonts w:ascii="Times New Roman" w:hAnsi="Times New Roman" w:cs="Times New Roman"/>
          <w:b/>
          <w:sz w:val="24"/>
          <w:szCs w:val="24"/>
        </w:rPr>
        <w:t xml:space="preserve"> </w:t>
      </w:r>
      <w:proofErr w:type="gramStart"/>
      <w:r>
        <w:rPr>
          <w:rFonts w:ascii="Times New Roman" w:hAnsi="Times New Roman" w:cs="Times New Roman"/>
          <w:b/>
          <w:sz w:val="24"/>
          <w:szCs w:val="24"/>
        </w:rPr>
        <w:t>O</w:t>
      </w:r>
      <w:r w:rsidRPr="00D95C4C">
        <w:rPr>
          <w:rFonts w:ascii="Times New Roman" w:hAnsi="Times New Roman" w:cs="Times New Roman"/>
          <w:b/>
          <w:sz w:val="24"/>
          <w:szCs w:val="24"/>
        </w:rPr>
        <w:t>verexpression and purification of Atl amidase.</w:t>
      </w:r>
      <w:proofErr w:type="gramEnd"/>
      <w:r>
        <w:rPr>
          <w:rFonts w:ascii="Times New Roman" w:hAnsi="Times New Roman" w:cs="Times New Roman"/>
          <w:sz w:val="24"/>
          <w:szCs w:val="24"/>
        </w:rPr>
        <w:t xml:space="preserve"> (A) SDS-PAGE analysis shows a large protein band corresponding to the 62 kDA Atl amidase. </w:t>
      </w:r>
      <w:proofErr w:type="gramStart"/>
      <w:r>
        <w:rPr>
          <w:rFonts w:ascii="Times New Roman" w:hAnsi="Times New Roman" w:cs="Times New Roman"/>
          <w:sz w:val="24"/>
          <w:szCs w:val="24"/>
        </w:rPr>
        <w:t>Lane 1, total cell protein pre-IPTG induction; lane 2, total cell protein 4 hours post-IPTG induction; lane 3, soluble protein fraction 4 hours post-IPTG induction; lane 4, insoluble protein fraction four hours post-IPTG induction.</w:t>
      </w:r>
      <w:proofErr w:type="gramEnd"/>
      <w:r>
        <w:rPr>
          <w:rFonts w:ascii="Times New Roman" w:hAnsi="Times New Roman" w:cs="Times New Roman"/>
          <w:sz w:val="24"/>
          <w:szCs w:val="24"/>
        </w:rPr>
        <w:t xml:space="preserve"> (B) SDS-PAGE analysis of fractions collected following HiTrap column purification indicates the presence of the 62kDa recombinant Atl amidase (Lanes 1-14). Protein bands were visualised with coomassie blue staining solution (Chapter 2.3.6.3). Black arrows indicate putative Atl amidase bands. </w:t>
      </w:r>
      <w:proofErr w:type="gramStart"/>
      <w:r>
        <w:rPr>
          <w:rFonts w:ascii="Times New Roman" w:hAnsi="Times New Roman" w:cs="Times New Roman"/>
          <w:sz w:val="24"/>
          <w:szCs w:val="24"/>
        </w:rPr>
        <w:t>MW, molecular weight marker.</w:t>
      </w:r>
      <w:proofErr w:type="gramEnd"/>
    </w:p>
    <w:p w:rsidR="002D7C9B" w:rsidRDefault="002D7C9B" w:rsidP="002D7C9B">
      <w:pPr>
        <w:spacing w:line="480" w:lineRule="auto"/>
        <w:rPr>
          <w:rFonts w:ascii="Times New Roman" w:hAnsi="Times New Roman" w:cs="Times New Roman"/>
          <w:sz w:val="24"/>
          <w:szCs w:val="24"/>
        </w:rPr>
      </w:pPr>
      <w:r>
        <w:rPr>
          <w:rFonts w:ascii="Times New Roman" w:hAnsi="Times New Roman" w:cs="Times New Roman"/>
          <w:sz w:val="24"/>
          <w:szCs w:val="24"/>
        </w:rPr>
        <w:br w:type="page"/>
      </w:r>
    </w:p>
    <w:p w:rsidR="002D7C9B" w:rsidRPr="00FB2792" w:rsidRDefault="002D7C9B" w:rsidP="002D7C9B">
      <w:pPr>
        <w:spacing w:line="480" w:lineRule="auto"/>
        <w:jc w:val="both"/>
        <w:rPr>
          <w:rFonts w:ascii="Times New Roman" w:hAnsi="Times New Roman" w:cs="Times New Roman"/>
          <w:sz w:val="28"/>
          <w:szCs w:val="28"/>
        </w:rPr>
      </w:pPr>
      <w:r>
        <w:rPr>
          <w:rFonts w:ascii="Times New Roman" w:hAnsi="Times New Roman" w:cs="Times New Roman"/>
          <w:sz w:val="28"/>
          <w:szCs w:val="28"/>
        </w:rPr>
        <w:lastRenderedPageBreak/>
        <w:t>3.2.1.3</w:t>
      </w:r>
      <w:r>
        <w:rPr>
          <w:rFonts w:ascii="Times New Roman" w:hAnsi="Times New Roman" w:cs="Times New Roman"/>
          <w:sz w:val="28"/>
          <w:szCs w:val="28"/>
        </w:rPr>
        <w:tab/>
        <w:t>Hydrolysis of radiolabelled peptidoglycan with Atl amidase</w:t>
      </w:r>
    </w:p>
    <w:p w:rsidR="002D7C9B" w:rsidRPr="00C00F77" w:rsidRDefault="002D7C9B" w:rsidP="002D7C9B">
      <w:pPr>
        <w:spacing w:line="480" w:lineRule="auto"/>
        <w:jc w:val="both"/>
        <w:rPr>
          <w:rFonts w:ascii="Times New Roman" w:hAnsi="Times New Roman" w:cs="Times New Roman"/>
          <w:color w:val="000000" w:themeColor="text1"/>
          <w:sz w:val="24"/>
          <w:szCs w:val="24"/>
        </w:rPr>
      </w:pPr>
      <w:r w:rsidRPr="00C00F77">
        <w:rPr>
          <w:rFonts w:ascii="Times New Roman" w:hAnsi="Times New Roman" w:cs="Times New Roman"/>
          <w:color w:val="000000" w:themeColor="text1"/>
          <w:sz w:val="24"/>
          <w:szCs w:val="24"/>
        </w:rPr>
        <w:t xml:space="preserve">Peptidoglycan of ovococci was labelled with </w:t>
      </w:r>
      <w:r w:rsidRPr="00C00F77">
        <w:rPr>
          <w:rFonts w:ascii="Times New Roman" w:hAnsi="Times New Roman" w:cs="Times New Roman"/>
          <w:i/>
          <w:color w:val="000000" w:themeColor="text1"/>
          <w:sz w:val="24"/>
          <w:szCs w:val="24"/>
        </w:rPr>
        <w:t>N</w:t>
      </w:r>
      <w:r w:rsidRPr="00C00F77">
        <w:rPr>
          <w:rFonts w:ascii="Times New Roman" w:hAnsi="Times New Roman" w:cs="Times New Roman"/>
          <w:color w:val="000000" w:themeColor="text1"/>
          <w:sz w:val="24"/>
          <w:szCs w:val="24"/>
        </w:rPr>
        <w:t>-</w:t>
      </w:r>
      <w:proofErr w:type="gramStart"/>
      <w:r w:rsidRPr="00C00F77">
        <w:rPr>
          <w:rFonts w:ascii="Times New Roman" w:hAnsi="Times New Roman" w:cs="Times New Roman"/>
          <w:color w:val="000000" w:themeColor="text1"/>
          <w:sz w:val="24"/>
          <w:szCs w:val="24"/>
        </w:rPr>
        <w:t>acetyl[</w:t>
      </w:r>
      <w:proofErr w:type="gramEnd"/>
      <w:r w:rsidRPr="00C00F77">
        <w:rPr>
          <w:rFonts w:ascii="Times New Roman" w:hAnsi="Times New Roman" w:cs="Times New Roman"/>
          <w:color w:val="000000" w:themeColor="text1"/>
          <w:sz w:val="24"/>
          <w:szCs w:val="24"/>
          <w:vertAlign w:val="superscript"/>
        </w:rPr>
        <w:t>14</w:t>
      </w:r>
      <w:r w:rsidRPr="00C00F77">
        <w:rPr>
          <w:rFonts w:ascii="Times New Roman" w:hAnsi="Times New Roman" w:cs="Times New Roman"/>
          <w:color w:val="000000" w:themeColor="text1"/>
          <w:sz w:val="24"/>
          <w:szCs w:val="24"/>
        </w:rPr>
        <w:t xml:space="preserve">C]glucosamine, purified, and digested with the </w:t>
      </w:r>
      <w:r w:rsidRPr="00C00F77">
        <w:rPr>
          <w:rFonts w:ascii="Times New Roman" w:hAnsi="Times New Roman" w:cs="Times New Roman"/>
          <w:i/>
          <w:color w:val="000000" w:themeColor="text1"/>
          <w:sz w:val="24"/>
          <w:szCs w:val="24"/>
        </w:rPr>
        <w:t>S. aureus</w:t>
      </w:r>
      <w:r w:rsidRPr="00C00F77">
        <w:rPr>
          <w:rFonts w:ascii="Times New Roman" w:hAnsi="Times New Roman" w:cs="Times New Roman"/>
          <w:color w:val="000000" w:themeColor="text1"/>
          <w:sz w:val="24"/>
          <w:szCs w:val="24"/>
        </w:rPr>
        <w:t xml:space="preserve"> Atl amidase as described in Chapters 2.16.1 to 2.16.3 and Table 2.7. Incomplete digest by Atl amidase could lead to the detection of artificially </w:t>
      </w:r>
      <w:bookmarkStart w:id="0" w:name="_GoBack"/>
      <w:bookmarkEnd w:id="0"/>
      <w:r w:rsidRPr="00C00F77">
        <w:rPr>
          <w:rFonts w:ascii="Times New Roman" w:hAnsi="Times New Roman" w:cs="Times New Roman"/>
          <w:color w:val="000000" w:themeColor="text1"/>
          <w:sz w:val="24"/>
          <w:szCs w:val="24"/>
        </w:rPr>
        <w:t>long glycan strands due to the presence of cross-linked glycans. The amidase treated peptidoglycan was therefore further digested with mutanolysin (Table 2.7) to release any undigested material. Residual cross-linked material would be detected as disaccharide-peptide monomers and dimers. Peptidoglycan that had not been treated with Atl amidase was digested with mutanolysin as a control. Muropeptide analysis of the non-amidase treated sample revealed that peaks corresponding to dimeric peptide</w:t>
      </w:r>
      <w:r>
        <w:rPr>
          <w:rFonts w:ascii="Times New Roman" w:hAnsi="Times New Roman" w:cs="Times New Roman"/>
          <w:color w:val="000000" w:themeColor="text1"/>
          <w:sz w:val="24"/>
          <w:szCs w:val="24"/>
        </w:rPr>
        <w:t>s were eluted between approxim</w:t>
      </w:r>
      <w:r w:rsidRPr="00C00F77">
        <w:rPr>
          <w:rFonts w:ascii="Times New Roman" w:hAnsi="Times New Roman" w:cs="Times New Roman"/>
          <w:color w:val="000000" w:themeColor="text1"/>
          <w:sz w:val="24"/>
          <w:szCs w:val="24"/>
        </w:rPr>
        <w:t>ately 35-60 min depending on the species (</w:t>
      </w:r>
      <w:r>
        <w:rPr>
          <w:rFonts w:ascii="Times New Roman" w:hAnsi="Times New Roman" w:cs="Times New Roman"/>
          <w:color w:val="000000" w:themeColor="text1"/>
          <w:sz w:val="24"/>
          <w:szCs w:val="24"/>
        </w:rPr>
        <w:t>Figure 3.3</w:t>
      </w:r>
      <w:r w:rsidRPr="00C00F77">
        <w:rPr>
          <w:rFonts w:ascii="Times New Roman" w:hAnsi="Times New Roman" w:cs="Times New Roman"/>
          <w:color w:val="000000" w:themeColor="text1"/>
          <w:sz w:val="24"/>
          <w:szCs w:val="24"/>
        </w:rPr>
        <w:t>A, shaded area). No corresponding disaccharide-peptide material was detected in the Atl amidase treated sample (</w:t>
      </w:r>
      <w:r>
        <w:rPr>
          <w:rFonts w:ascii="Times New Roman" w:hAnsi="Times New Roman" w:cs="Times New Roman"/>
          <w:color w:val="000000" w:themeColor="text1"/>
          <w:sz w:val="24"/>
          <w:szCs w:val="24"/>
        </w:rPr>
        <w:t>Figure 3.3</w:t>
      </w:r>
      <w:r w:rsidRPr="00C00F77">
        <w:rPr>
          <w:rFonts w:ascii="Times New Roman" w:hAnsi="Times New Roman" w:cs="Times New Roman"/>
          <w:color w:val="000000" w:themeColor="text1"/>
          <w:sz w:val="24"/>
          <w:szCs w:val="24"/>
        </w:rPr>
        <w:t>B and C, shaded area), confirming the completeness of the Atl amidase digest.</w:t>
      </w:r>
    </w:p>
    <w:p w:rsidR="002D7C9B" w:rsidRPr="00C00F77" w:rsidRDefault="002D7C9B" w:rsidP="002D7C9B">
      <w:pPr>
        <w:spacing w:line="480" w:lineRule="auto"/>
        <w:jc w:val="both"/>
        <w:rPr>
          <w:rFonts w:ascii="Times New Roman" w:hAnsi="Times New Roman" w:cs="Times New Roman"/>
          <w:color w:val="000000" w:themeColor="text1"/>
          <w:sz w:val="24"/>
          <w:szCs w:val="24"/>
        </w:rPr>
      </w:pPr>
    </w:p>
    <w:p w:rsidR="002D7C9B" w:rsidRPr="00C00F77" w:rsidRDefault="002D7C9B" w:rsidP="002D7C9B">
      <w:pPr>
        <w:spacing w:before="120" w:after="120" w:line="480" w:lineRule="auto"/>
        <w:ind w:left="1418" w:hanging="1418"/>
        <w:jc w:val="both"/>
        <w:rPr>
          <w:rFonts w:ascii="Times New Roman" w:hAnsi="Times New Roman" w:cs="Times New Roman"/>
          <w:color w:val="000000" w:themeColor="text1"/>
          <w:sz w:val="24"/>
          <w:szCs w:val="24"/>
        </w:rPr>
      </w:pPr>
      <w:r w:rsidRPr="00C00F77">
        <w:rPr>
          <w:rFonts w:ascii="Times New Roman" w:hAnsi="Times New Roman" w:cs="Times New Roman"/>
          <w:color w:val="000000" w:themeColor="text1"/>
          <w:sz w:val="28"/>
          <w:szCs w:val="28"/>
        </w:rPr>
        <w:t>3.2.1.4</w:t>
      </w:r>
      <w:r w:rsidRPr="00C00F77">
        <w:rPr>
          <w:rFonts w:ascii="Times New Roman" w:hAnsi="Times New Roman" w:cs="Times New Roman"/>
          <w:color w:val="000000" w:themeColor="text1"/>
          <w:sz w:val="28"/>
          <w:szCs w:val="28"/>
        </w:rPr>
        <w:tab/>
        <w:t>Rationale for analysis of ovococci glycan chain length by size-exclusion HPLC</w:t>
      </w:r>
    </w:p>
    <w:p w:rsidR="002D7C9B" w:rsidRDefault="002D7C9B" w:rsidP="002D7C9B">
      <w:pPr>
        <w:spacing w:line="480" w:lineRule="auto"/>
        <w:jc w:val="both"/>
        <w:rPr>
          <w:rFonts w:ascii="Times New Roman" w:hAnsi="Times New Roman" w:cs="Times New Roman"/>
          <w:sz w:val="24"/>
          <w:szCs w:val="24"/>
        </w:rPr>
        <w:sectPr w:rsidR="002D7C9B" w:rsidSect="002D7C9B">
          <w:footerReference w:type="default" r:id="rId35"/>
          <w:type w:val="continuous"/>
          <w:pgSz w:w="11906" w:h="16838"/>
          <w:pgMar w:top="1440" w:right="1134" w:bottom="1440" w:left="2268" w:header="709" w:footer="709" w:gutter="0"/>
          <w:cols w:space="708"/>
          <w:docGrid w:linePitch="360"/>
        </w:sectPr>
      </w:pPr>
      <w:r w:rsidRPr="00C00F77">
        <w:rPr>
          <w:rFonts w:ascii="Times New Roman" w:hAnsi="Times New Roman" w:cs="Times New Roman"/>
          <w:color w:val="000000" w:themeColor="text1"/>
          <w:sz w:val="24"/>
          <w:szCs w:val="24"/>
        </w:rPr>
        <w:t xml:space="preserve">Analysis of glycan strands by rp-HPLC is a precise method for resolving glycan chains of up to around 30 disaccharides in length </w:t>
      </w:r>
      <w:r w:rsidRPr="00C00F77">
        <w:rPr>
          <w:rFonts w:ascii="Times New Roman" w:hAnsi="Times New Roman" w:cs="Times New Roman"/>
          <w:color w:val="000000" w:themeColor="text1"/>
          <w:sz w:val="24"/>
          <w:szCs w:val="24"/>
        </w:rPr>
        <w:fldChar w:fldCharType="begin"/>
      </w:r>
      <w:r w:rsidRPr="00C00F77">
        <w:rPr>
          <w:rFonts w:ascii="Times New Roman" w:hAnsi="Times New Roman" w:cs="Times New Roman"/>
          <w:color w:val="000000" w:themeColor="text1"/>
          <w:sz w:val="24"/>
          <w:szCs w:val="24"/>
        </w:rPr>
        <w:instrText xml:space="preserve"> ADDIN ZOTERO_ITEM CSL_CITATION {"citationID":"1t967eeprr","properties":{"formattedCitation":"(Boneca et al., 2000)","plainCitation":"(Boneca et al., 2000)"},"citationItems":[{"id":7,"uris":["http://zotero.org/users/944474/items/AQ75H8SX"],"uri":["http://zotero.org/users/944474/items/AQ75H8SX"],"itemData":{"id":7,"type":"article-journal","title":"Characterization of Staphylococcus aureus cell wall glycan strands, evidence for a new beta-N-acetylglucosaminidase activity","container-title":"The Journal of Biological Chemistry","page":"9910-9918","volume":"275","issue":"14","abstract":"Using sequential digestion with the glycyl-glycine endopeptidase lysostaphin followed by the pneumococcal N-acetylmuramyl-L-alanine amidase (amidase), the glycan strands of the peptidoglycan of Staphylococcus aureus were purified and analyzed by a combination of reverse-phase-high pressure liquid chromatography (HPLC) and mass spectrometry. Reverse-phase-HPLC resolved the glycan strands to a family of major peaks, which represented oligosaccharides composed of repeating disaccharide units (N-acetylglucosamine-[beta-1, 4]-N-acetylmuramic acid) with different degrees of polymerization and terminating with N-acetylmuramic acid residues at the reducing ends. The method allowed separation of strands up to 23-26 disaccharide units with a predominant length between 3 and 10 and an average degree of polymerization of approximately 6. Glycan strands with a higher degree of polymerization (&gt;26 disaccharide units) represented 10-15% of the total UV absorbing glycan material. A unique feature of the staphylococcal glycan strands was the presence of minor satellite peaks that were present throughout the HPLC elution profile eluting either just prior or shortly after the major oligosaccharide peaks. A number of observations including mass spectrometric analysis suggest that the satellites are the products of an N-acetylglucosaminidase activity that differs from the atl gene product and that appears to be involved with modification of the glycan strand structure.","note":"PMID: 10744664","journalAbbreviation":"J. Biol. Chem.","author":[{"family":"Boneca","given":"I G"},{"family":"Huang","given":"Z H"},{"family":"Gage","given":"D A"},{"family":"Tomasz","given":"A"}],"issued":{"year":2000,"month":4,"day":7},"accessed":{"year":2012,"month":3,"day":6}}}],"schema":"https://github.com/citation-style-language/schema/raw/master/csl-citation.json"} </w:instrText>
      </w:r>
      <w:r w:rsidRPr="00C00F77">
        <w:rPr>
          <w:rFonts w:ascii="Times New Roman" w:hAnsi="Times New Roman" w:cs="Times New Roman"/>
          <w:color w:val="000000" w:themeColor="text1"/>
          <w:sz w:val="24"/>
          <w:szCs w:val="24"/>
        </w:rPr>
        <w:fldChar w:fldCharType="separate"/>
      </w:r>
      <w:r w:rsidRPr="00C00F77">
        <w:rPr>
          <w:rFonts w:ascii="Times New Roman" w:hAnsi="Times New Roman" w:cs="Times New Roman"/>
          <w:color w:val="000000" w:themeColor="text1"/>
          <w:sz w:val="24"/>
          <w:szCs w:val="21"/>
        </w:rPr>
        <w:t xml:space="preserve">(Boneca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2000)</w:t>
      </w:r>
      <w:r w:rsidRPr="00C00F77">
        <w:rPr>
          <w:rFonts w:ascii="Times New Roman" w:hAnsi="Times New Roman" w:cs="Times New Roman"/>
          <w:color w:val="000000" w:themeColor="text1"/>
          <w:sz w:val="24"/>
          <w:szCs w:val="24"/>
        </w:rPr>
        <w:fldChar w:fldCharType="end"/>
      </w:r>
      <w:r w:rsidRPr="00C00F77">
        <w:rPr>
          <w:rFonts w:ascii="Times New Roman" w:hAnsi="Times New Roman" w:cs="Times New Roman"/>
          <w:color w:val="000000" w:themeColor="text1"/>
          <w:sz w:val="24"/>
          <w:szCs w:val="24"/>
        </w:rPr>
        <w:t xml:space="preserve">. However this method is incapable of resolving longer glycan strands </w:t>
      </w:r>
      <w:r w:rsidRPr="00C00F77">
        <w:rPr>
          <w:rFonts w:ascii="Times New Roman" w:hAnsi="Times New Roman" w:cs="Times New Roman"/>
          <w:color w:val="000000" w:themeColor="text1"/>
          <w:sz w:val="24"/>
          <w:szCs w:val="24"/>
        </w:rPr>
        <w:fldChar w:fldCharType="begin"/>
      </w:r>
      <w:r w:rsidRPr="00C00F77">
        <w:rPr>
          <w:rFonts w:ascii="Times New Roman" w:hAnsi="Times New Roman" w:cs="Times New Roman"/>
          <w:color w:val="000000" w:themeColor="text1"/>
          <w:sz w:val="24"/>
          <w:szCs w:val="24"/>
        </w:rPr>
        <w:instrText xml:space="preserve"> ADDIN ZOTERO_ITEM CSL_CITATION {"citationID":"5hamd5vqd","properties":{"formattedCitation":"(Hayhurst et al., 2008)","plainCitation":"(Hayhurst et al., 2008)"},"citationItems":[{"id":77,"uris":["http://zotero.org/users/944474/items/Z6IUFDEB"],"uri":["http://zotero.org/users/944474/items/Z6IUFDEB"],"itemData":{"id":77,"type":"article-journal","title":"Cell wall peptidoglycan architecture in Bacillus subtilis","container-title":"Proceedings of the National Academy of Sciences of the United States of America","page":"14603-14608","volume":"105","issue":"38","abstract":"The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polymer.","DOI":"10.1073/pnas.0804138105","note":"PMID: 18784364","journalAbbreviation":"Proc. Natl. Acad. Sci. U.S.A.","author":[{"family":"Hayhurst","given":"Emma J"},{"family":"Kailas","given":"Lekshmi"},{"family":"Hobbs","given":"Jamie K"},{"family":"Foster","given":"Simon J"}],"issued":{"year":2008,"month":9,"day":23},"accessed":{"year":2012,"month":3,"day":7}}}],"schema":"https://github.com/citation-style-language/schema/raw/master/csl-citation.json"} </w:instrText>
      </w:r>
      <w:r w:rsidRPr="00C00F77">
        <w:rPr>
          <w:rFonts w:ascii="Times New Roman" w:hAnsi="Times New Roman" w:cs="Times New Roman"/>
          <w:color w:val="000000" w:themeColor="text1"/>
          <w:sz w:val="24"/>
          <w:szCs w:val="24"/>
        </w:rPr>
        <w:fldChar w:fldCharType="separate"/>
      </w:r>
      <w:r w:rsidRPr="00C00F77">
        <w:rPr>
          <w:rFonts w:ascii="Times New Roman" w:hAnsi="Times New Roman" w:cs="Times New Roman"/>
          <w:color w:val="000000" w:themeColor="text1"/>
          <w:sz w:val="24"/>
          <w:szCs w:val="21"/>
        </w:rPr>
        <w:t xml:space="preserve">(Hayhurst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2008)</w:t>
      </w:r>
      <w:r w:rsidRPr="00C00F77">
        <w:rPr>
          <w:rFonts w:ascii="Times New Roman" w:hAnsi="Times New Roman" w:cs="Times New Roman"/>
          <w:color w:val="000000" w:themeColor="text1"/>
          <w:sz w:val="24"/>
          <w:szCs w:val="24"/>
        </w:rPr>
        <w:fldChar w:fldCharType="end"/>
      </w:r>
      <w:r w:rsidRPr="00C00F77">
        <w:rPr>
          <w:rFonts w:ascii="Times New Roman" w:hAnsi="Times New Roman" w:cs="Times New Roman"/>
          <w:color w:val="000000" w:themeColor="text1"/>
          <w:sz w:val="24"/>
          <w:szCs w:val="24"/>
        </w:rPr>
        <w:t>. The total glycan strand population of the ovococci could not be resolved by rp-HPLC (data not shown) suggesting that the average chain length was relatively lo</w:t>
      </w:r>
      <w:r>
        <w:rPr>
          <w:rFonts w:ascii="Times New Roman" w:hAnsi="Times New Roman" w:cs="Times New Roman"/>
          <w:color w:val="000000" w:themeColor="text1"/>
          <w:sz w:val="24"/>
          <w:szCs w:val="24"/>
        </w:rPr>
        <w:t>ng. Glycan chain length in ovoc</w:t>
      </w:r>
      <w:r w:rsidRPr="00C00F77">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rPr>
        <w:t>c</w:t>
      </w:r>
      <w:r w:rsidRPr="00C00F77">
        <w:rPr>
          <w:rFonts w:ascii="Times New Roman" w:hAnsi="Times New Roman" w:cs="Times New Roman"/>
          <w:color w:val="000000" w:themeColor="text1"/>
          <w:sz w:val="24"/>
          <w:szCs w:val="24"/>
        </w:rPr>
        <w:t>ci was therefore investigated by size-exclusion HPLC. This method is capable</w:t>
      </w:r>
      <w:r>
        <w:rPr>
          <w:rFonts w:ascii="Times New Roman" w:hAnsi="Times New Roman" w:cs="Times New Roman"/>
          <w:sz w:val="24"/>
          <w:szCs w:val="24"/>
        </w:rPr>
        <w:t xml:space="preserve"> of </w:t>
      </w:r>
    </w:p>
    <w:p w:rsidR="002D7C9B" w:rsidRPr="005D168E" w:rsidRDefault="002D7C9B" w:rsidP="002D7C9B">
      <w:pPr>
        <w:spacing w:before="120" w:after="120" w:line="480" w:lineRule="auto"/>
        <w:jc w:val="both"/>
        <w:rPr>
          <w:rFonts w:ascii="Times New Roman" w:hAnsi="Times New Roman" w:cs="Times New Roman"/>
          <w:color w:val="000000"/>
          <w:sz w:val="24"/>
          <w:szCs w:val="24"/>
        </w:rPr>
      </w:pPr>
      <w:r w:rsidRPr="00A36D09">
        <w:rPr>
          <w:rFonts w:ascii="Times New Roman" w:hAnsi="Times New Roman" w:cs="Times New Roman"/>
          <w:b/>
          <w:noProof/>
          <w:sz w:val="24"/>
          <w:szCs w:val="24"/>
          <w:lang w:val="en-US" w:eastAsia="zh-TW"/>
        </w:rPr>
        <w:lastRenderedPageBreak/>
        <w:pict>
          <v:shape id="_x0000_s1039" type="#_x0000_t202" style="position:absolute;left:0;text-align:left;margin-left:206.5pt;margin-top:380.85pt;width:13.75pt;height:28.7pt;z-index:251674624;mso-width-percent:400;mso-width-percent:400;mso-width-relative:margin;mso-height-relative:margin;v-text-anchor:middle" stroked="f">
            <v:textbox style="layout-flow:vertical;mso-layout-flow-alt:bottom-to-top;mso-fit-shape-to-text:t" inset="0,0,0,0">
              <w:txbxContent>
                <w:p w:rsidR="002D7C9B" w:rsidRDefault="002D7C9B" w:rsidP="002D7C9B">
                  <w:pPr>
                    <w:spacing w:after="0" w:line="240" w:lineRule="auto"/>
                    <w:jc w:val="center"/>
                  </w:pPr>
                  <w:r>
                    <w:t>A</w:t>
                  </w:r>
                  <w:r w:rsidRPr="00610040">
                    <w:rPr>
                      <w:vertAlign w:val="subscript"/>
                    </w:rPr>
                    <w:t>202</w:t>
                  </w:r>
                </w:p>
              </w:txbxContent>
            </v:textbox>
          </v:shape>
        </w:pict>
      </w:r>
      <w:r w:rsidRPr="00A36D09">
        <w:rPr>
          <w:rFonts w:ascii="Times New Roman" w:hAnsi="Times New Roman" w:cs="Times New Roman"/>
          <w:noProof/>
          <w:color w:val="000000"/>
          <w:sz w:val="24"/>
          <w:szCs w:val="24"/>
          <w:lang w:val="en-US" w:eastAsia="zh-TW"/>
        </w:rPr>
        <w:pict>
          <v:shape id="_x0000_s1038" type="#_x0000_t202" style="position:absolute;left:0;text-align:left;margin-left:9.3pt;margin-top:383.05pt;width:12.25pt;height:24.1pt;z-index:251673600;mso-width-relative:margin;mso-height-relative:margin;v-text-anchor:middle" stroked="f">
            <v:textbox style="layout-flow:vertical;mso-layout-flow-alt:bottom-to-top" inset="0,0,0,0">
              <w:txbxContent>
                <w:p w:rsidR="002D7C9B" w:rsidRDefault="002D7C9B" w:rsidP="002D7C9B">
                  <w:pPr>
                    <w:spacing w:after="0" w:line="240" w:lineRule="auto"/>
                    <w:jc w:val="center"/>
                  </w:pPr>
                  <w:r>
                    <w:t>A</w:t>
                  </w:r>
                  <w:r w:rsidRPr="00610040">
                    <w:rPr>
                      <w:vertAlign w:val="subscript"/>
                    </w:rPr>
                    <w:t>202</w:t>
                  </w:r>
                </w:p>
              </w:txbxContent>
            </v:textbox>
          </v:shape>
        </w:pict>
      </w:r>
      <w:r w:rsidRPr="00A36D09">
        <w:rPr>
          <w:rFonts w:ascii="Times New Roman" w:hAnsi="Times New Roman" w:cs="Times New Roman"/>
          <w:noProof/>
          <w:color w:val="000000"/>
          <w:sz w:val="24"/>
          <w:szCs w:val="24"/>
          <w:lang w:val="en-US" w:eastAsia="zh-TW"/>
        </w:rPr>
        <w:pict>
          <v:shape id="_x0000_s1036" type="#_x0000_t202" style="position:absolute;left:0;text-align:left;margin-left:5.9pt;margin-top:80.45pt;width:15.65pt;height:28.05pt;z-index:251671552;mso-width-relative:margin;mso-height-relative:margin;v-text-anchor:middle" stroked="f">
            <v:textbox style="layout-flow:vertical;mso-layout-flow-alt:bottom-to-top;mso-next-textbox:#_x0000_s1036" inset="0,0,0,0">
              <w:txbxContent>
                <w:p w:rsidR="002D7C9B" w:rsidRDefault="002D7C9B" w:rsidP="002D7C9B">
                  <w:pPr>
                    <w:spacing w:after="0" w:line="240" w:lineRule="auto"/>
                    <w:jc w:val="center"/>
                  </w:pPr>
                  <w:r>
                    <w:rPr>
                      <w:noProof/>
                      <w:lang w:eastAsia="en-GB"/>
                    </w:rPr>
                    <w:drawing>
                      <wp:inline distT="0" distB="0" distL="0" distR="0">
                        <wp:extent cx="198120" cy="353695"/>
                        <wp:effectExtent l="19050" t="0" r="0" b="0"/>
                        <wp:docPr id="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srcRect/>
                                <a:stretch>
                                  <a:fillRect/>
                                </a:stretch>
                              </pic:blipFill>
                              <pic:spPr bwMode="auto">
                                <a:xfrm>
                                  <a:off x="0" y="0"/>
                                  <a:ext cx="198120" cy="353695"/>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color w:val="000000"/>
          <w:sz w:val="24"/>
          <w:szCs w:val="24"/>
          <w:lang w:eastAsia="en-GB"/>
        </w:rPr>
        <w:pict>
          <v:shape id="_x0000_s1037" type="#_x0000_t202" style="position:absolute;left:0;text-align:left;margin-left:205.2pt;margin-top:81.95pt;width:14.25pt;height:25.1pt;z-index:251672576;v-text-anchor:middle" stroked="f">
            <v:textbox style="layout-flow:vertical;mso-layout-flow-alt:bottom-to-top" inset="0,0,0,0">
              <w:txbxContent>
                <w:p w:rsidR="002D7C9B" w:rsidRPr="00610040" w:rsidRDefault="002D7C9B" w:rsidP="002D7C9B">
                  <w:pPr>
                    <w:spacing w:after="0" w:line="240" w:lineRule="auto"/>
                    <w:jc w:val="center"/>
                    <w:rPr>
                      <w:vertAlign w:val="subscript"/>
                    </w:rPr>
                  </w:pPr>
                  <w:r>
                    <w:t>A</w:t>
                  </w:r>
                  <w:r w:rsidRPr="00610040">
                    <w:rPr>
                      <w:vertAlign w:val="subscript"/>
                    </w:rPr>
                    <w:t>202</w:t>
                  </w:r>
                </w:p>
              </w:txbxContent>
            </v:textbox>
          </v:shape>
        </w:pict>
      </w:r>
      <w:r>
        <w:rPr>
          <w:rFonts w:ascii="Times New Roman" w:hAnsi="Times New Roman" w:cs="Times New Roman"/>
          <w:noProof/>
          <w:color w:val="000000"/>
          <w:sz w:val="24"/>
          <w:szCs w:val="24"/>
          <w:lang w:eastAsia="en-GB"/>
        </w:rPr>
        <w:drawing>
          <wp:inline distT="0" distB="0" distL="0" distR="0">
            <wp:extent cx="5278120" cy="7622540"/>
            <wp:effectExtent l="19050" t="0" r="0" b="0"/>
            <wp:docPr id="13" name="Picture 4" descr="Fig 3.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2.emf"/>
                    <pic:cNvPicPr/>
                  </pic:nvPicPr>
                  <pic:blipFill>
                    <a:blip r:embed="rId37" cstate="print"/>
                    <a:stretch>
                      <a:fillRect/>
                    </a:stretch>
                  </pic:blipFill>
                  <pic:spPr>
                    <a:xfrm>
                      <a:off x="0" y="0"/>
                      <a:ext cx="5278120" cy="7622540"/>
                    </a:xfrm>
                    <a:prstGeom prst="rect">
                      <a:avLst/>
                    </a:prstGeom>
                  </pic:spPr>
                </pic:pic>
              </a:graphicData>
            </a:graphic>
          </wp:inline>
        </w:drawing>
      </w:r>
    </w:p>
    <w:p w:rsidR="002D7C9B" w:rsidRDefault="002D7C9B" w:rsidP="002D7C9B">
      <w:pPr>
        <w:rPr>
          <w:rFonts w:ascii="Times New Roman" w:hAnsi="Times New Roman" w:cs="Times New Roman"/>
          <w:b/>
          <w:sz w:val="24"/>
          <w:szCs w:val="24"/>
        </w:rPr>
      </w:pPr>
      <w:r>
        <w:rPr>
          <w:rFonts w:ascii="Times New Roman" w:hAnsi="Times New Roman" w:cs="Times New Roman"/>
          <w:b/>
          <w:sz w:val="24"/>
          <w:szCs w:val="24"/>
        </w:rPr>
        <w:br w:type="page"/>
      </w:r>
    </w:p>
    <w:p w:rsidR="002D7C9B" w:rsidRPr="00CD5CCD" w:rsidRDefault="002D7C9B" w:rsidP="002D7C9B">
      <w:pPr>
        <w:autoSpaceDE w:val="0"/>
        <w:autoSpaceDN w:val="0"/>
        <w:adjustRightInd w:val="0"/>
        <w:spacing w:after="0" w:line="360" w:lineRule="auto"/>
        <w:jc w:val="both"/>
        <w:rPr>
          <w:rFonts w:ascii="Times New Roman" w:hAnsi="Times New Roman" w:cs="Times New Roman"/>
          <w:sz w:val="24"/>
          <w:szCs w:val="24"/>
        </w:rPr>
      </w:pPr>
      <w:proofErr w:type="gramStart"/>
      <w:r w:rsidRPr="00CD5CCD">
        <w:rPr>
          <w:rFonts w:ascii="Times New Roman" w:hAnsi="Times New Roman" w:cs="Times New Roman"/>
          <w:b/>
          <w:sz w:val="24"/>
          <w:szCs w:val="24"/>
        </w:rPr>
        <w:lastRenderedPageBreak/>
        <w:t>Figure 3.</w:t>
      </w:r>
      <w:r>
        <w:rPr>
          <w:rFonts w:ascii="Times New Roman" w:hAnsi="Times New Roman" w:cs="Times New Roman"/>
          <w:b/>
          <w:sz w:val="24"/>
          <w:szCs w:val="24"/>
        </w:rPr>
        <w:t>3</w:t>
      </w:r>
      <w:r w:rsidRPr="00CD5CCD">
        <w:rPr>
          <w:rFonts w:ascii="Times New Roman" w:hAnsi="Times New Roman" w:cs="Times New Roman"/>
          <w:b/>
          <w:sz w:val="24"/>
          <w:szCs w:val="24"/>
        </w:rPr>
        <w:t>.</w:t>
      </w:r>
      <w:proofErr w:type="gramEnd"/>
      <w:r w:rsidRPr="00CD5CCD">
        <w:rPr>
          <w:rFonts w:ascii="Times New Roman" w:hAnsi="Times New Roman" w:cs="Times New Roman"/>
          <w:b/>
          <w:sz w:val="24"/>
          <w:szCs w:val="24"/>
        </w:rPr>
        <w:t xml:space="preserve"> </w:t>
      </w:r>
      <w:r w:rsidRPr="00CD5CCD">
        <w:rPr>
          <w:rFonts w:ascii="Times New Roman" w:hAnsi="Times New Roman" w:cs="Times New Roman"/>
          <w:b/>
          <w:bCs/>
          <w:sz w:val="24"/>
          <w:szCs w:val="24"/>
        </w:rPr>
        <w:t xml:space="preserve">HPLC analysis of </w:t>
      </w:r>
      <w:r w:rsidRPr="00CD5CCD">
        <w:rPr>
          <w:rFonts w:ascii="Times New Roman" w:hAnsi="Times New Roman" w:cs="Times New Roman"/>
          <w:b/>
          <w:bCs/>
          <w:sz w:val="24"/>
          <w:szCs w:val="24"/>
          <w:vertAlign w:val="superscript"/>
        </w:rPr>
        <w:t>14</w:t>
      </w:r>
      <w:r w:rsidRPr="00CD5CCD">
        <w:rPr>
          <w:rFonts w:ascii="Times New Roman" w:hAnsi="Times New Roman" w:cs="Times New Roman"/>
          <w:b/>
          <w:bCs/>
          <w:sz w:val="24"/>
          <w:szCs w:val="24"/>
        </w:rPr>
        <w:t xml:space="preserve">C-labelled glycan strands. </w:t>
      </w:r>
      <w:r w:rsidRPr="00CD5CCD">
        <w:rPr>
          <w:rFonts w:ascii="Times New Roman" w:hAnsi="Times New Roman" w:cs="Times New Roman"/>
          <w:sz w:val="24"/>
          <w:szCs w:val="24"/>
        </w:rPr>
        <w:t>For each of the</w:t>
      </w:r>
      <w:r w:rsidRPr="00CD5CCD">
        <w:rPr>
          <w:rFonts w:ascii="Arial" w:hAnsi="Arial" w:cs="Arial"/>
          <w:sz w:val="24"/>
          <w:szCs w:val="24"/>
        </w:rPr>
        <w:t xml:space="preserve"> </w:t>
      </w:r>
      <w:r w:rsidRPr="00CD5CCD">
        <w:rPr>
          <w:rFonts w:ascii="Times New Roman" w:hAnsi="Times New Roman" w:cs="Times New Roman"/>
          <w:sz w:val="24"/>
          <w:szCs w:val="24"/>
        </w:rPr>
        <w:t xml:space="preserve">ovococci and </w:t>
      </w:r>
      <w:r w:rsidRPr="00CD5CCD">
        <w:rPr>
          <w:rFonts w:ascii="Times New Roman" w:hAnsi="Times New Roman" w:cs="Times New Roman"/>
          <w:i/>
          <w:iCs/>
          <w:sz w:val="24"/>
          <w:szCs w:val="24"/>
        </w:rPr>
        <w:t>S. aureus</w:t>
      </w:r>
      <w:r w:rsidRPr="00CD5CCD">
        <w:rPr>
          <w:rFonts w:ascii="Times New Roman" w:hAnsi="Times New Roman" w:cs="Times New Roman"/>
          <w:sz w:val="24"/>
          <w:szCs w:val="24"/>
        </w:rPr>
        <w:t>, the following traces are shown: (</w:t>
      </w:r>
      <w:r w:rsidRPr="00CD5CCD">
        <w:rPr>
          <w:rFonts w:ascii="Times New Roman" w:hAnsi="Times New Roman" w:cs="Times New Roman"/>
          <w:b/>
          <w:bCs/>
          <w:sz w:val="24"/>
          <w:szCs w:val="24"/>
        </w:rPr>
        <w:t>A</w:t>
      </w:r>
      <w:r w:rsidRPr="00CD5CCD">
        <w:rPr>
          <w:rFonts w:ascii="Times New Roman" w:hAnsi="Times New Roman" w:cs="Times New Roman"/>
          <w:sz w:val="24"/>
          <w:szCs w:val="24"/>
        </w:rPr>
        <w:t>) rp-HPLC muropeptide profile of</w:t>
      </w:r>
      <w:r w:rsidRPr="00CD5CCD">
        <w:rPr>
          <w:rFonts w:ascii="Arial" w:hAnsi="Arial" w:cs="Arial"/>
          <w:sz w:val="24"/>
          <w:szCs w:val="24"/>
        </w:rPr>
        <w:t xml:space="preserve"> </w:t>
      </w:r>
      <w:r w:rsidRPr="00CD5CCD">
        <w:rPr>
          <w:rFonts w:ascii="Times New Roman" w:hAnsi="Times New Roman" w:cs="Times New Roman"/>
          <w:sz w:val="24"/>
          <w:szCs w:val="24"/>
        </w:rPr>
        <w:t>peptidoglycan after mutanolysin digestion. (</w:t>
      </w:r>
      <w:r w:rsidRPr="00CD5CCD">
        <w:rPr>
          <w:rFonts w:ascii="Times New Roman" w:hAnsi="Times New Roman" w:cs="Times New Roman"/>
          <w:b/>
          <w:bCs/>
          <w:sz w:val="24"/>
          <w:szCs w:val="24"/>
        </w:rPr>
        <w:t>B</w:t>
      </w:r>
      <w:r w:rsidRPr="00CD5CCD">
        <w:rPr>
          <w:rFonts w:ascii="Times New Roman" w:hAnsi="Times New Roman" w:cs="Times New Roman"/>
          <w:sz w:val="24"/>
          <w:szCs w:val="24"/>
        </w:rPr>
        <w:t xml:space="preserve">) rp-HPLC profile of </w:t>
      </w:r>
      <w:r>
        <w:rPr>
          <w:rFonts w:ascii="Times New Roman" w:hAnsi="Times New Roman" w:cs="Times New Roman"/>
          <w:sz w:val="24"/>
          <w:szCs w:val="24"/>
        </w:rPr>
        <w:t xml:space="preserve">Atl amidase and </w:t>
      </w:r>
      <w:r w:rsidRPr="00CD5CCD">
        <w:rPr>
          <w:rFonts w:ascii="Times New Roman" w:hAnsi="Times New Roman" w:cs="Times New Roman"/>
          <w:sz w:val="24"/>
          <w:szCs w:val="24"/>
        </w:rPr>
        <w:t>mutanolysin-digested,</w:t>
      </w:r>
      <w:r w:rsidRPr="00CD5CCD">
        <w:rPr>
          <w:rFonts w:ascii="Arial" w:hAnsi="Arial" w:cs="Arial"/>
          <w:sz w:val="24"/>
          <w:szCs w:val="24"/>
        </w:rPr>
        <w:t xml:space="preserve"> </w:t>
      </w:r>
      <w:r w:rsidRPr="00CD5CCD">
        <w:rPr>
          <w:rFonts w:ascii="Times New Roman" w:hAnsi="Times New Roman" w:cs="Times New Roman"/>
          <w:sz w:val="24"/>
          <w:szCs w:val="24"/>
        </w:rPr>
        <w:t>radiolabelled glycan material after MonoS separation. (</w:t>
      </w:r>
      <w:r w:rsidRPr="00CD5CCD">
        <w:rPr>
          <w:rFonts w:ascii="Times New Roman" w:hAnsi="Times New Roman" w:cs="Times New Roman"/>
          <w:b/>
          <w:bCs/>
          <w:sz w:val="24"/>
          <w:szCs w:val="24"/>
        </w:rPr>
        <w:t>C</w:t>
      </w:r>
      <w:r w:rsidRPr="00CD5CCD">
        <w:rPr>
          <w:rFonts w:ascii="Times New Roman" w:hAnsi="Times New Roman" w:cs="Times New Roman"/>
          <w:sz w:val="24"/>
          <w:szCs w:val="24"/>
        </w:rPr>
        <w:t>) Radioactivity profile</w:t>
      </w:r>
      <w:r w:rsidRPr="00CD5CCD">
        <w:rPr>
          <w:rFonts w:ascii="Arial" w:hAnsi="Arial" w:cs="Arial"/>
          <w:sz w:val="24"/>
          <w:szCs w:val="24"/>
        </w:rPr>
        <w:t xml:space="preserve"> </w:t>
      </w:r>
      <w:r w:rsidRPr="00CD5CCD">
        <w:rPr>
          <w:rFonts w:ascii="Times New Roman" w:hAnsi="Times New Roman" w:cs="Times New Roman"/>
          <w:sz w:val="24"/>
          <w:szCs w:val="24"/>
        </w:rPr>
        <w:t>corresponding to (</w:t>
      </w:r>
      <w:r w:rsidRPr="00CD5CCD">
        <w:rPr>
          <w:rFonts w:ascii="Times New Roman" w:hAnsi="Times New Roman" w:cs="Times New Roman"/>
          <w:b/>
          <w:bCs/>
          <w:sz w:val="24"/>
          <w:szCs w:val="24"/>
        </w:rPr>
        <w:t>B</w:t>
      </w:r>
      <w:r w:rsidRPr="00CD5CCD">
        <w:rPr>
          <w:rFonts w:ascii="Times New Roman" w:hAnsi="Times New Roman" w:cs="Times New Roman"/>
          <w:sz w:val="24"/>
          <w:szCs w:val="24"/>
        </w:rPr>
        <w:t>). (</w:t>
      </w:r>
      <w:r w:rsidRPr="00CD5CCD">
        <w:rPr>
          <w:rFonts w:ascii="Times New Roman" w:hAnsi="Times New Roman" w:cs="Times New Roman"/>
          <w:b/>
          <w:bCs/>
          <w:sz w:val="24"/>
          <w:szCs w:val="24"/>
        </w:rPr>
        <w:t>D</w:t>
      </w:r>
      <w:r>
        <w:rPr>
          <w:rFonts w:ascii="Times New Roman" w:hAnsi="Times New Roman" w:cs="Times New Roman"/>
          <w:sz w:val="24"/>
          <w:szCs w:val="24"/>
        </w:rPr>
        <w:t>) Radioactivity profile</w:t>
      </w:r>
      <w:r w:rsidRPr="00CD5CCD">
        <w:rPr>
          <w:rFonts w:ascii="Times New Roman" w:hAnsi="Times New Roman" w:cs="Times New Roman"/>
          <w:sz w:val="24"/>
          <w:szCs w:val="24"/>
        </w:rPr>
        <w:t xml:space="preserve"> of </w:t>
      </w:r>
      <w:r>
        <w:rPr>
          <w:rFonts w:ascii="Times New Roman" w:hAnsi="Times New Roman" w:cs="Times New Roman"/>
          <w:sz w:val="24"/>
          <w:szCs w:val="24"/>
        </w:rPr>
        <w:t xml:space="preserve">Atl amidase and </w:t>
      </w:r>
      <w:r w:rsidRPr="00CD5CCD">
        <w:rPr>
          <w:rFonts w:ascii="Times New Roman" w:hAnsi="Times New Roman" w:cs="Times New Roman"/>
          <w:sz w:val="24"/>
          <w:szCs w:val="24"/>
        </w:rPr>
        <w:t>mutanolysin-digested, glycan</w:t>
      </w:r>
      <w:r w:rsidRPr="00CD5CCD">
        <w:rPr>
          <w:rFonts w:ascii="Arial" w:hAnsi="Arial" w:cs="Arial"/>
          <w:sz w:val="24"/>
          <w:szCs w:val="24"/>
        </w:rPr>
        <w:t xml:space="preserve"> </w:t>
      </w:r>
      <w:r w:rsidRPr="00CD5CCD">
        <w:rPr>
          <w:rFonts w:ascii="Times New Roman" w:hAnsi="Times New Roman" w:cs="Times New Roman"/>
          <w:sz w:val="24"/>
          <w:szCs w:val="24"/>
        </w:rPr>
        <w:t>material when the MonoS separation was omitted. The regions corresponding to dimeric</w:t>
      </w:r>
      <w:r w:rsidRPr="00CD5CCD">
        <w:rPr>
          <w:rFonts w:ascii="Arial" w:hAnsi="Arial" w:cs="Arial"/>
          <w:sz w:val="24"/>
          <w:szCs w:val="24"/>
        </w:rPr>
        <w:t xml:space="preserve"> </w:t>
      </w:r>
      <w:r w:rsidRPr="00CD5CCD">
        <w:rPr>
          <w:rFonts w:ascii="Times New Roman" w:hAnsi="Times New Roman" w:cs="Times New Roman"/>
          <w:sz w:val="24"/>
          <w:szCs w:val="24"/>
        </w:rPr>
        <w:t xml:space="preserve">muropeptides are highlighted in grey (36 to 52 min for </w:t>
      </w:r>
      <w:r w:rsidRPr="00CD5CCD">
        <w:rPr>
          <w:rFonts w:ascii="Times New Roman" w:hAnsi="Times New Roman" w:cs="Times New Roman"/>
          <w:i/>
          <w:iCs/>
          <w:sz w:val="24"/>
          <w:szCs w:val="24"/>
        </w:rPr>
        <w:t>S. pneumoniae</w:t>
      </w:r>
      <w:r w:rsidRPr="00CD5CCD">
        <w:rPr>
          <w:rFonts w:ascii="Times New Roman" w:hAnsi="Times New Roman" w:cs="Times New Roman"/>
          <w:sz w:val="24"/>
          <w:szCs w:val="24"/>
        </w:rPr>
        <w:t xml:space="preserve">; 37 to 48 min for </w:t>
      </w:r>
      <w:r w:rsidRPr="00CD5CCD">
        <w:rPr>
          <w:rFonts w:ascii="Times New Roman" w:hAnsi="Times New Roman" w:cs="Times New Roman"/>
          <w:i/>
          <w:iCs/>
          <w:sz w:val="24"/>
          <w:szCs w:val="24"/>
        </w:rPr>
        <w:t>L.</w:t>
      </w:r>
      <w:r w:rsidRPr="00CD5CCD">
        <w:rPr>
          <w:rFonts w:ascii="Arial" w:hAnsi="Arial" w:cs="Arial"/>
          <w:sz w:val="24"/>
          <w:szCs w:val="24"/>
        </w:rPr>
        <w:t xml:space="preserve"> </w:t>
      </w:r>
      <w:r w:rsidRPr="00CD5CCD">
        <w:rPr>
          <w:rFonts w:ascii="Times New Roman" w:hAnsi="Times New Roman" w:cs="Times New Roman"/>
          <w:i/>
          <w:iCs/>
          <w:sz w:val="24"/>
          <w:szCs w:val="24"/>
        </w:rPr>
        <w:t>lactis</w:t>
      </w:r>
      <w:r w:rsidRPr="00CD5CCD">
        <w:rPr>
          <w:rFonts w:ascii="Times New Roman" w:hAnsi="Times New Roman" w:cs="Times New Roman"/>
          <w:sz w:val="24"/>
          <w:szCs w:val="24"/>
        </w:rPr>
        <w:t xml:space="preserve">; 42 to 62 min for </w:t>
      </w:r>
      <w:r w:rsidRPr="00CD5CCD">
        <w:rPr>
          <w:rFonts w:ascii="Times New Roman" w:hAnsi="Times New Roman" w:cs="Times New Roman"/>
          <w:i/>
          <w:iCs/>
          <w:sz w:val="24"/>
          <w:szCs w:val="24"/>
        </w:rPr>
        <w:t>E. faecalis</w:t>
      </w:r>
      <w:r w:rsidRPr="00CD5CCD">
        <w:rPr>
          <w:rFonts w:ascii="Times New Roman" w:hAnsi="Times New Roman" w:cs="Times New Roman"/>
          <w:sz w:val="24"/>
          <w:szCs w:val="24"/>
        </w:rPr>
        <w:t xml:space="preserve">; 40 to 52 min for </w:t>
      </w:r>
      <w:r w:rsidRPr="00CD5CCD">
        <w:rPr>
          <w:rFonts w:ascii="Times New Roman" w:hAnsi="Times New Roman" w:cs="Times New Roman"/>
          <w:i/>
          <w:iCs/>
          <w:sz w:val="24"/>
          <w:szCs w:val="24"/>
        </w:rPr>
        <w:t>S. aureus</w:t>
      </w:r>
      <w:r w:rsidRPr="00CD5CCD">
        <w:rPr>
          <w:rFonts w:ascii="Times New Roman" w:hAnsi="Times New Roman" w:cs="Times New Roman"/>
          <w:sz w:val="24"/>
          <w:szCs w:val="24"/>
        </w:rPr>
        <w:t>). The absence of muropeptides</w:t>
      </w:r>
      <w:r w:rsidRPr="00CD5CCD">
        <w:rPr>
          <w:rFonts w:ascii="Arial" w:hAnsi="Arial" w:cs="Arial"/>
          <w:sz w:val="24"/>
          <w:szCs w:val="24"/>
        </w:rPr>
        <w:t xml:space="preserve"> </w:t>
      </w:r>
      <w:r w:rsidRPr="00CD5CCD">
        <w:rPr>
          <w:rFonts w:ascii="Times New Roman" w:hAnsi="Times New Roman" w:cs="Times New Roman"/>
          <w:sz w:val="24"/>
          <w:szCs w:val="24"/>
        </w:rPr>
        <w:t xml:space="preserve">with retention times corresponding to dimeric disaccharide-peptides confirmed that the Atl amidase digest was complete. Similar controls have been published previously </w:t>
      </w:r>
      <w:r w:rsidRPr="00C00F77">
        <w:rPr>
          <w:rFonts w:ascii="Times New Roman" w:hAnsi="Times New Roman" w:cs="Times New Roman"/>
          <w:color w:val="000000" w:themeColor="text1"/>
          <w:sz w:val="24"/>
          <w:szCs w:val="24"/>
        </w:rPr>
        <w:t xml:space="preserve">for </w:t>
      </w:r>
      <w:r w:rsidRPr="00C00F77">
        <w:rPr>
          <w:rFonts w:ascii="Times New Roman" w:hAnsi="Times New Roman" w:cs="Times New Roman"/>
          <w:i/>
          <w:iCs/>
          <w:color w:val="000000" w:themeColor="text1"/>
          <w:sz w:val="24"/>
          <w:szCs w:val="24"/>
        </w:rPr>
        <w:t>B. subtilis</w:t>
      </w:r>
      <w:r w:rsidRPr="00C00F77">
        <w:rPr>
          <w:rFonts w:ascii="Times New Roman" w:hAnsi="Times New Roman" w:cs="Times New Roman"/>
          <w:iCs/>
          <w:color w:val="000000" w:themeColor="text1"/>
          <w:sz w:val="24"/>
          <w:szCs w:val="24"/>
        </w:rPr>
        <w:t xml:space="preserve"> </w:t>
      </w:r>
      <w:r w:rsidRPr="00C00F77">
        <w:rPr>
          <w:rFonts w:ascii="Times New Roman" w:hAnsi="Times New Roman" w:cs="Times New Roman"/>
          <w:iCs/>
          <w:color w:val="000000" w:themeColor="text1"/>
          <w:sz w:val="24"/>
          <w:szCs w:val="24"/>
        </w:rPr>
        <w:fldChar w:fldCharType="begin"/>
      </w:r>
      <w:r w:rsidRPr="00C00F77">
        <w:rPr>
          <w:rFonts w:ascii="Times New Roman" w:hAnsi="Times New Roman" w:cs="Times New Roman"/>
          <w:iCs/>
          <w:color w:val="000000" w:themeColor="text1"/>
          <w:sz w:val="24"/>
          <w:szCs w:val="24"/>
        </w:rPr>
        <w:instrText xml:space="preserve"> ADDIN ZOTERO_ITEM CSL_CITATION {"citationID":"6odlc5gf3","properties":{"formattedCitation":"(Hayhurst et al., 2008)","plainCitation":"(Hayhurst et al., 2008)"},"citationItems":[{"id":77,"uris":["http://zotero.org/users/944474/items/Z6IUFDEB"],"uri":["http://zotero.org/users/944474/items/Z6IUFDEB"],"itemData":{"id":77,"type":"article-journal","title":"Cell wall peptidoglycan architecture in Bacillus subtilis","container-title":"Proceedings of the National Academy of Sciences of the United States of America","page":"14603-14608","volume":"105","issue":"38","abstract":"The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polymer.","DOI":"10.1073/pnas.0804138105","note":"PMID: 18784364","journalAbbreviation":"Proc. Natl. Acad. Sci. U.S.A.","author":[{"family":"Hayhurst","given":"Emma J"},{"family":"Kailas","given":"Lekshmi"},{"family":"Hobbs","given":"Jamie K"},{"family":"Foster","given":"Simon J"}],"issued":{"year":2008,"month":9,"day":23},"accessed":{"year":2012,"month":3,"day":7}}}],"schema":"https://github.com/citation-style-language/schema/raw/master/csl-citation.json"} </w:instrText>
      </w:r>
      <w:r w:rsidRPr="00C00F77">
        <w:rPr>
          <w:rFonts w:ascii="Times New Roman" w:hAnsi="Times New Roman" w:cs="Times New Roman"/>
          <w:iCs/>
          <w:color w:val="000000" w:themeColor="text1"/>
          <w:sz w:val="24"/>
          <w:szCs w:val="24"/>
        </w:rPr>
        <w:fldChar w:fldCharType="separate"/>
      </w:r>
      <w:r w:rsidRPr="00C00F77">
        <w:rPr>
          <w:rFonts w:ascii="Times New Roman" w:hAnsi="Times New Roman" w:cs="Times New Roman"/>
          <w:color w:val="000000" w:themeColor="text1"/>
          <w:sz w:val="24"/>
          <w:szCs w:val="21"/>
        </w:rPr>
        <w:t xml:space="preserve">(Hayhurst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2008)</w:t>
      </w:r>
      <w:r w:rsidRPr="00C00F77">
        <w:rPr>
          <w:rFonts w:ascii="Times New Roman" w:hAnsi="Times New Roman" w:cs="Times New Roman"/>
          <w:iCs/>
          <w:color w:val="000000" w:themeColor="text1"/>
          <w:sz w:val="24"/>
          <w:szCs w:val="24"/>
        </w:rPr>
        <w:fldChar w:fldCharType="end"/>
      </w:r>
      <w:r w:rsidRPr="00C00F77">
        <w:rPr>
          <w:rFonts w:ascii="Times New Roman" w:hAnsi="Times New Roman" w:cs="Times New Roman"/>
          <w:iCs/>
          <w:color w:val="000000" w:themeColor="text1"/>
          <w:sz w:val="24"/>
          <w:szCs w:val="24"/>
        </w:rPr>
        <w:t>. Analysis by rp-HPLC was conducted by Ivo Boneca, Institut Pasteur, France.</w:t>
      </w:r>
    </w:p>
    <w:p w:rsidR="002D7C9B" w:rsidRDefault="002D7C9B" w:rsidP="002D7C9B">
      <w:pPr>
        <w:rPr>
          <w:rFonts w:ascii="Times New Roman" w:hAnsi="Times New Roman" w:cs="Times New Roman"/>
          <w:sz w:val="24"/>
          <w:szCs w:val="24"/>
        </w:rPr>
      </w:pPr>
      <w:r>
        <w:rPr>
          <w:rFonts w:ascii="Times New Roman" w:hAnsi="Times New Roman" w:cs="Times New Roman"/>
          <w:sz w:val="24"/>
          <w:szCs w:val="24"/>
        </w:rPr>
        <w:br w:type="page"/>
      </w:r>
    </w:p>
    <w:p w:rsidR="002D7C9B" w:rsidRPr="00C00F77" w:rsidRDefault="002D7C9B" w:rsidP="002D7C9B">
      <w:pPr>
        <w:spacing w:line="480" w:lineRule="auto"/>
        <w:jc w:val="both"/>
        <w:rPr>
          <w:rFonts w:ascii="Times New Roman" w:hAnsi="Times New Roman" w:cs="Times New Roman"/>
          <w:color w:val="000000" w:themeColor="text1"/>
          <w:sz w:val="24"/>
          <w:szCs w:val="24"/>
        </w:rPr>
      </w:pPr>
      <w:proofErr w:type="gramStart"/>
      <w:r w:rsidRPr="00C00F77">
        <w:rPr>
          <w:rFonts w:ascii="Times New Roman" w:hAnsi="Times New Roman" w:cs="Times New Roman"/>
          <w:color w:val="000000" w:themeColor="text1"/>
          <w:sz w:val="24"/>
          <w:szCs w:val="24"/>
        </w:rPr>
        <w:lastRenderedPageBreak/>
        <w:t>revealing</w:t>
      </w:r>
      <w:proofErr w:type="gramEnd"/>
      <w:r w:rsidRPr="00C00F77">
        <w:rPr>
          <w:rFonts w:ascii="Times New Roman" w:hAnsi="Times New Roman" w:cs="Times New Roman"/>
          <w:color w:val="000000" w:themeColor="text1"/>
          <w:sz w:val="24"/>
          <w:szCs w:val="24"/>
        </w:rPr>
        <w:t xml:space="preserve"> the total glycan chain distribution across a broad size range. Two columns were used for optimal resolution of short glycan strands (1-50 kDa, TSK</w:t>
      </w:r>
      <w:r w:rsidRPr="00C00F77">
        <w:rPr>
          <w:rFonts w:ascii="Times New Roman" w:hAnsi="Times New Roman" w:cs="Times New Roman"/>
          <w:color w:val="000000" w:themeColor="text1"/>
          <w:sz w:val="24"/>
          <w:szCs w:val="24"/>
          <w:vertAlign w:val="subscript"/>
        </w:rPr>
        <w:t>SW</w:t>
      </w:r>
      <w:r w:rsidRPr="00C00F77">
        <w:rPr>
          <w:rFonts w:ascii="Times New Roman" w:hAnsi="Times New Roman" w:cs="Times New Roman"/>
          <w:color w:val="000000" w:themeColor="text1"/>
          <w:sz w:val="24"/>
          <w:szCs w:val="24"/>
        </w:rPr>
        <w:t>2000) and very long glycan strands (25-500 kDa, TSK</w:t>
      </w:r>
      <w:r w:rsidRPr="00C00F77">
        <w:rPr>
          <w:rFonts w:ascii="Times New Roman" w:hAnsi="Times New Roman" w:cs="Times New Roman"/>
          <w:color w:val="000000" w:themeColor="text1"/>
          <w:sz w:val="24"/>
          <w:szCs w:val="24"/>
          <w:vertAlign w:val="subscript"/>
        </w:rPr>
        <w:t>SW</w:t>
      </w:r>
      <w:r w:rsidRPr="00C00F77">
        <w:rPr>
          <w:rFonts w:ascii="Times New Roman" w:hAnsi="Times New Roman" w:cs="Times New Roman"/>
          <w:color w:val="000000" w:themeColor="text1"/>
          <w:sz w:val="24"/>
          <w:szCs w:val="24"/>
        </w:rPr>
        <w:t xml:space="preserve">4000). </w:t>
      </w:r>
    </w:p>
    <w:p w:rsidR="002D7C9B" w:rsidRPr="00C00F77" w:rsidRDefault="002D7C9B" w:rsidP="002D7C9B">
      <w:pPr>
        <w:spacing w:line="480" w:lineRule="auto"/>
        <w:rPr>
          <w:rFonts w:ascii="Times New Roman" w:hAnsi="Times New Roman" w:cs="Times New Roman"/>
          <w:color w:val="000000" w:themeColor="text1"/>
          <w:sz w:val="24"/>
          <w:szCs w:val="24"/>
        </w:rPr>
      </w:pPr>
    </w:p>
    <w:p w:rsidR="002D7C9B" w:rsidRPr="00C00F77" w:rsidRDefault="002D7C9B" w:rsidP="002D7C9B">
      <w:pPr>
        <w:spacing w:line="480" w:lineRule="auto"/>
        <w:jc w:val="both"/>
        <w:rPr>
          <w:rFonts w:ascii="Times New Roman" w:hAnsi="Times New Roman" w:cs="Times New Roman"/>
          <w:color w:val="000000" w:themeColor="text1"/>
          <w:sz w:val="28"/>
          <w:szCs w:val="28"/>
        </w:rPr>
      </w:pPr>
      <w:r w:rsidRPr="00C00F77">
        <w:rPr>
          <w:rFonts w:ascii="Times New Roman" w:hAnsi="Times New Roman" w:cs="Times New Roman"/>
          <w:color w:val="000000" w:themeColor="text1"/>
          <w:sz w:val="28"/>
          <w:szCs w:val="28"/>
        </w:rPr>
        <w:t>3.2.1.5</w:t>
      </w:r>
      <w:r w:rsidRPr="00C00F77">
        <w:rPr>
          <w:rFonts w:ascii="Times New Roman" w:hAnsi="Times New Roman" w:cs="Times New Roman"/>
          <w:color w:val="000000" w:themeColor="text1"/>
          <w:sz w:val="28"/>
          <w:szCs w:val="28"/>
        </w:rPr>
        <w:tab/>
        <w:t>Calibration of size-exclusion columns</w:t>
      </w:r>
    </w:p>
    <w:p w:rsidR="002D7C9B" w:rsidRPr="00C00F77" w:rsidRDefault="002D7C9B" w:rsidP="002D7C9B">
      <w:pPr>
        <w:autoSpaceDE w:val="0"/>
        <w:autoSpaceDN w:val="0"/>
        <w:adjustRightInd w:val="0"/>
        <w:spacing w:after="120" w:line="480" w:lineRule="auto"/>
        <w:jc w:val="both"/>
        <w:rPr>
          <w:rFonts w:ascii="Times New Roman" w:hAnsi="Times New Roman" w:cs="Times New Roman"/>
          <w:color w:val="000000" w:themeColor="text1"/>
          <w:sz w:val="24"/>
          <w:szCs w:val="24"/>
        </w:rPr>
      </w:pPr>
      <w:r w:rsidRPr="00C00F77">
        <w:rPr>
          <w:rFonts w:ascii="Times New Roman" w:hAnsi="Times New Roman" w:cs="Times New Roman"/>
          <w:color w:val="000000" w:themeColor="text1"/>
          <w:sz w:val="24"/>
          <w:szCs w:val="24"/>
        </w:rPr>
        <w:t>Ideally the gel-filtration columns would be calibrated using pure glycan standards of known size. However, no such standards were available at the time of this study. We therefore used dextran molecules as standards to emulate the glycan backbone, assuming that the low level of branching (5%, equivalent to a monosaccharide or disaccharide branch every 20 residues of the main polysaccharide backbone) would have a marginal impact on their retention time (</w:t>
      </w:r>
      <w:r>
        <w:rPr>
          <w:rFonts w:ascii="Times New Roman" w:hAnsi="Times New Roman" w:cs="Times New Roman"/>
          <w:color w:val="000000" w:themeColor="text1"/>
          <w:sz w:val="24"/>
          <w:szCs w:val="24"/>
        </w:rPr>
        <w:t>Figure 3.4</w:t>
      </w:r>
      <w:r w:rsidRPr="00C00F77">
        <w:rPr>
          <w:rFonts w:ascii="Times New Roman" w:hAnsi="Times New Roman" w:cs="Times New Roman"/>
          <w:color w:val="000000" w:themeColor="text1"/>
          <w:sz w:val="24"/>
          <w:szCs w:val="24"/>
        </w:rPr>
        <w:t>). Calibration of the TSK</w:t>
      </w:r>
      <w:r w:rsidRPr="00C00F77">
        <w:rPr>
          <w:rFonts w:ascii="Times New Roman" w:hAnsi="Times New Roman" w:cs="Times New Roman"/>
          <w:color w:val="000000" w:themeColor="text1"/>
          <w:sz w:val="24"/>
          <w:szCs w:val="24"/>
          <w:vertAlign w:val="subscript"/>
        </w:rPr>
        <w:t>SW</w:t>
      </w:r>
      <w:r w:rsidRPr="00C00F77">
        <w:rPr>
          <w:rFonts w:ascii="Times New Roman" w:hAnsi="Times New Roman" w:cs="Times New Roman"/>
          <w:color w:val="000000" w:themeColor="text1"/>
          <w:sz w:val="24"/>
          <w:szCs w:val="24"/>
        </w:rPr>
        <w:t>2000 and TSK</w:t>
      </w:r>
      <w:r w:rsidRPr="00C00F77">
        <w:rPr>
          <w:rFonts w:ascii="Times New Roman" w:hAnsi="Times New Roman" w:cs="Times New Roman"/>
          <w:color w:val="000000" w:themeColor="text1"/>
          <w:sz w:val="24"/>
          <w:szCs w:val="24"/>
          <w:vertAlign w:val="subscript"/>
        </w:rPr>
        <w:t>SW</w:t>
      </w:r>
      <w:r w:rsidRPr="00C00F77">
        <w:rPr>
          <w:rFonts w:ascii="Times New Roman" w:hAnsi="Times New Roman" w:cs="Times New Roman"/>
          <w:color w:val="000000" w:themeColor="text1"/>
          <w:sz w:val="24"/>
          <w:szCs w:val="24"/>
        </w:rPr>
        <w:t xml:space="preserve">4000 was carried out as described in Chapter 2.16.5 </w:t>
      </w:r>
      <w:r w:rsidRPr="00C00F77">
        <w:rPr>
          <w:rFonts w:ascii="Times New Roman" w:hAnsi="Times New Roman" w:cs="Times New Roman"/>
          <w:color w:val="000000" w:themeColor="text1"/>
          <w:sz w:val="24"/>
          <w:szCs w:val="24"/>
        </w:rPr>
        <w:fldChar w:fldCharType="begin"/>
      </w:r>
      <w:r w:rsidRPr="00C00F77">
        <w:rPr>
          <w:rFonts w:ascii="Times New Roman" w:hAnsi="Times New Roman" w:cs="Times New Roman"/>
          <w:color w:val="000000" w:themeColor="text1"/>
          <w:sz w:val="24"/>
          <w:szCs w:val="24"/>
        </w:rPr>
        <w:instrText xml:space="preserve"> ADDIN ZOTERO_ITEM CSL_CITATION {"citationID":"2bep7k85cl","properties":{"formattedCitation":"(Kennedy and Pagliuca, 1994)","plainCitation":"(Kennedy and Pagliuca, 1994)"},"citationItems":[{"id":99,"uris":["http://zotero.org/users/944474/items/QKQIZWGE"],"uri":["http://zotero.org/users/944474/items/QKQIZWGE"],"itemData":{"id":99,"type":"chapter","title":"Oligosaccharides","container-title":"Carbohydrate analysis : a practical approach","publisher":"ILR Press","publisher-place":"Oxford; New York","event-place":"Oxford; New York","ISBN":"0199634505  9780199634507  0199634491  9780199634491","language":"English","editor":[{"family":"Chaplin","given":"M. F"},{"family":"Kennedy","given":"J F"}],"author":[{"family":"Kennedy","given":"J F"},{"family":"Pagliuca","given":"G"}],"issued":{"year":1994}}}],"schema":"https://github.com/citation-style-language/schema/raw/master/csl-citation.json"} </w:instrText>
      </w:r>
      <w:r w:rsidRPr="00C00F77">
        <w:rPr>
          <w:rFonts w:ascii="Times New Roman" w:hAnsi="Times New Roman" w:cs="Times New Roman"/>
          <w:color w:val="000000" w:themeColor="text1"/>
          <w:sz w:val="24"/>
          <w:szCs w:val="24"/>
        </w:rPr>
        <w:fldChar w:fldCharType="separate"/>
      </w:r>
      <w:r w:rsidRPr="00C00F77">
        <w:rPr>
          <w:rFonts w:ascii="Times New Roman" w:hAnsi="Times New Roman" w:cs="Times New Roman"/>
          <w:color w:val="000000" w:themeColor="text1"/>
          <w:sz w:val="24"/>
          <w:szCs w:val="21"/>
        </w:rPr>
        <w:t>(Kennedy and Pagliuca, 1994)</w:t>
      </w:r>
      <w:r w:rsidRPr="00C00F77">
        <w:rPr>
          <w:rFonts w:ascii="Times New Roman" w:hAnsi="Times New Roman" w:cs="Times New Roman"/>
          <w:color w:val="000000" w:themeColor="text1"/>
          <w:sz w:val="24"/>
          <w:szCs w:val="24"/>
        </w:rPr>
        <w:fldChar w:fldCharType="end"/>
      </w:r>
      <w:r w:rsidRPr="00C00F77">
        <w:rPr>
          <w:rFonts w:ascii="Times New Roman" w:hAnsi="Times New Roman" w:cs="Times New Roman"/>
          <w:color w:val="000000" w:themeColor="text1"/>
          <w:sz w:val="24"/>
          <w:szCs w:val="24"/>
        </w:rPr>
        <w:t>, using dextran standards and a colorimetric phenolsulphuric acid assay for detection of dextrans in the eluted fractions. This calibration permitted conversion of the eluate retention time to apparent molecular weight (MW) in kDa. The apparent MW could then easily be converted to glycan chain length, as the mass in KDa is approximately double the length in disaccharides (i.e. one disaccharide unit is equal to 2 KDa apparent MW).</w:t>
      </w:r>
    </w:p>
    <w:p w:rsidR="002D7C9B" w:rsidRPr="00C00F77" w:rsidRDefault="002D7C9B" w:rsidP="002D7C9B">
      <w:pPr>
        <w:autoSpaceDE w:val="0"/>
        <w:autoSpaceDN w:val="0"/>
        <w:adjustRightInd w:val="0"/>
        <w:spacing w:after="120" w:line="480" w:lineRule="auto"/>
        <w:jc w:val="both"/>
        <w:rPr>
          <w:rFonts w:ascii="Times New Roman" w:hAnsi="Times New Roman" w:cs="Times New Roman"/>
          <w:color w:val="000000" w:themeColor="text1"/>
          <w:sz w:val="24"/>
          <w:szCs w:val="24"/>
        </w:rPr>
      </w:pPr>
    </w:p>
    <w:p w:rsidR="002D7C9B" w:rsidRPr="00C00F77" w:rsidRDefault="002D7C9B" w:rsidP="002D7C9B">
      <w:pPr>
        <w:spacing w:before="120" w:after="120" w:line="480" w:lineRule="auto"/>
        <w:jc w:val="both"/>
        <w:rPr>
          <w:rFonts w:ascii="Times New Roman" w:hAnsi="Times New Roman" w:cs="Times New Roman"/>
          <w:color w:val="000000" w:themeColor="text1"/>
          <w:sz w:val="24"/>
          <w:szCs w:val="24"/>
        </w:rPr>
      </w:pPr>
      <w:r w:rsidRPr="00C00F77">
        <w:rPr>
          <w:rFonts w:ascii="Times New Roman" w:hAnsi="Times New Roman" w:cs="Times New Roman"/>
          <w:color w:val="000000" w:themeColor="text1"/>
          <w:sz w:val="28"/>
          <w:szCs w:val="28"/>
        </w:rPr>
        <w:t>3.2.1.6</w:t>
      </w:r>
      <w:r w:rsidRPr="00C00F77">
        <w:rPr>
          <w:rFonts w:ascii="Times New Roman" w:hAnsi="Times New Roman" w:cs="Times New Roman"/>
          <w:color w:val="000000" w:themeColor="text1"/>
          <w:sz w:val="28"/>
          <w:szCs w:val="28"/>
        </w:rPr>
        <w:tab/>
        <w:t>Rationale for exclusion of cation-exchange step for purification of radiolabelled glycan chains</w:t>
      </w:r>
    </w:p>
    <w:p w:rsidR="002D7C9B" w:rsidRPr="00C00F77" w:rsidRDefault="002D7C9B" w:rsidP="002D7C9B">
      <w:pPr>
        <w:spacing w:before="120" w:after="120" w:line="480" w:lineRule="auto"/>
        <w:jc w:val="both"/>
        <w:rPr>
          <w:rFonts w:ascii="Times New Roman" w:hAnsi="Times New Roman" w:cs="Times New Roman"/>
          <w:color w:val="000000" w:themeColor="text1"/>
          <w:sz w:val="24"/>
          <w:szCs w:val="24"/>
        </w:rPr>
      </w:pPr>
      <w:r w:rsidRPr="00C00F77">
        <w:rPr>
          <w:rFonts w:ascii="Times New Roman" w:hAnsi="Times New Roman" w:cs="Times New Roman"/>
          <w:color w:val="000000" w:themeColor="text1"/>
          <w:sz w:val="24"/>
          <w:szCs w:val="24"/>
        </w:rPr>
        <w:t xml:space="preserve">Previous studies of glycan chain length have been conducted following separation of glycan material from peptide stems by cation-exchange chromatography (MonoS) at pH </w:t>
      </w:r>
      <w:r w:rsidRPr="00C00F77">
        <w:rPr>
          <w:rFonts w:ascii="Times New Roman" w:hAnsi="Times New Roman" w:cs="Times New Roman"/>
          <w:color w:val="000000" w:themeColor="text1"/>
          <w:sz w:val="24"/>
          <w:szCs w:val="24"/>
        </w:rPr>
        <w:lastRenderedPageBreak/>
        <w:t xml:space="preserve">2.0 </w:t>
      </w:r>
      <w:r w:rsidRPr="00C00F77">
        <w:rPr>
          <w:rFonts w:ascii="Times New Roman" w:hAnsi="Times New Roman" w:cs="Times New Roman"/>
          <w:color w:val="000000" w:themeColor="text1"/>
          <w:sz w:val="24"/>
          <w:szCs w:val="24"/>
        </w:rPr>
        <w:fldChar w:fldCharType="begin"/>
      </w:r>
      <w:r w:rsidRPr="00C00F77">
        <w:rPr>
          <w:rFonts w:ascii="Times New Roman" w:hAnsi="Times New Roman" w:cs="Times New Roman"/>
          <w:color w:val="000000" w:themeColor="text1"/>
          <w:sz w:val="24"/>
          <w:szCs w:val="24"/>
        </w:rPr>
        <w:instrText xml:space="preserve"> ADDIN ZOTERO_ITEM CSL_CITATION {"citationID":"2fdt72026o","properties":{"formattedCitation":"(Harz et al., 1990; Boneca et al., 2000; Hayhurst et al., 2008)","plainCitation":"(Harz et al., 1990; Boneca et al., 2000; Hayhurst et al., 2008)"},"citationItems":[{"id":101,"uris":["http://zotero.org/users/944474/items/26HBHW3P"],"uri":["http://zotero.org/users/944474/items/26HBHW3P"],"itemData":{"id":101,"type":"article-journal","title":"Isolation and separation of the glycan strands from murein of Escherichia coli by reversed-phase high-performance liquid chromatography","container-title":"Analytical Biochemistry","page":"120-128","volume":"190","issue":"1","abstract":"The length distribution of the glycan strands in the murein (peptidoglycan) sacculus of Escherichia coli has been analyzed after solubilization of the murein by complete digestion with human serum amidase. The glycan strands released were separated according to length by reversed-phase HPLC on wide-pore Nucleosil 300 C18 material at 50 degrees C, employing a convex gradient from 5 to 11% acetonitrile. The length of the fractionated glycan strands, which carry a nonreducing 1,6-anhydromuramic acid as a natural end group, was calculated from the ratio of total to nonreducing terminal muramic acid residues. This was possible after complete hydrolysis of the isolated glycan strands by muramidase followed by separation of the released nonreducing and reducing di- and tetrasaccharides by reversed-phase HPLC on Hypersil C18. The method established allows the separation of the glycan strands of murein, a poly-GlcNAc(beta 1-4)MurNAc-polysaccharide, up to a degree of polymerization of approximately 60. The predominant lengths of the glycan strands were 5 to 10 GlcNAc(beta 1-4)MurNAc disaccharide units.","note":"PMID: 2285138","journalAbbreviation":"Anal. Biochem.","author":[{"family":"Harz","given":"H"},{"family":"Burgdorf","given":"K"},{"family":"Höltje","given":"J V"}],"issued":{"year":1990,"month":10},"accessed":{"year":2012,"month":4,"day":2}}},{"id":7,"uris":["http://zotero.org/users/944474/items/AQ75H8SX"],"uri":["http://zotero.org/users/944474/items/AQ75H8SX"],"itemData":{"id":7,"type":"article-journal","title":"Characterization of Staphylococcus aureus cell wall glycan strands, evidence for a new beta-N-acetylglucosaminidase activity","container-title":"The Journal of Biological Chemistry","page":"9910-9918","volume":"275","issue":"14","abstract":"Using sequential digestion with the glycyl-glycine endopeptidase lysostaphin followed by the pneumococcal N-acetylmuramyl-L-alanine amidase (amidase), the glycan strands of the peptidoglycan of Staphylococcus aureus were purified and analyzed by a combination of reverse-phase-high pressure liquid chromatography (HPLC) and mass spectrometry. Reverse-phase-HPLC resolved the glycan strands to a family of major peaks, which represented oligosaccharides composed of repeating disaccharide units (N-acetylglucosamine-[beta-1, 4]-N-acetylmuramic acid) with different degrees of polymerization and terminating with N-acetylmuramic acid residues at the reducing ends. The method allowed separation of strands up to 23-26 disaccharide units with a predominant length between 3 and 10 and an average degree of polymerization of approximately 6. Glycan strands with a higher degree of polymerization (&gt;26 disaccharide units) represented 10-15% of the total UV absorbing glycan material. A unique feature of the staphylococcal glycan strands was the presence of minor satellite peaks that were present throughout the HPLC elution profile eluting either just prior or shortly after the major oligosaccharide peaks. A number of observations including mass spectrometric analysis suggest that the satellites are the products of an N-acetylglucosaminidase activity that differs from the atl gene product and that appears to be involved with modification of the glycan strand structure.","note":"PMID: 10744664","journalAbbreviation":"J. Biol. Chem.","author":[{"family":"Boneca","given":"I G"},{"family":"Huang","given":"Z H"},{"family":"Gage","given":"D A"},{"family":"Tomasz","given":"A"}],"issued":{"year":2000,"month":4,"day":7},"accessed":{"year":2012,"month":3,"day":6}}},{"id":77,"uris":["http://zotero.org/users/944474/items/Z6IUFDEB"],"uri":["http://zotero.org/users/944474/items/Z6IUFDEB"],"itemData":{"id":77,"type":"article-journal","title":"Cell wall peptidoglycan architecture in Bacillus subtilis","container-title":"Proceedings of the National Academy of Sciences of the United States of America","page":"14603-14608","volume":"105","issue":"38","abstract":"The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polymer.","DOI":"10.1073/pnas.0804138105","note":"PMID: 18784364","journalAbbreviation":"Proc. Natl. Acad. Sci. U.S.A.","author":[{"family":"Hayhurst","given":"Emma J"},{"family":"Kailas","given":"Lekshmi"},{"family":"Hobbs","given":"Jamie K"},{"family":"Foster","given":"Simon J"}],"issued":{"year":2008,"month":9,"day":23},"accessed":{"year":2012,"month":3,"day":7}}}],"schema":"https://github.com/citation-style-language/schema/raw/master/csl-citation.json"} </w:instrText>
      </w:r>
      <w:r w:rsidRPr="00C00F77">
        <w:rPr>
          <w:rFonts w:ascii="Times New Roman" w:hAnsi="Times New Roman" w:cs="Times New Roman"/>
          <w:color w:val="000000" w:themeColor="text1"/>
          <w:sz w:val="24"/>
          <w:szCs w:val="24"/>
        </w:rPr>
        <w:fldChar w:fldCharType="separate"/>
      </w:r>
      <w:r w:rsidRPr="00C00F77">
        <w:rPr>
          <w:rFonts w:ascii="Times New Roman" w:hAnsi="Times New Roman" w:cs="Times New Roman"/>
          <w:color w:val="000000" w:themeColor="text1"/>
          <w:sz w:val="24"/>
          <w:szCs w:val="21"/>
        </w:rPr>
        <w:t xml:space="preserve">(Harz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xml:space="preserve">., 1990; Boneca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xml:space="preserve">., 2000; Hayhurst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2008)</w:t>
      </w:r>
      <w:r w:rsidRPr="00C00F77">
        <w:rPr>
          <w:rFonts w:ascii="Times New Roman" w:hAnsi="Times New Roman" w:cs="Times New Roman"/>
          <w:color w:val="000000" w:themeColor="text1"/>
          <w:sz w:val="24"/>
          <w:szCs w:val="24"/>
        </w:rPr>
        <w:fldChar w:fldCharType="end"/>
      </w:r>
      <w:r w:rsidRPr="00C00F77">
        <w:rPr>
          <w:rFonts w:ascii="Times New Roman" w:hAnsi="Times New Roman" w:cs="Times New Roman"/>
          <w:color w:val="000000" w:themeColor="text1"/>
          <w:sz w:val="24"/>
          <w:szCs w:val="24"/>
        </w:rPr>
        <w:t xml:space="preserve">. However, </w:t>
      </w:r>
      <w:r w:rsidRPr="00C00F77">
        <w:rPr>
          <w:rFonts w:ascii="Times New Roman" w:hAnsi="Times New Roman" w:cs="Times New Roman"/>
          <w:i/>
          <w:color w:val="000000" w:themeColor="text1"/>
          <w:sz w:val="24"/>
          <w:szCs w:val="24"/>
        </w:rPr>
        <w:t>S. pneumoniae</w:t>
      </w:r>
      <w:r w:rsidRPr="00C00F77">
        <w:rPr>
          <w:rFonts w:ascii="Times New Roman" w:hAnsi="Times New Roman" w:cs="Times New Roman"/>
          <w:color w:val="000000" w:themeColor="text1"/>
          <w:sz w:val="24"/>
          <w:szCs w:val="24"/>
        </w:rPr>
        <w:t xml:space="preserve"> in particular has a substantial level (40 to 80%) of deacetylated Glc</w:t>
      </w:r>
      <w:r w:rsidRPr="00665220">
        <w:rPr>
          <w:rFonts w:ascii="Times New Roman" w:hAnsi="Times New Roman" w:cs="Times New Roman"/>
          <w:i/>
          <w:color w:val="000000" w:themeColor="text1"/>
          <w:sz w:val="24"/>
          <w:szCs w:val="24"/>
        </w:rPr>
        <w:t>N</w:t>
      </w:r>
      <w:r w:rsidRPr="00C00F77">
        <w:rPr>
          <w:rFonts w:ascii="Times New Roman" w:hAnsi="Times New Roman" w:cs="Times New Roman"/>
          <w:color w:val="000000" w:themeColor="text1"/>
          <w:sz w:val="24"/>
          <w:szCs w:val="24"/>
        </w:rPr>
        <w:t xml:space="preserve">Ac residues </w:t>
      </w:r>
      <w:r w:rsidRPr="00C00F77">
        <w:rPr>
          <w:rFonts w:ascii="Times New Roman" w:hAnsi="Times New Roman" w:cs="Times New Roman"/>
          <w:color w:val="000000" w:themeColor="text1"/>
          <w:sz w:val="24"/>
          <w:szCs w:val="24"/>
        </w:rPr>
        <w:fldChar w:fldCharType="begin"/>
      </w:r>
      <w:r w:rsidRPr="00C00F77">
        <w:rPr>
          <w:rFonts w:ascii="Times New Roman" w:hAnsi="Times New Roman" w:cs="Times New Roman"/>
          <w:color w:val="000000" w:themeColor="text1"/>
          <w:sz w:val="24"/>
          <w:szCs w:val="24"/>
        </w:rPr>
        <w:instrText xml:space="preserve"> ADDIN ZOTERO_ITEM CSL_CITATION {"citationID":"1dmmtb1n5o","properties":{"formattedCitation":"(Ohno et al., 1982; Vollmer and Tomasz, 2000)","plainCitation":"(Ohno et al., 1982; Vollmer and Tomasz, 2000)"},"citationItems":[{"id":102,"uris":["http://zotero.org/users/944474/items/FPNUWR54"],"uri":["http://zotero.org/users/944474/items/FPNUWR54"],"itemData":{"id":102,"type":"article-journal","title":"Identification of 2-amino-2-deoxyglucose residues in the peptidoglucan of Streptococcus pneumoniae","container-title":"Carbohydrate Research","page":"152-155","volume":"107","issue":"1","note":"PMID: 7139657","journalAbbreviation":"Carbohydr. Res.","author":[{"family":"Ohno","given":"N"},{"family":"Yadomae","given":"T"},{"family":"Miyazaki","given":"T"}],"issued":{"year":1982,"month":9,"day":1},"accessed":{"year":2012,"month":4,"day":2}}},{"id":103,"uris":["http://zotero.org/users/944474/items/Z8QKK9ED"],"uri":["http://zotero.org/users/944474/items/Z8QKK9ED"],"itemData":{"id":103,"type":"article-journal","title":"The pgdA gene encodes for a peptidoglycan N-acetylglucosamine deacetylase in Streptococcus pneumoniae","container-title":"The Journal of Biological Chemistry","page":"20496-20501","volume":"275","issue":"27","abstract":"Analytical work on the fractionation of the glycan strands of Streptococcus pneumoniae cell wall has led to the observation that an unusually high proportion of hexosamine units (over 80% of the glucosamine and 10% of the muramic acid residues) was not N-acetylated, explaining the resistance of the peptidoglycan to the hydrolytic action of lysozyme, a muramidase that cleaves in the glycan backbone. A gene, pgdA, was identified as encoding for the peptidoglycan N-acetylglucosamine deacetylase A with amino acid sequence similarity to fungal chitin deacetylases and rhizobial NodB chitooligosaccharide deacetylases. Pneumococci in which pgdA was inactivated by insertion duplication mutagenesis produced fully N-acetylated glycan and became hypersensitive to exogenous lysozyme in the stationary phase of growth. The pgdA gene may contribute to pneumococcal virulence by providing protection against host lysozyme, which is known to accumulate in high concentrations at infection sites.","DOI":"10.1074/jbc.M910189199","note":"PMID: 10781617","journalAbbreviation":"J. Biol. Chem.","author":[{"family":"Vollmer","given":"W"},{"family":"Tomasz","given":"A"}],"issued":{"year":2000,"month":7,"day":7},"accessed":{"year":2012,"month":4,"day":2}}}],"schema":"https://github.com/citation-style-language/schema/raw/master/csl-citation.json"} </w:instrText>
      </w:r>
      <w:r w:rsidRPr="00C00F77">
        <w:rPr>
          <w:rFonts w:ascii="Times New Roman" w:hAnsi="Times New Roman" w:cs="Times New Roman"/>
          <w:color w:val="000000" w:themeColor="text1"/>
          <w:sz w:val="24"/>
          <w:szCs w:val="24"/>
        </w:rPr>
        <w:fldChar w:fldCharType="separate"/>
      </w:r>
      <w:r w:rsidRPr="00C00F77">
        <w:rPr>
          <w:rFonts w:ascii="Times New Roman" w:hAnsi="Times New Roman" w:cs="Times New Roman"/>
          <w:color w:val="000000" w:themeColor="text1"/>
          <w:sz w:val="24"/>
          <w:szCs w:val="21"/>
        </w:rPr>
        <w:t xml:space="preserve">(Ohno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1982; Vollmer and Tomasz, 2000)</w:t>
      </w:r>
      <w:r w:rsidRPr="00C00F77">
        <w:rPr>
          <w:rFonts w:ascii="Times New Roman" w:hAnsi="Times New Roman" w:cs="Times New Roman"/>
          <w:color w:val="000000" w:themeColor="text1"/>
          <w:sz w:val="24"/>
          <w:szCs w:val="24"/>
        </w:rPr>
        <w:fldChar w:fldCharType="end"/>
      </w:r>
      <w:r w:rsidRPr="00C00F77">
        <w:rPr>
          <w:rFonts w:ascii="Times New Roman" w:hAnsi="Times New Roman" w:cs="Times New Roman"/>
          <w:color w:val="000000" w:themeColor="text1"/>
          <w:sz w:val="24"/>
          <w:szCs w:val="24"/>
        </w:rPr>
        <w:t>. Glucosamine residues could bind to the MonoS column under the conditions used here, raising the possibility that a fraction of the glycan chains would be retained on the column and lost to further analysis. Since our analysis utilised radiolabelled glycan strands to ensure that only glycan material was considered in our analysis, and did not rely on the UV trace (A</w:t>
      </w:r>
      <w:r w:rsidRPr="00C00F77">
        <w:rPr>
          <w:rFonts w:ascii="Times New Roman" w:hAnsi="Times New Roman" w:cs="Times New Roman"/>
          <w:color w:val="000000" w:themeColor="text1"/>
          <w:sz w:val="24"/>
          <w:szCs w:val="24"/>
          <w:vertAlign w:val="subscript"/>
        </w:rPr>
        <w:t>202</w:t>
      </w:r>
      <w:r w:rsidRPr="00C00F77">
        <w:rPr>
          <w:rFonts w:ascii="Times New Roman" w:hAnsi="Times New Roman" w:cs="Times New Roman"/>
          <w:color w:val="000000" w:themeColor="text1"/>
          <w:sz w:val="24"/>
          <w:szCs w:val="24"/>
        </w:rPr>
        <w:t>) for detection of glycans, it was not essential to separate the glycan fraction from peptides. We therefore omitted the MonoS step and analysed total Atl amidase digested peptidoglycan samples directly (</w:t>
      </w:r>
      <w:r>
        <w:rPr>
          <w:rFonts w:ascii="Times New Roman" w:hAnsi="Times New Roman" w:cs="Times New Roman"/>
          <w:color w:val="000000" w:themeColor="text1"/>
          <w:sz w:val="24"/>
          <w:szCs w:val="24"/>
        </w:rPr>
        <w:t>Figure 3.5</w:t>
      </w:r>
      <w:r w:rsidRPr="00C00F77">
        <w:rPr>
          <w:rFonts w:ascii="Times New Roman" w:hAnsi="Times New Roman" w:cs="Times New Roman"/>
          <w:color w:val="000000" w:themeColor="text1"/>
          <w:sz w:val="24"/>
          <w:szCs w:val="24"/>
        </w:rPr>
        <w:t>A and B). As a comparison, we also performed these experiments including the cation-exchange step (</w:t>
      </w:r>
      <w:r>
        <w:rPr>
          <w:rFonts w:ascii="Times New Roman" w:hAnsi="Times New Roman" w:cs="Times New Roman"/>
          <w:color w:val="000000" w:themeColor="text1"/>
          <w:sz w:val="24"/>
          <w:szCs w:val="24"/>
        </w:rPr>
        <w:t>Figure 3.5</w:t>
      </w:r>
      <w:r w:rsidRPr="00C00F77">
        <w:rPr>
          <w:rFonts w:ascii="Times New Roman" w:hAnsi="Times New Roman" w:cs="Times New Roman"/>
          <w:color w:val="000000" w:themeColor="text1"/>
          <w:sz w:val="24"/>
          <w:szCs w:val="24"/>
        </w:rPr>
        <w:t xml:space="preserve">C and D). In the cases of </w:t>
      </w:r>
      <w:r w:rsidRPr="00C00F77">
        <w:rPr>
          <w:rFonts w:ascii="Times New Roman" w:hAnsi="Times New Roman" w:cs="Times New Roman"/>
          <w:i/>
          <w:color w:val="000000" w:themeColor="text1"/>
          <w:sz w:val="24"/>
          <w:szCs w:val="24"/>
        </w:rPr>
        <w:t>B. subtils, S. aureus, E. faecalis and L. lactis</w:t>
      </w:r>
      <w:r w:rsidRPr="00C00F77">
        <w:rPr>
          <w:rFonts w:ascii="Times New Roman" w:hAnsi="Times New Roman" w:cs="Times New Roman"/>
          <w:color w:val="000000" w:themeColor="text1"/>
          <w:sz w:val="24"/>
          <w:szCs w:val="24"/>
        </w:rPr>
        <w:t xml:space="preserve">, distribution of glycan strands was unaffected by inclusion or exclusion of the MonoS purification step. However, in the case of </w:t>
      </w:r>
      <w:r w:rsidRPr="00C00F77">
        <w:rPr>
          <w:rFonts w:ascii="Times New Roman" w:hAnsi="Times New Roman" w:cs="Times New Roman"/>
          <w:i/>
          <w:color w:val="000000" w:themeColor="text1"/>
          <w:sz w:val="24"/>
          <w:szCs w:val="24"/>
        </w:rPr>
        <w:t>S. pneumoniae</w:t>
      </w:r>
      <w:r w:rsidRPr="00C00F77">
        <w:rPr>
          <w:rFonts w:ascii="Times New Roman" w:hAnsi="Times New Roman" w:cs="Times New Roman"/>
          <w:color w:val="000000" w:themeColor="text1"/>
          <w:sz w:val="24"/>
          <w:szCs w:val="24"/>
        </w:rPr>
        <w:t>, approximately 60% of the glycan material was lost on inclusion of the MonoS step due to a high proportion of deacetylated Glc</w:t>
      </w:r>
      <w:r w:rsidRPr="00665220">
        <w:rPr>
          <w:rFonts w:ascii="Times New Roman" w:hAnsi="Times New Roman" w:cs="Times New Roman"/>
          <w:i/>
          <w:color w:val="000000" w:themeColor="text1"/>
          <w:sz w:val="24"/>
          <w:szCs w:val="24"/>
        </w:rPr>
        <w:t>N</w:t>
      </w:r>
      <w:r w:rsidRPr="00C00F77">
        <w:rPr>
          <w:rFonts w:ascii="Times New Roman" w:hAnsi="Times New Roman" w:cs="Times New Roman"/>
          <w:color w:val="000000" w:themeColor="text1"/>
          <w:sz w:val="24"/>
          <w:szCs w:val="24"/>
        </w:rPr>
        <w:t>Ac residues in this species. This result indicated that the cation-exchange step should be omitted to ensure analysis of the complete population of glycan strands.</w:t>
      </w:r>
    </w:p>
    <w:p w:rsidR="002D7C9B" w:rsidRPr="00C00F77" w:rsidRDefault="002D7C9B" w:rsidP="002D7C9B">
      <w:pPr>
        <w:spacing w:before="120" w:after="120" w:line="480" w:lineRule="auto"/>
        <w:jc w:val="both"/>
        <w:rPr>
          <w:rFonts w:ascii="Times New Roman" w:hAnsi="Times New Roman" w:cs="Times New Roman"/>
          <w:color w:val="000000" w:themeColor="text1"/>
          <w:sz w:val="24"/>
          <w:szCs w:val="24"/>
        </w:rPr>
      </w:pPr>
    </w:p>
    <w:p w:rsidR="002D7C9B" w:rsidRPr="00C00F77" w:rsidRDefault="002D7C9B" w:rsidP="002D7C9B">
      <w:pPr>
        <w:spacing w:line="480" w:lineRule="auto"/>
        <w:ind w:left="1418" w:hanging="1418"/>
        <w:jc w:val="both"/>
        <w:rPr>
          <w:rFonts w:ascii="Times New Roman" w:hAnsi="Times New Roman" w:cs="Times New Roman"/>
          <w:color w:val="000000" w:themeColor="text1"/>
          <w:sz w:val="28"/>
          <w:szCs w:val="28"/>
        </w:rPr>
      </w:pPr>
      <w:r w:rsidRPr="00C00F77">
        <w:rPr>
          <w:rFonts w:ascii="Times New Roman" w:hAnsi="Times New Roman" w:cs="Times New Roman"/>
          <w:color w:val="000000" w:themeColor="text1"/>
          <w:sz w:val="28"/>
          <w:szCs w:val="28"/>
        </w:rPr>
        <w:t>3.2.1.7</w:t>
      </w:r>
      <w:r w:rsidRPr="00C00F77">
        <w:rPr>
          <w:rFonts w:ascii="Times New Roman" w:hAnsi="Times New Roman" w:cs="Times New Roman"/>
          <w:color w:val="000000" w:themeColor="text1"/>
          <w:sz w:val="28"/>
          <w:szCs w:val="28"/>
        </w:rPr>
        <w:tab/>
        <w:t>Analysis of ovococcal glycan strand length distribution by size-exclusion HPLC</w:t>
      </w:r>
    </w:p>
    <w:p w:rsidR="002D7C9B" w:rsidRDefault="002D7C9B" w:rsidP="002D7C9B">
      <w:pPr>
        <w:spacing w:line="480" w:lineRule="auto"/>
        <w:jc w:val="both"/>
        <w:rPr>
          <w:rFonts w:ascii="Times New Roman" w:hAnsi="Times New Roman" w:cs="Times New Roman"/>
          <w:sz w:val="24"/>
          <w:szCs w:val="24"/>
        </w:rPr>
      </w:pPr>
      <w:r w:rsidRPr="00C00F77">
        <w:rPr>
          <w:rFonts w:ascii="Times New Roman" w:hAnsi="Times New Roman" w:cs="Times New Roman"/>
          <w:color w:val="000000" w:themeColor="text1"/>
          <w:sz w:val="24"/>
          <w:szCs w:val="24"/>
        </w:rPr>
        <w:t>For comparative purposes, two model Gram-positive organisms, (</w:t>
      </w:r>
      <w:r w:rsidRPr="00C00F77">
        <w:rPr>
          <w:rFonts w:ascii="Times New Roman" w:hAnsi="Times New Roman" w:cs="Times New Roman"/>
          <w:i/>
          <w:color w:val="000000" w:themeColor="text1"/>
          <w:sz w:val="24"/>
          <w:szCs w:val="24"/>
        </w:rPr>
        <w:t xml:space="preserve">B. subtilis </w:t>
      </w:r>
      <w:r w:rsidRPr="00C00F77">
        <w:rPr>
          <w:rFonts w:ascii="Times New Roman" w:hAnsi="Times New Roman" w:cs="Times New Roman"/>
          <w:color w:val="000000" w:themeColor="text1"/>
          <w:sz w:val="24"/>
          <w:szCs w:val="24"/>
        </w:rPr>
        <w:t>and</w:t>
      </w:r>
      <w:r w:rsidRPr="00C00F77">
        <w:rPr>
          <w:rFonts w:ascii="Times New Roman" w:hAnsi="Times New Roman" w:cs="Times New Roman"/>
          <w:i/>
          <w:color w:val="000000" w:themeColor="text1"/>
          <w:sz w:val="24"/>
          <w:szCs w:val="24"/>
        </w:rPr>
        <w:t xml:space="preserve"> S. aureus</w:t>
      </w:r>
      <w:r w:rsidRPr="00C00F77">
        <w:rPr>
          <w:rFonts w:ascii="Times New Roman" w:hAnsi="Times New Roman" w:cs="Times New Roman"/>
          <w:color w:val="000000" w:themeColor="text1"/>
          <w:sz w:val="24"/>
          <w:szCs w:val="24"/>
        </w:rPr>
        <w:t xml:space="preserve">) reported to have very long and short glycan strands respectively, were included in our analysis of ovococcal glycan chain length </w:t>
      </w:r>
      <w:r w:rsidRPr="00C00F77">
        <w:rPr>
          <w:rFonts w:ascii="Times New Roman" w:hAnsi="Times New Roman" w:cs="Times New Roman"/>
          <w:color w:val="000000" w:themeColor="text1"/>
          <w:sz w:val="24"/>
          <w:szCs w:val="24"/>
        </w:rPr>
        <w:fldChar w:fldCharType="begin"/>
      </w:r>
      <w:r w:rsidRPr="00C00F77">
        <w:rPr>
          <w:rFonts w:ascii="Times New Roman" w:hAnsi="Times New Roman" w:cs="Times New Roman"/>
          <w:color w:val="000000" w:themeColor="text1"/>
          <w:sz w:val="24"/>
          <w:szCs w:val="24"/>
        </w:rPr>
        <w:instrText xml:space="preserve"> ADDIN ZOTERO_ITEM CSL_CITATION {"citationID":"bhke96dh1","properties":{"formattedCitation":"(Boneca et al., 2000; Hayhurst et al., 2008)","plainCitation":"(Boneca et al., 2000; Hayhurst et al., 2008)"},"citationItems":[{"id":7,"uris":["http://zotero.org/users/944474/items/AQ75H8SX"],"uri":["http://zotero.org/users/944474/items/AQ75H8SX"],"itemData":{"id":7,"type":"article-journal","title":"Characterization of Staphylococcus aureus cell wall glycan strands, evidence for a new beta-N-acetylglucosaminidase activity","container-title":"The Journal of Biological Chemistry","page":"9910-9918","volume":"275","issue":"14","abstract":"Using sequential digestion with the glycyl-glycine endopeptidase lysostaphin followed by the pneumococcal N-acetylmuramyl-L-alanine amidase (amidase), the glycan strands of the peptidoglycan of Staphylococcus aureus were purified and analyzed by a combination of reverse-phase-high pressure liquid chromatography (HPLC) and mass spectrometry. Reverse-phase-HPLC resolved the glycan strands to a family of major peaks, which represented oligosaccharides composed of repeating disaccharide units (N-acetylglucosamine-[beta-1, 4]-N-acetylmuramic acid) with different degrees of polymerization and terminating with N-acetylmuramic acid residues at the reducing ends. The method allowed separation of strands up to 23-26 disaccharide units with a predominant length between 3 and 10 and an average degree of polymerization of approximately 6. Glycan strands with a higher degree of polymerization (&gt;26 disaccharide units) represented 10-15% of the total UV absorbing glycan material. A unique feature of the staphylococcal glycan strands was the presence of minor satellite peaks that were present throughout the HPLC elution profile eluting either just prior or shortly after the major oligosaccharide peaks. A number of observations including mass spectrometric analysis suggest that the satellites are the products of an N-acetylglucosaminidase activity that differs from the atl gene product and that appears to be involved with modification of the glycan strand structure.","note":"PMID: 10744664","journalAbbreviation":"J. Biol. Chem.","author":[{"family":"Boneca","given":"I G"},{"family":"Huang","given":"Z H"},{"family":"Gage","given":"D A"},{"family":"Tomasz","given":"A"}],"issued":{"year":2000,"month":4,"day":7},"accessed":{"year":2012,"month":3,"day":6}}},{"id":77,"uris":["http://zotero.org/users/944474/items/Z6IUFDEB"],"uri":["http://zotero.org/users/944474/items/Z6IUFDEB"],"itemData":{"id":77,"type":"article-journal","title":"Cell wall peptidoglycan architecture in Bacillus subtilis","container-title":"Proceedings of the National Academy of Sciences of the United States of America","page":"14603-14608","volume":"105","issue":"38","abstract":"The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polymer.","DOI":"10.1073/pnas.0804138105","note":"PMID: 18784364","journalAbbreviation":"Proc. Natl. Acad. Sci. U.S.A.","author":[{"family":"Hayhurst","given":"Emma J"},{"family":"Kailas","given":"Lekshmi"},{"family":"Hobbs","given":"Jamie K"},{"family":"Foster","given":"Simon J"}],"issued":{"year":2008,"month":9,"day":23},"accessed":{"year":2012,"month":3,"day":7}}}],"schema":"https://github.com/citation-style-language/schema/raw/master/csl-citation.json"} </w:instrText>
      </w:r>
      <w:r w:rsidRPr="00C00F77">
        <w:rPr>
          <w:rFonts w:ascii="Times New Roman" w:hAnsi="Times New Roman" w:cs="Times New Roman"/>
          <w:color w:val="000000" w:themeColor="text1"/>
          <w:sz w:val="24"/>
          <w:szCs w:val="24"/>
        </w:rPr>
        <w:fldChar w:fldCharType="separate"/>
      </w:r>
      <w:r w:rsidRPr="00C00F77">
        <w:rPr>
          <w:rFonts w:ascii="Times New Roman" w:hAnsi="Times New Roman" w:cs="Times New Roman"/>
          <w:color w:val="000000" w:themeColor="text1"/>
          <w:sz w:val="24"/>
          <w:szCs w:val="21"/>
        </w:rPr>
        <w:t xml:space="preserve">(Boneca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xml:space="preserve">., 2000; Hayhurst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2008)</w:t>
      </w:r>
      <w:r w:rsidRPr="00C00F77">
        <w:rPr>
          <w:rFonts w:ascii="Times New Roman" w:hAnsi="Times New Roman" w:cs="Times New Roman"/>
          <w:color w:val="000000" w:themeColor="text1"/>
          <w:sz w:val="24"/>
          <w:szCs w:val="24"/>
        </w:rPr>
        <w:fldChar w:fldCharType="end"/>
      </w:r>
      <w:r w:rsidRPr="00C00F77">
        <w:rPr>
          <w:rFonts w:ascii="Times New Roman" w:hAnsi="Times New Roman" w:cs="Times New Roman"/>
          <w:color w:val="000000" w:themeColor="text1"/>
          <w:sz w:val="24"/>
          <w:szCs w:val="24"/>
        </w:rPr>
        <w:t xml:space="preserve">. </w:t>
      </w:r>
      <w:r w:rsidRPr="00C00F77">
        <w:rPr>
          <w:rFonts w:ascii="Times New Roman" w:hAnsi="Times New Roman" w:cs="Times New Roman"/>
          <w:i/>
          <w:color w:val="000000" w:themeColor="text1"/>
          <w:sz w:val="24"/>
          <w:szCs w:val="24"/>
        </w:rPr>
        <w:t>E. faecalis</w:t>
      </w:r>
      <w:r w:rsidRPr="00C00F77">
        <w:rPr>
          <w:rFonts w:ascii="Times New Roman" w:hAnsi="Times New Roman" w:cs="Times New Roman"/>
          <w:color w:val="000000" w:themeColor="text1"/>
          <w:sz w:val="24"/>
          <w:szCs w:val="24"/>
        </w:rPr>
        <w:t xml:space="preserve">, </w:t>
      </w:r>
      <w:r w:rsidRPr="00C00F77">
        <w:rPr>
          <w:rFonts w:ascii="Times New Roman" w:hAnsi="Times New Roman" w:cs="Times New Roman"/>
          <w:i/>
          <w:color w:val="000000" w:themeColor="text1"/>
          <w:sz w:val="24"/>
          <w:szCs w:val="24"/>
        </w:rPr>
        <w:t>L. lactis</w:t>
      </w:r>
      <w:r w:rsidRPr="006019F3">
        <w:rPr>
          <w:rFonts w:ascii="Times New Roman" w:hAnsi="Times New Roman" w:cs="Times New Roman"/>
          <w:sz w:val="24"/>
          <w:szCs w:val="24"/>
        </w:rPr>
        <w:t xml:space="preserve"> and </w:t>
      </w:r>
      <w:r w:rsidRPr="006019F3">
        <w:rPr>
          <w:rFonts w:ascii="Times New Roman" w:hAnsi="Times New Roman" w:cs="Times New Roman"/>
          <w:i/>
          <w:sz w:val="24"/>
          <w:szCs w:val="24"/>
        </w:rPr>
        <w:t>S. pneumoniae</w:t>
      </w:r>
      <w:r w:rsidRPr="006019F3">
        <w:rPr>
          <w:rFonts w:ascii="Times New Roman" w:hAnsi="Times New Roman" w:cs="Times New Roman"/>
          <w:sz w:val="24"/>
          <w:szCs w:val="24"/>
        </w:rPr>
        <w:t xml:space="preserve"> had similar glycan strand distributions </w:t>
      </w:r>
    </w:p>
    <w:p w:rsidR="002D7C9B" w:rsidRDefault="002D7C9B" w:rsidP="002D7C9B">
      <w:pPr>
        <w:spacing w:before="120" w:after="120" w:line="480" w:lineRule="auto"/>
        <w:jc w:val="both"/>
        <w:rPr>
          <w:rFonts w:ascii="Times New Roman" w:hAnsi="Times New Roman" w:cs="Times New Roman"/>
          <w:color w:val="000000"/>
          <w:sz w:val="24"/>
          <w:szCs w:val="24"/>
        </w:rPr>
      </w:pPr>
      <w:r w:rsidRPr="00351E90">
        <w:rPr>
          <w:rFonts w:ascii="Times New Roman" w:hAnsi="Times New Roman" w:cs="Times New Roman"/>
          <w:noProof/>
          <w:color w:val="000000"/>
          <w:sz w:val="24"/>
          <w:szCs w:val="24"/>
          <w:lang w:eastAsia="en-GB"/>
        </w:rPr>
        <w:lastRenderedPageBreak/>
        <w:drawing>
          <wp:inline distT="0" distB="0" distL="0" distR="0">
            <wp:extent cx="5278120" cy="4481195"/>
            <wp:effectExtent l="19050" t="0" r="0" b="0"/>
            <wp:docPr id="16" name="Picture 12" descr="Figure 3.3.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3.emf"/>
                    <pic:cNvPicPr/>
                  </pic:nvPicPr>
                  <pic:blipFill>
                    <a:blip r:embed="rId38" cstate="print"/>
                    <a:stretch>
                      <a:fillRect/>
                    </a:stretch>
                  </pic:blipFill>
                  <pic:spPr>
                    <a:xfrm>
                      <a:off x="0" y="0"/>
                      <a:ext cx="5278120" cy="4481195"/>
                    </a:xfrm>
                    <a:prstGeom prst="rect">
                      <a:avLst/>
                    </a:prstGeom>
                  </pic:spPr>
                </pic:pic>
              </a:graphicData>
            </a:graphic>
          </wp:inline>
        </w:drawing>
      </w:r>
    </w:p>
    <w:p w:rsidR="002D7C9B" w:rsidRPr="00F85800" w:rsidRDefault="002D7C9B" w:rsidP="002D7C9B">
      <w:pPr>
        <w:autoSpaceDE w:val="0"/>
        <w:autoSpaceDN w:val="0"/>
        <w:adjustRightInd w:val="0"/>
        <w:spacing w:line="360" w:lineRule="auto"/>
        <w:jc w:val="both"/>
        <w:rPr>
          <w:rFonts w:ascii="Times New Roman" w:hAnsi="Times New Roman" w:cs="Times New Roman"/>
          <w:sz w:val="24"/>
          <w:szCs w:val="24"/>
        </w:rPr>
      </w:pPr>
      <w:proofErr w:type="gramStart"/>
      <w:r w:rsidRPr="009E0D1B">
        <w:rPr>
          <w:rFonts w:ascii="Times New Roman" w:hAnsi="Times New Roman" w:cs="Times New Roman"/>
          <w:b/>
          <w:color w:val="000000"/>
          <w:sz w:val="24"/>
          <w:szCs w:val="24"/>
        </w:rPr>
        <w:t>Figure 3.</w:t>
      </w:r>
      <w:r>
        <w:rPr>
          <w:rFonts w:ascii="Times New Roman" w:hAnsi="Times New Roman" w:cs="Times New Roman"/>
          <w:b/>
          <w:color w:val="000000"/>
          <w:sz w:val="24"/>
          <w:szCs w:val="24"/>
        </w:rPr>
        <w:t>4</w:t>
      </w:r>
      <w:r w:rsidRPr="009E0D1B">
        <w:rPr>
          <w:rFonts w:ascii="Times New Roman" w:hAnsi="Times New Roman" w:cs="Times New Roman"/>
          <w:b/>
          <w:color w:val="000000"/>
          <w:sz w:val="24"/>
          <w:szCs w:val="24"/>
        </w:rPr>
        <w:t>.</w:t>
      </w:r>
      <w:proofErr w:type="gramEnd"/>
      <w:r w:rsidRPr="009E0D1B">
        <w:rPr>
          <w:rFonts w:ascii="Times New Roman" w:hAnsi="Times New Roman" w:cs="Times New Roman"/>
          <w:b/>
          <w:bCs/>
          <w:sz w:val="24"/>
          <w:szCs w:val="24"/>
        </w:rPr>
        <w:t xml:space="preserve"> </w:t>
      </w:r>
      <w:proofErr w:type="gramStart"/>
      <w:r>
        <w:rPr>
          <w:rFonts w:ascii="Times New Roman" w:hAnsi="Times New Roman" w:cs="Times New Roman"/>
          <w:b/>
          <w:bCs/>
          <w:sz w:val="24"/>
          <w:szCs w:val="24"/>
        </w:rPr>
        <w:t>Calibration of TSK</w:t>
      </w:r>
      <w:r w:rsidRPr="00676477">
        <w:rPr>
          <w:rFonts w:ascii="Times New Roman" w:hAnsi="Times New Roman" w:cs="Times New Roman"/>
          <w:b/>
          <w:bCs/>
          <w:sz w:val="24"/>
          <w:szCs w:val="24"/>
          <w:vertAlign w:val="subscript"/>
        </w:rPr>
        <w:t>SW</w:t>
      </w:r>
      <w:r>
        <w:rPr>
          <w:rFonts w:ascii="Times New Roman" w:hAnsi="Times New Roman" w:cs="Times New Roman"/>
          <w:b/>
          <w:bCs/>
          <w:sz w:val="24"/>
          <w:szCs w:val="24"/>
        </w:rPr>
        <w:t>2000 and TSK</w:t>
      </w:r>
      <w:r w:rsidRPr="00676477">
        <w:rPr>
          <w:rFonts w:ascii="Times New Roman" w:hAnsi="Times New Roman" w:cs="Times New Roman"/>
          <w:b/>
          <w:bCs/>
          <w:sz w:val="24"/>
          <w:szCs w:val="24"/>
          <w:vertAlign w:val="subscript"/>
        </w:rPr>
        <w:t>SW</w:t>
      </w:r>
      <w:r>
        <w:rPr>
          <w:rFonts w:ascii="Times New Roman" w:hAnsi="Times New Roman" w:cs="Times New Roman"/>
          <w:b/>
          <w:bCs/>
          <w:sz w:val="24"/>
          <w:szCs w:val="24"/>
        </w:rPr>
        <w:t>4000 columns with dextran standards.</w:t>
      </w:r>
      <w:proofErr w:type="gramEnd"/>
      <w:r>
        <w:rPr>
          <w:rFonts w:ascii="Times New Roman" w:hAnsi="Times New Roman" w:cs="Times New Roman"/>
          <w:b/>
          <w:bCs/>
          <w:sz w:val="24"/>
          <w:szCs w:val="24"/>
        </w:rPr>
        <w:t xml:space="preserve"> </w:t>
      </w:r>
      <w:r>
        <w:rPr>
          <w:rFonts w:ascii="Times New Roman" w:hAnsi="Times New Roman" w:cs="Times New Roman"/>
          <w:sz w:val="24"/>
          <w:szCs w:val="24"/>
        </w:rPr>
        <w:t>(</w:t>
      </w:r>
      <w:r>
        <w:rPr>
          <w:rFonts w:ascii="Times New Roman" w:hAnsi="Times New Roman" w:cs="Times New Roman"/>
          <w:b/>
          <w:bCs/>
          <w:sz w:val="24"/>
          <w:szCs w:val="24"/>
        </w:rPr>
        <w:t>A</w:t>
      </w:r>
      <w:r>
        <w:rPr>
          <w:rFonts w:ascii="Times New Roman" w:hAnsi="Times New Roman" w:cs="Times New Roman"/>
          <w:sz w:val="24"/>
          <w:szCs w:val="24"/>
        </w:rPr>
        <w:t>) Calibration curve used to determine the mass of radioactive glycan material (CPM) based on the elution volume from a TSK</w:t>
      </w:r>
      <w:r w:rsidRPr="00DC50CF">
        <w:rPr>
          <w:rFonts w:ascii="Times New Roman" w:hAnsi="Times New Roman" w:cs="Times New Roman"/>
          <w:sz w:val="24"/>
          <w:szCs w:val="24"/>
          <w:vertAlign w:val="subscript"/>
        </w:rPr>
        <w:t>SW</w:t>
      </w:r>
      <w:r>
        <w:rPr>
          <w:rFonts w:ascii="Times New Roman" w:hAnsi="Times New Roman" w:cs="Times New Roman"/>
          <w:sz w:val="24"/>
          <w:szCs w:val="24"/>
        </w:rPr>
        <w:t>2000 (left) or TSK</w:t>
      </w:r>
      <w:r w:rsidRPr="00DC50CF">
        <w:rPr>
          <w:rFonts w:ascii="Times New Roman" w:hAnsi="Times New Roman" w:cs="Times New Roman"/>
          <w:sz w:val="24"/>
          <w:szCs w:val="24"/>
          <w:vertAlign w:val="subscript"/>
        </w:rPr>
        <w:t>SW</w:t>
      </w:r>
      <w:r>
        <w:rPr>
          <w:rFonts w:ascii="Times New Roman" w:hAnsi="Times New Roman" w:cs="Times New Roman"/>
          <w:sz w:val="24"/>
          <w:szCs w:val="24"/>
        </w:rPr>
        <w:t>4000 (</w:t>
      </w:r>
      <w:r w:rsidRPr="00C00F77">
        <w:rPr>
          <w:rFonts w:ascii="Times New Roman" w:hAnsi="Times New Roman" w:cs="Times New Roman"/>
          <w:color w:val="000000" w:themeColor="text1"/>
          <w:sz w:val="24"/>
          <w:szCs w:val="24"/>
        </w:rPr>
        <w:t xml:space="preserve">right) size-exclusion column. (B) The theoretical molecular weight (in kDa) was deduced from calibration of the column using dextran standards of known size (1-150 kDa, Chapter 2.16.5) to mimic the glycan backbone. The neutrally charged dextrans were detected by colorimetric phenolsulphuric acid assay of the collected fractions (Chapter 2.16.5) </w:t>
      </w:r>
      <w:r w:rsidRPr="00C00F77">
        <w:rPr>
          <w:rFonts w:ascii="Times New Roman" w:hAnsi="Times New Roman" w:cs="Times New Roman"/>
          <w:color w:val="000000" w:themeColor="text1"/>
          <w:sz w:val="24"/>
          <w:szCs w:val="24"/>
        </w:rPr>
        <w:fldChar w:fldCharType="begin"/>
      </w:r>
      <w:r w:rsidRPr="00C00F77">
        <w:rPr>
          <w:rFonts w:ascii="Times New Roman" w:hAnsi="Times New Roman" w:cs="Times New Roman"/>
          <w:color w:val="000000" w:themeColor="text1"/>
          <w:sz w:val="24"/>
          <w:szCs w:val="24"/>
        </w:rPr>
        <w:instrText xml:space="preserve"> ADDIN ZOTERO_ITEM CSL_CITATION {"citationID":"2dsmvt23rn","properties":{"formattedCitation":"(Kennedy and Pagliuca, 1994)","plainCitation":"(Kennedy and Pagliuca, 1994)"},"citationItems":[{"id":99,"uris":["http://zotero.org/users/944474/items/QKQIZWGE"],"uri":["http://zotero.org/users/944474/items/QKQIZWGE"],"itemData":{"id":99,"type":"chapter","title":"Oligosaccharides","container-title":"Carbohydrate analysis : a practical approach","publisher":"ILR Press","publisher-place":"Oxford; New York","event-place":"Oxford; New York","ISBN":"0199634505  9780199634507  0199634491  9780199634491","language":"English","editor":[{"family":"Chaplin","given":"M. F"},{"family":"Kennedy","given":"J F"}],"author":[{"family":"Kennedy","given":"J F"},{"family":"Pagliuca","given":"G"}],"issued":{"year":1994}}}],"schema":"https://github.com/citation-style-language/schema/raw/master/csl-citation.json"} </w:instrText>
      </w:r>
      <w:r w:rsidRPr="00C00F77">
        <w:rPr>
          <w:rFonts w:ascii="Times New Roman" w:hAnsi="Times New Roman" w:cs="Times New Roman"/>
          <w:color w:val="000000" w:themeColor="text1"/>
          <w:sz w:val="24"/>
          <w:szCs w:val="24"/>
        </w:rPr>
        <w:fldChar w:fldCharType="separate"/>
      </w:r>
      <w:r w:rsidRPr="00C00F77">
        <w:rPr>
          <w:rFonts w:ascii="Times New Roman" w:hAnsi="Times New Roman" w:cs="Times New Roman"/>
          <w:color w:val="000000" w:themeColor="text1"/>
          <w:sz w:val="24"/>
          <w:szCs w:val="21"/>
        </w:rPr>
        <w:t>(Kennedy and Pagliuca, 1994)</w:t>
      </w:r>
      <w:r w:rsidRPr="00C00F77">
        <w:rPr>
          <w:rFonts w:ascii="Times New Roman" w:hAnsi="Times New Roman" w:cs="Times New Roman"/>
          <w:color w:val="000000" w:themeColor="text1"/>
          <w:sz w:val="24"/>
          <w:szCs w:val="24"/>
        </w:rPr>
        <w:fldChar w:fldCharType="end"/>
      </w:r>
      <w:r w:rsidRPr="00C00F77">
        <w:rPr>
          <w:rFonts w:ascii="Times New Roman" w:hAnsi="Times New Roman" w:cs="Times New Roman"/>
          <w:color w:val="000000" w:themeColor="text1"/>
          <w:sz w:val="24"/>
          <w:szCs w:val="24"/>
        </w:rPr>
        <w:t>. Work</w:t>
      </w:r>
      <w:r>
        <w:rPr>
          <w:rFonts w:ascii="Times New Roman" w:hAnsi="Times New Roman" w:cs="Times New Roman"/>
          <w:sz w:val="24"/>
          <w:szCs w:val="24"/>
        </w:rPr>
        <w:t xml:space="preserve"> conducted by Stéphane Mesnage.</w:t>
      </w:r>
    </w:p>
    <w:p w:rsidR="002D7C9B" w:rsidRDefault="002D7C9B" w:rsidP="002D7C9B">
      <w:pPr>
        <w:rPr>
          <w:rFonts w:ascii="Times New Roman" w:hAnsi="Times New Roman" w:cs="Times New Roman"/>
          <w:sz w:val="24"/>
          <w:szCs w:val="24"/>
        </w:rPr>
      </w:pPr>
      <w:r>
        <w:rPr>
          <w:rFonts w:ascii="Times New Roman" w:hAnsi="Times New Roman" w:cs="Times New Roman"/>
          <w:sz w:val="24"/>
          <w:szCs w:val="24"/>
        </w:rPr>
        <w:br w:type="page"/>
      </w:r>
    </w:p>
    <w:p w:rsidR="002D7C9B" w:rsidRPr="00C00F77" w:rsidRDefault="002D7C9B" w:rsidP="002D7C9B">
      <w:pPr>
        <w:spacing w:before="120" w:line="480" w:lineRule="auto"/>
        <w:jc w:val="both"/>
        <w:rPr>
          <w:rFonts w:ascii="Times New Roman" w:hAnsi="Times New Roman" w:cs="Times New Roman"/>
          <w:color w:val="000000" w:themeColor="text1"/>
          <w:sz w:val="24"/>
          <w:szCs w:val="24"/>
        </w:rPr>
      </w:pPr>
      <w:proofErr w:type="gramStart"/>
      <w:r w:rsidRPr="006019F3">
        <w:rPr>
          <w:rFonts w:ascii="Times New Roman" w:hAnsi="Times New Roman" w:cs="Times New Roman"/>
          <w:sz w:val="24"/>
          <w:szCs w:val="24"/>
        </w:rPr>
        <w:lastRenderedPageBreak/>
        <w:t>when</w:t>
      </w:r>
      <w:proofErr w:type="gramEnd"/>
      <w:r w:rsidRPr="006019F3">
        <w:rPr>
          <w:rFonts w:ascii="Times New Roman" w:hAnsi="Times New Roman" w:cs="Times New Roman"/>
          <w:sz w:val="24"/>
          <w:szCs w:val="24"/>
        </w:rPr>
        <w:t xml:space="preserve"> analysed with a </w:t>
      </w:r>
      <w:r w:rsidRPr="00C00F77">
        <w:rPr>
          <w:rFonts w:ascii="Times New Roman" w:hAnsi="Times New Roman" w:cs="Times New Roman"/>
          <w:color w:val="000000" w:themeColor="text1"/>
          <w:sz w:val="24"/>
          <w:szCs w:val="24"/>
        </w:rPr>
        <w:t>TSK</w:t>
      </w:r>
      <w:r w:rsidRPr="00C00F77">
        <w:rPr>
          <w:rFonts w:ascii="Times New Roman" w:hAnsi="Times New Roman" w:cs="Times New Roman"/>
          <w:color w:val="000000" w:themeColor="text1"/>
          <w:sz w:val="24"/>
          <w:szCs w:val="24"/>
          <w:vertAlign w:val="subscript"/>
        </w:rPr>
        <w:t>SW</w:t>
      </w:r>
      <w:r w:rsidRPr="00C00F77">
        <w:rPr>
          <w:rFonts w:ascii="Times New Roman" w:hAnsi="Times New Roman" w:cs="Times New Roman"/>
          <w:color w:val="000000" w:themeColor="text1"/>
          <w:sz w:val="24"/>
          <w:szCs w:val="24"/>
        </w:rPr>
        <w:t>2000 column (</w:t>
      </w:r>
      <w:r>
        <w:rPr>
          <w:rFonts w:ascii="Times New Roman" w:hAnsi="Times New Roman" w:cs="Times New Roman"/>
          <w:color w:val="000000" w:themeColor="text1"/>
          <w:sz w:val="24"/>
          <w:szCs w:val="24"/>
        </w:rPr>
        <w:t>Figure 3.5</w:t>
      </w:r>
      <w:r w:rsidRPr="00C00F77">
        <w:rPr>
          <w:rFonts w:ascii="Times New Roman" w:hAnsi="Times New Roman" w:cs="Times New Roman"/>
          <w:color w:val="000000" w:themeColor="text1"/>
          <w:sz w:val="24"/>
          <w:szCs w:val="24"/>
        </w:rPr>
        <w:t>A). The majority of radioactive material corresponded to glycan strands with an apparent molecular weight (MW) greater than 25 kDa (50 disaccharides), close to the theoretical resolution limit of the TSK</w:t>
      </w:r>
      <w:r w:rsidRPr="00C00F77">
        <w:rPr>
          <w:rFonts w:ascii="Times New Roman" w:hAnsi="Times New Roman" w:cs="Times New Roman"/>
          <w:color w:val="000000" w:themeColor="text1"/>
          <w:sz w:val="24"/>
          <w:szCs w:val="24"/>
          <w:vertAlign w:val="subscript"/>
        </w:rPr>
        <w:t>SW</w:t>
      </w:r>
      <w:r w:rsidRPr="00C00F77">
        <w:rPr>
          <w:rFonts w:ascii="Times New Roman" w:hAnsi="Times New Roman" w:cs="Times New Roman"/>
          <w:color w:val="000000" w:themeColor="text1"/>
          <w:sz w:val="24"/>
          <w:szCs w:val="24"/>
        </w:rPr>
        <w:t>2000 column (</w:t>
      </w:r>
      <w:r>
        <w:rPr>
          <w:rFonts w:ascii="Times New Roman" w:hAnsi="Times New Roman" w:cs="Times New Roman"/>
          <w:color w:val="000000" w:themeColor="text1"/>
          <w:sz w:val="24"/>
          <w:szCs w:val="24"/>
        </w:rPr>
        <w:t>Figure 3.5</w:t>
      </w:r>
      <w:r w:rsidRPr="00C00F77">
        <w:rPr>
          <w:rFonts w:ascii="Times New Roman" w:hAnsi="Times New Roman" w:cs="Times New Roman"/>
          <w:color w:val="000000" w:themeColor="text1"/>
          <w:sz w:val="24"/>
          <w:szCs w:val="24"/>
        </w:rPr>
        <w:t>A; see Chapter 2.16.6 for the rationale behind the analysis).</w:t>
      </w:r>
    </w:p>
    <w:p w:rsidR="002D7C9B" w:rsidRPr="00C00F77" w:rsidRDefault="002D7C9B" w:rsidP="002D7C9B">
      <w:pPr>
        <w:spacing w:before="120" w:line="480" w:lineRule="auto"/>
        <w:jc w:val="both"/>
        <w:rPr>
          <w:rFonts w:ascii="Times New Roman" w:hAnsi="Times New Roman" w:cs="Times New Roman"/>
          <w:color w:val="000000" w:themeColor="text1"/>
          <w:sz w:val="24"/>
          <w:szCs w:val="24"/>
        </w:rPr>
      </w:pPr>
      <w:r w:rsidRPr="00C00F77">
        <w:rPr>
          <w:rFonts w:ascii="Times New Roman" w:hAnsi="Times New Roman" w:cs="Times New Roman"/>
          <w:color w:val="000000" w:themeColor="text1"/>
          <w:sz w:val="24"/>
          <w:szCs w:val="24"/>
        </w:rPr>
        <w:t xml:space="preserve">Since long strands contain more </w:t>
      </w:r>
      <w:r w:rsidRPr="00C00F77">
        <w:rPr>
          <w:rFonts w:ascii="Times New Roman" w:hAnsi="Times New Roman" w:cs="Times New Roman"/>
          <w:i/>
          <w:color w:val="000000" w:themeColor="text1"/>
          <w:sz w:val="24"/>
          <w:szCs w:val="24"/>
        </w:rPr>
        <w:t>N</w:t>
      </w:r>
      <w:r w:rsidRPr="00C00F77">
        <w:rPr>
          <w:rFonts w:ascii="Times New Roman" w:hAnsi="Times New Roman" w:cs="Times New Roman"/>
          <w:color w:val="000000" w:themeColor="text1"/>
          <w:sz w:val="24"/>
          <w:szCs w:val="24"/>
        </w:rPr>
        <w:t>-</w:t>
      </w:r>
      <w:proofErr w:type="gramStart"/>
      <w:r w:rsidRPr="00C00F77">
        <w:rPr>
          <w:rFonts w:ascii="Times New Roman" w:hAnsi="Times New Roman" w:cs="Times New Roman"/>
          <w:color w:val="000000" w:themeColor="text1"/>
          <w:sz w:val="24"/>
          <w:szCs w:val="24"/>
        </w:rPr>
        <w:t>acetyl[</w:t>
      </w:r>
      <w:proofErr w:type="gramEnd"/>
      <w:r w:rsidRPr="00C00F77">
        <w:rPr>
          <w:rFonts w:ascii="Times New Roman" w:hAnsi="Times New Roman" w:cs="Times New Roman"/>
          <w:color w:val="000000" w:themeColor="text1"/>
          <w:sz w:val="24"/>
          <w:szCs w:val="24"/>
          <w:vertAlign w:val="superscript"/>
        </w:rPr>
        <w:t>14</w:t>
      </w:r>
      <w:r w:rsidRPr="00C00F77">
        <w:rPr>
          <w:rFonts w:ascii="Times New Roman" w:hAnsi="Times New Roman" w:cs="Times New Roman"/>
          <w:color w:val="000000" w:themeColor="text1"/>
          <w:sz w:val="24"/>
          <w:szCs w:val="24"/>
        </w:rPr>
        <w:t xml:space="preserve">C]glucosamine residues than short strands, radioactivity does not directly correlate with the abundance of strands of a particular size (i.e. one strand of one hundred disaccharides has the same radioactivity as twenty strands of five disaccharides). To take into account the fact that radioactivity increases with glycan chain length, we plotted the relative chain length distribution by calculating the ratio between radioactivity and apparent MW (cpm/MW; </w:t>
      </w:r>
      <w:r>
        <w:rPr>
          <w:rFonts w:ascii="Times New Roman" w:hAnsi="Times New Roman" w:cs="Times New Roman"/>
          <w:color w:val="000000" w:themeColor="text1"/>
          <w:sz w:val="24"/>
          <w:szCs w:val="24"/>
        </w:rPr>
        <w:t>Figure 3.5</w:t>
      </w:r>
      <w:r w:rsidRPr="00C00F77">
        <w:rPr>
          <w:rFonts w:ascii="Times New Roman" w:hAnsi="Times New Roman" w:cs="Times New Roman"/>
          <w:color w:val="000000" w:themeColor="text1"/>
          <w:sz w:val="24"/>
          <w:szCs w:val="24"/>
        </w:rPr>
        <w:t xml:space="preserve">B and Table 3.1). Between 44% and 57% of ovococcal glycan strand material consisted of glycan strands with an apparent MW of greater than 25 kDa (50 disaccharides). The proportion of long to short glycan strands in ovococci was virtually identical to that of </w:t>
      </w:r>
      <w:r w:rsidRPr="00C00F77">
        <w:rPr>
          <w:rFonts w:ascii="Times New Roman" w:hAnsi="Times New Roman" w:cs="Times New Roman"/>
          <w:i/>
          <w:color w:val="000000" w:themeColor="text1"/>
          <w:sz w:val="24"/>
          <w:szCs w:val="24"/>
        </w:rPr>
        <w:t>B. subtilis</w:t>
      </w:r>
      <w:r w:rsidRPr="00C00F77">
        <w:rPr>
          <w:rFonts w:ascii="Times New Roman" w:hAnsi="Times New Roman" w:cs="Times New Roman"/>
          <w:color w:val="000000" w:themeColor="text1"/>
          <w:sz w:val="24"/>
          <w:szCs w:val="24"/>
        </w:rPr>
        <w:t xml:space="preserve"> (53% of glycan strands &gt;50 disaccharides) and significantly larger than that of </w:t>
      </w:r>
      <w:r w:rsidRPr="00C00F77">
        <w:rPr>
          <w:rFonts w:ascii="Times New Roman" w:hAnsi="Times New Roman" w:cs="Times New Roman"/>
          <w:i/>
          <w:color w:val="000000" w:themeColor="text1"/>
          <w:sz w:val="24"/>
          <w:szCs w:val="24"/>
        </w:rPr>
        <w:t>S. aureus</w:t>
      </w:r>
      <w:r w:rsidRPr="00C00F77">
        <w:rPr>
          <w:rFonts w:ascii="Times New Roman" w:hAnsi="Times New Roman" w:cs="Times New Roman"/>
          <w:color w:val="000000" w:themeColor="text1"/>
          <w:sz w:val="24"/>
          <w:szCs w:val="24"/>
        </w:rPr>
        <w:t xml:space="preserve"> (14% of glycan strands &gt;50 disaccharides) (Table 3.1A).</w:t>
      </w:r>
    </w:p>
    <w:p w:rsidR="002D7C9B" w:rsidRPr="00C00F77" w:rsidRDefault="002D7C9B" w:rsidP="002D7C9B">
      <w:pPr>
        <w:spacing w:line="480" w:lineRule="auto"/>
        <w:jc w:val="both"/>
        <w:rPr>
          <w:rFonts w:ascii="Times New Roman" w:hAnsi="Times New Roman" w:cs="Times New Roman"/>
          <w:color w:val="000000" w:themeColor="text1"/>
          <w:sz w:val="24"/>
          <w:szCs w:val="24"/>
        </w:rPr>
      </w:pPr>
      <w:r w:rsidRPr="00C00F77">
        <w:rPr>
          <w:rFonts w:ascii="Times New Roman" w:hAnsi="Times New Roman" w:cs="Times New Roman"/>
          <w:color w:val="000000" w:themeColor="text1"/>
          <w:sz w:val="24"/>
          <w:szCs w:val="24"/>
        </w:rPr>
        <w:t>A second gel filtration column was then used with optimal resolution of dextran masses between 25 and 500 kDa (TSK</w:t>
      </w:r>
      <w:r w:rsidRPr="00C00F77">
        <w:rPr>
          <w:rFonts w:ascii="Times New Roman" w:hAnsi="Times New Roman" w:cs="Times New Roman"/>
          <w:color w:val="000000" w:themeColor="text1"/>
          <w:sz w:val="24"/>
          <w:szCs w:val="24"/>
          <w:vertAlign w:val="subscript"/>
        </w:rPr>
        <w:t>SW</w:t>
      </w:r>
      <w:r w:rsidRPr="00C00F77">
        <w:rPr>
          <w:rFonts w:ascii="Times New Roman" w:hAnsi="Times New Roman" w:cs="Times New Roman"/>
          <w:color w:val="000000" w:themeColor="text1"/>
          <w:sz w:val="24"/>
          <w:szCs w:val="24"/>
        </w:rPr>
        <w:t xml:space="preserve">4000; </w:t>
      </w:r>
      <w:r>
        <w:rPr>
          <w:rFonts w:ascii="Times New Roman" w:hAnsi="Times New Roman" w:cs="Times New Roman"/>
          <w:color w:val="000000" w:themeColor="text1"/>
          <w:sz w:val="24"/>
          <w:szCs w:val="24"/>
        </w:rPr>
        <w:t>Figure 3.5</w:t>
      </w:r>
      <w:r w:rsidRPr="00C00F77">
        <w:rPr>
          <w:rFonts w:ascii="Times New Roman" w:hAnsi="Times New Roman" w:cs="Times New Roman"/>
          <w:color w:val="000000" w:themeColor="text1"/>
          <w:sz w:val="24"/>
          <w:szCs w:val="24"/>
        </w:rPr>
        <w:t>B). The improved resolution of high molecular weight material purified from ovococci indicated that</w:t>
      </w:r>
      <w:r w:rsidRPr="00C00F77">
        <w:rPr>
          <w:rFonts w:ascii="Times New Roman" w:hAnsi="Times New Roman" w:cs="Times New Roman"/>
          <w:i/>
          <w:color w:val="000000" w:themeColor="text1"/>
          <w:sz w:val="24"/>
          <w:szCs w:val="24"/>
        </w:rPr>
        <w:t xml:space="preserve"> </w:t>
      </w:r>
      <w:r w:rsidRPr="00C00F77">
        <w:rPr>
          <w:rFonts w:ascii="Times New Roman" w:hAnsi="Times New Roman" w:cs="Times New Roman"/>
          <w:color w:val="000000" w:themeColor="text1"/>
          <w:sz w:val="24"/>
          <w:szCs w:val="24"/>
        </w:rPr>
        <w:t xml:space="preserve">approximately 8% to 14% of the glycan strands had an apparent size &gt;100 disaccharides. Again, these values were similar to </w:t>
      </w:r>
      <w:r w:rsidRPr="00C00F77">
        <w:rPr>
          <w:rFonts w:ascii="Times New Roman" w:hAnsi="Times New Roman" w:cs="Times New Roman"/>
          <w:i/>
          <w:color w:val="000000" w:themeColor="text1"/>
          <w:sz w:val="24"/>
          <w:szCs w:val="24"/>
        </w:rPr>
        <w:t>B. subtilis</w:t>
      </w:r>
      <w:r w:rsidRPr="00C00F77">
        <w:rPr>
          <w:rFonts w:ascii="Times New Roman" w:hAnsi="Times New Roman" w:cs="Times New Roman"/>
          <w:color w:val="000000" w:themeColor="text1"/>
          <w:sz w:val="24"/>
          <w:szCs w:val="24"/>
        </w:rPr>
        <w:t xml:space="preserve"> (14% of glycan strands &gt;100 disaccharides; Table 3.1A) and much higher than </w:t>
      </w:r>
      <w:r w:rsidRPr="00C00F77">
        <w:rPr>
          <w:rFonts w:ascii="Times New Roman" w:hAnsi="Times New Roman" w:cs="Times New Roman"/>
          <w:i/>
          <w:color w:val="000000" w:themeColor="text1"/>
          <w:sz w:val="24"/>
          <w:szCs w:val="24"/>
        </w:rPr>
        <w:t>S. aureus</w:t>
      </w:r>
      <w:r w:rsidRPr="00C00F77">
        <w:rPr>
          <w:rFonts w:ascii="Times New Roman" w:hAnsi="Times New Roman" w:cs="Times New Roman"/>
          <w:color w:val="000000" w:themeColor="text1"/>
          <w:sz w:val="24"/>
          <w:szCs w:val="24"/>
        </w:rPr>
        <w:t xml:space="preserve"> (no glycan strands &gt;100 disaccharides; Table 3.1A). The finding that the ovococci have very long glycan strands has important implications for peptidoglycan architecture, as it precludes the possibility of a purely scaffold architecture in ovococci </w:t>
      </w:r>
      <w:r w:rsidRPr="00C00F77">
        <w:rPr>
          <w:rFonts w:ascii="Times New Roman" w:hAnsi="Times New Roman" w:cs="Times New Roman"/>
          <w:color w:val="000000" w:themeColor="text1"/>
          <w:sz w:val="24"/>
          <w:szCs w:val="24"/>
        </w:rPr>
        <w:fldChar w:fldCharType="begin"/>
      </w:r>
      <w:r w:rsidRPr="00C00F77">
        <w:rPr>
          <w:rFonts w:ascii="Times New Roman" w:hAnsi="Times New Roman" w:cs="Times New Roman"/>
          <w:color w:val="000000" w:themeColor="text1"/>
          <w:sz w:val="24"/>
          <w:szCs w:val="24"/>
        </w:rPr>
        <w:instrText xml:space="preserve"> ADDIN ZOTERO_ITEM CSL_CITATION {"citationID":"7i4dod74m","properties":{"formattedCitation":"(Dmitriev et al., 2003)","plainCitation":"(Dmitriev et al., 2003)"},"citationItems":[{"id":104,"uris":["http://zotero.org/users/944474/items/TJKDCBNG"],"uri":["http://zotero.org/users/944474/items/TJKDCBNG"],"itemData":{"id":104,"type":"article-journal","title":"Tertiary structure of bacterial murein: the scaffold model","container-title":"Journal of Bacteriology","page":"3458-3468","volume":"185","issue":"11","abstract":"Although the chemical structure and physical properties of peptidoglycan have been elucidated for some time, the precise three-dimensional organization of murein has remained elusive. Earlier published computer simulations of the bacterial murein architecture modeled peptidoglycan strands in either a regular (D. Pink, J. Moeller, B. Quinn, M. Jericho, and T. Beveridge, J. Bacteriol. 182: 5925-5930, 2000) or an irregular (A. Koch, J. Theor. Biol. 204: 533-541, 2000) parallel orientation with respect to the plasma membrane. However, after integrating published experimental data on glycan chain length distribution and the degree of peptide side chain cross-linking into this computer simulation, we now report that the proposed planar network of murein appears largely dysfunctional. In contrast, a scaffold model of murein architecture, which assumes that glycan strands extend perpendicularly to the plasma membrane, was found to accommodate published experimental evidence and yield a viable stress-bearing matrix. Moreover, this model is in accordance with the well-established principle of murein assembly in vivo, i.e., sequential attachment of strands to the preexisting structure. For the first time, the phenomenon of division plane alternation in dividing bacteria can be reconciled with a computer model of the molecular architecture of murein.","note":"PMID: 12754246","shortTitle":"Tertiary structure of bacterial murein","journalAbbreviation":"J. Bacteriol.","author":[{"family":"Dmitriev","given":"Boris A"},{"family":"Toukach","given":"Filip V"},{"family":"Schaper","given":"Klaus-Jürgen"},{"family":"Holst","given":"Otto"},{"family":"Rietschel","given":"Ernst T"},{"family":"Ehlers","given":"Stefan"}],"issued":{"year":2003,"month":6},"accessed":{"year":2012,"month":4,"day":2}}}],"schema":"https://github.com/citation-style-language/schema/raw/master/csl-citation.json"} </w:instrText>
      </w:r>
      <w:r w:rsidRPr="00C00F77">
        <w:rPr>
          <w:rFonts w:ascii="Times New Roman" w:hAnsi="Times New Roman" w:cs="Times New Roman"/>
          <w:color w:val="000000" w:themeColor="text1"/>
          <w:sz w:val="24"/>
          <w:szCs w:val="24"/>
        </w:rPr>
        <w:fldChar w:fldCharType="separate"/>
      </w:r>
      <w:r w:rsidRPr="00C00F77">
        <w:rPr>
          <w:rFonts w:ascii="Times New Roman" w:hAnsi="Times New Roman" w:cs="Times New Roman"/>
          <w:color w:val="000000" w:themeColor="text1"/>
          <w:sz w:val="24"/>
          <w:szCs w:val="21"/>
        </w:rPr>
        <w:t xml:space="preserve">(Dmitriev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2003)</w:t>
      </w:r>
      <w:r w:rsidRPr="00C00F77">
        <w:rPr>
          <w:rFonts w:ascii="Times New Roman" w:hAnsi="Times New Roman" w:cs="Times New Roman"/>
          <w:color w:val="000000" w:themeColor="text1"/>
          <w:sz w:val="24"/>
          <w:szCs w:val="24"/>
        </w:rPr>
        <w:fldChar w:fldCharType="end"/>
      </w:r>
      <w:r w:rsidRPr="00C00F77">
        <w:rPr>
          <w:rFonts w:ascii="Times New Roman" w:hAnsi="Times New Roman" w:cs="Times New Roman"/>
          <w:color w:val="000000" w:themeColor="text1"/>
          <w:sz w:val="24"/>
          <w:szCs w:val="24"/>
        </w:rPr>
        <w:t>.</w:t>
      </w:r>
    </w:p>
    <w:p w:rsidR="002D7C9B" w:rsidRDefault="002D7C9B" w:rsidP="002D7C9B">
      <w:pPr>
        <w:autoSpaceDE w:val="0"/>
        <w:autoSpaceDN w:val="0"/>
        <w:adjustRightInd w:val="0"/>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en-GB"/>
        </w:rPr>
        <w:lastRenderedPageBreak/>
        <w:drawing>
          <wp:inline distT="0" distB="0" distL="0" distR="0">
            <wp:extent cx="4551680" cy="8863330"/>
            <wp:effectExtent l="0" t="0" r="1270" b="0"/>
            <wp:docPr id="15" name="Picture 9" descr="Figure 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4.png"/>
                    <pic:cNvPicPr/>
                  </pic:nvPicPr>
                  <pic:blipFill>
                    <a:blip r:embed="rId39" cstate="print"/>
                    <a:stretch>
                      <a:fillRect/>
                    </a:stretch>
                  </pic:blipFill>
                  <pic:spPr>
                    <a:xfrm>
                      <a:off x="0" y="0"/>
                      <a:ext cx="4551680" cy="8863330"/>
                    </a:xfrm>
                    <a:prstGeom prst="rect">
                      <a:avLst/>
                    </a:prstGeom>
                  </pic:spPr>
                </pic:pic>
              </a:graphicData>
            </a:graphic>
          </wp:inline>
        </w:drawing>
      </w:r>
    </w:p>
    <w:p w:rsidR="002D7C9B" w:rsidRPr="00E7197B" w:rsidRDefault="002D7C9B" w:rsidP="002D7C9B">
      <w:pPr>
        <w:autoSpaceDE w:val="0"/>
        <w:autoSpaceDN w:val="0"/>
        <w:adjustRightInd w:val="0"/>
        <w:spacing w:after="0" w:line="360" w:lineRule="auto"/>
        <w:jc w:val="both"/>
        <w:rPr>
          <w:rFonts w:ascii="Times New Roman" w:hAnsi="Times New Roman" w:cs="Times New Roman"/>
          <w:sz w:val="24"/>
          <w:szCs w:val="24"/>
        </w:rPr>
      </w:pPr>
      <w:proofErr w:type="gramStart"/>
      <w:r w:rsidRPr="00C07A8D">
        <w:rPr>
          <w:rFonts w:ascii="Times New Roman" w:hAnsi="Times New Roman" w:cs="Times New Roman"/>
          <w:b/>
          <w:sz w:val="24"/>
          <w:szCs w:val="24"/>
        </w:rPr>
        <w:lastRenderedPageBreak/>
        <w:t>Figure 3.</w:t>
      </w:r>
      <w:r>
        <w:rPr>
          <w:rFonts w:ascii="Times New Roman" w:hAnsi="Times New Roman" w:cs="Times New Roman"/>
          <w:b/>
          <w:sz w:val="24"/>
          <w:szCs w:val="24"/>
        </w:rPr>
        <w:t>5.</w:t>
      </w:r>
      <w:proofErr w:type="gramEnd"/>
      <w:r w:rsidRPr="00C07A8D">
        <w:rPr>
          <w:rFonts w:ascii="Times New Roman" w:hAnsi="Times New Roman" w:cs="Times New Roman"/>
          <w:b/>
          <w:bCs/>
          <w:sz w:val="24"/>
          <w:szCs w:val="24"/>
        </w:rPr>
        <w:t xml:space="preserve"> </w:t>
      </w:r>
      <w:r w:rsidRPr="00C07A8D">
        <w:rPr>
          <w:rFonts w:ascii="Times New Roman" w:hAnsi="Times New Roman" w:cs="Times New Roman"/>
          <w:b/>
          <w:sz w:val="24"/>
          <w:szCs w:val="24"/>
        </w:rPr>
        <w:t>Glycan strand length distribution in Gram-positive bacteria.</w:t>
      </w:r>
      <w:r w:rsidRPr="00C07A8D">
        <w:rPr>
          <w:rFonts w:ascii="Times New Roman" w:hAnsi="Times New Roman" w:cs="Times New Roman"/>
          <w:sz w:val="24"/>
          <w:szCs w:val="24"/>
        </w:rPr>
        <w:t xml:space="preserve"> Radiolabelled sacculi were digested with recombinant amidase. Glycan strand distribution was determined by gel filtration HPLC using two columns with distinct separation ranges to resolve long and short glycan strands. </w:t>
      </w:r>
      <w:proofErr w:type="gramStart"/>
      <w:r w:rsidRPr="00C07A8D">
        <w:rPr>
          <w:rFonts w:ascii="Times New Roman" w:hAnsi="Times New Roman" w:cs="Times New Roman"/>
          <w:sz w:val="24"/>
          <w:szCs w:val="24"/>
        </w:rPr>
        <w:t>Left, TSK</w:t>
      </w:r>
      <w:r w:rsidRPr="00776558">
        <w:rPr>
          <w:rFonts w:ascii="Times New Roman" w:hAnsi="Times New Roman" w:cs="Times New Roman"/>
          <w:sz w:val="24"/>
          <w:szCs w:val="24"/>
          <w:vertAlign w:val="subscript"/>
        </w:rPr>
        <w:t>SW</w:t>
      </w:r>
      <w:r w:rsidRPr="00C07A8D">
        <w:rPr>
          <w:rFonts w:ascii="Times New Roman" w:hAnsi="Times New Roman" w:cs="Times New Roman"/>
          <w:sz w:val="24"/>
          <w:szCs w:val="24"/>
        </w:rPr>
        <w:t>2000 column with optimal theoretical resolution of dextran standards between 1 and 30 kDa; right, TSK</w:t>
      </w:r>
      <w:r w:rsidRPr="00776558">
        <w:rPr>
          <w:rFonts w:ascii="Times New Roman" w:hAnsi="Times New Roman" w:cs="Times New Roman"/>
          <w:sz w:val="24"/>
          <w:szCs w:val="24"/>
          <w:vertAlign w:val="subscript"/>
        </w:rPr>
        <w:t>SW</w:t>
      </w:r>
      <w:r w:rsidRPr="00C07A8D">
        <w:rPr>
          <w:rFonts w:ascii="Times New Roman" w:hAnsi="Times New Roman" w:cs="Times New Roman"/>
          <w:sz w:val="24"/>
          <w:szCs w:val="24"/>
        </w:rPr>
        <w:t xml:space="preserve">4000 with optimal theoretical resolution of dextran standards between </w:t>
      </w:r>
      <w:r>
        <w:rPr>
          <w:rFonts w:ascii="Times New Roman" w:hAnsi="Times New Roman" w:cs="Times New Roman"/>
          <w:sz w:val="24"/>
          <w:szCs w:val="24"/>
        </w:rPr>
        <w:t>25</w:t>
      </w:r>
      <w:r w:rsidRPr="00C07A8D">
        <w:rPr>
          <w:rFonts w:ascii="Times New Roman" w:hAnsi="Times New Roman" w:cs="Times New Roman"/>
          <w:sz w:val="24"/>
          <w:szCs w:val="24"/>
        </w:rPr>
        <w:t xml:space="preserve"> and 500 kDa.</w:t>
      </w:r>
      <w:proofErr w:type="gramEnd"/>
      <w:r w:rsidRPr="00C07A8D">
        <w:rPr>
          <w:rFonts w:ascii="Times New Roman" w:hAnsi="Times New Roman" w:cs="Times New Roman"/>
          <w:sz w:val="24"/>
          <w:szCs w:val="24"/>
        </w:rPr>
        <w:t xml:space="preserve"> </w:t>
      </w:r>
      <w:r>
        <w:rPr>
          <w:rFonts w:ascii="Times New Roman" w:hAnsi="Times New Roman" w:cs="Times New Roman"/>
          <w:sz w:val="24"/>
          <w:szCs w:val="24"/>
        </w:rPr>
        <w:t>(</w:t>
      </w:r>
      <w:r w:rsidRPr="00C07A8D">
        <w:rPr>
          <w:rFonts w:ascii="Times New Roman" w:hAnsi="Times New Roman" w:cs="Times New Roman"/>
          <w:sz w:val="24"/>
          <w:szCs w:val="24"/>
        </w:rPr>
        <w:t>A</w:t>
      </w:r>
      <w:r>
        <w:rPr>
          <w:rFonts w:ascii="Times New Roman" w:hAnsi="Times New Roman" w:cs="Times New Roman"/>
          <w:sz w:val="24"/>
          <w:szCs w:val="24"/>
        </w:rPr>
        <w:t>)</w:t>
      </w:r>
      <w:r w:rsidRPr="00C07A8D">
        <w:rPr>
          <w:rFonts w:ascii="Times New Roman" w:hAnsi="Times New Roman" w:cs="Times New Roman"/>
          <w:sz w:val="24"/>
          <w:szCs w:val="24"/>
        </w:rPr>
        <w:t xml:space="preserve"> Samples containing 10 000–20 000 cpm were eluted at a flow rate of 1 ml min</w:t>
      </w:r>
      <w:r w:rsidRPr="00C07A8D">
        <w:rPr>
          <w:rFonts w:ascii="Times New Roman" w:hAnsi="Times New Roman" w:cs="Times New Roman"/>
          <w:sz w:val="24"/>
          <w:szCs w:val="24"/>
          <w:vertAlign w:val="superscript"/>
        </w:rPr>
        <w:t>-1</w:t>
      </w:r>
      <w:r w:rsidRPr="00C07A8D">
        <w:rPr>
          <w:rFonts w:ascii="Times New Roman" w:hAnsi="Times New Roman" w:cs="Times New Roman"/>
          <w:sz w:val="24"/>
          <w:szCs w:val="24"/>
        </w:rPr>
        <w:t>; fractions were collected every 15 s and analysed by scintillation counting. Muramidase hydrolysis of radiolabelled material confirmed that it was glycan (</w:t>
      </w:r>
      <w:r>
        <w:rPr>
          <w:rFonts w:ascii="Times New Roman" w:hAnsi="Times New Roman" w:cs="Times New Roman"/>
          <w:sz w:val="24"/>
          <w:szCs w:val="24"/>
        </w:rPr>
        <w:t xml:space="preserve">mutanolysin </w:t>
      </w:r>
      <w:r w:rsidRPr="00C07A8D">
        <w:rPr>
          <w:rFonts w:ascii="Times New Roman" w:hAnsi="Times New Roman" w:cs="Times New Roman"/>
          <w:sz w:val="24"/>
          <w:szCs w:val="24"/>
        </w:rPr>
        <w:t xml:space="preserve">digest of </w:t>
      </w:r>
      <w:r w:rsidRPr="00C07A8D">
        <w:rPr>
          <w:rFonts w:ascii="Times New Roman" w:hAnsi="Times New Roman" w:cs="Times New Roman"/>
          <w:i/>
          <w:iCs/>
          <w:sz w:val="24"/>
          <w:szCs w:val="24"/>
        </w:rPr>
        <w:t xml:space="preserve">B. subtilis </w:t>
      </w:r>
      <w:r w:rsidRPr="00C07A8D">
        <w:rPr>
          <w:rFonts w:ascii="Times New Roman" w:hAnsi="Times New Roman" w:cs="Times New Roman"/>
          <w:sz w:val="24"/>
          <w:szCs w:val="24"/>
        </w:rPr>
        <w:t xml:space="preserve">glycan strands is shown). </w:t>
      </w:r>
      <w:r>
        <w:rPr>
          <w:rFonts w:ascii="Times New Roman" w:hAnsi="Times New Roman" w:cs="Times New Roman"/>
          <w:sz w:val="24"/>
          <w:szCs w:val="24"/>
        </w:rPr>
        <w:t>(</w:t>
      </w:r>
      <w:r w:rsidRPr="00C07A8D">
        <w:rPr>
          <w:rFonts w:ascii="Times New Roman" w:hAnsi="Times New Roman" w:cs="Times New Roman"/>
          <w:sz w:val="24"/>
          <w:szCs w:val="24"/>
        </w:rPr>
        <w:t>B</w:t>
      </w:r>
      <w:r>
        <w:rPr>
          <w:rFonts w:ascii="Times New Roman" w:hAnsi="Times New Roman" w:cs="Times New Roman"/>
          <w:sz w:val="24"/>
          <w:szCs w:val="24"/>
        </w:rPr>
        <w:t>)</w:t>
      </w:r>
      <w:r w:rsidRPr="00C07A8D">
        <w:rPr>
          <w:rFonts w:ascii="Times New Roman" w:hAnsi="Times New Roman" w:cs="Times New Roman"/>
          <w:sz w:val="24"/>
          <w:szCs w:val="24"/>
        </w:rPr>
        <w:t xml:space="preserve"> To take into account the fact that longer strands incorporate more radioactive </w:t>
      </w:r>
      <w:r w:rsidRPr="00C07A8D">
        <w:rPr>
          <w:rFonts w:ascii="Times New Roman" w:hAnsi="Times New Roman" w:cs="Times New Roman"/>
          <w:i/>
          <w:iCs/>
          <w:sz w:val="24"/>
          <w:szCs w:val="24"/>
        </w:rPr>
        <w:t>N</w:t>
      </w:r>
      <w:r w:rsidRPr="00C07A8D">
        <w:rPr>
          <w:rFonts w:ascii="Times New Roman" w:hAnsi="Times New Roman" w:cs="Times New Roman"/>
          <w:sz w:val="24"/>
          <w:szCs w:val="24"/>
        </w:rPr>
        <w:t>-acetylglucosamine, the radioactivity counts (cpm) were divided by the corresponding theoretical molecular weight (</w:t>
      </w:r>
      <w:r w:rsidRPr="00E7197B">
        <w:rPr>
          <w:rFonts w:ascii="Times New Roman" w:hAnsi="Times New Roman" w:cs="Times New Roman"/>
          <w:sz w:val="24"/>
          <w:szCs w:val="24"/>
        </w:rPr>
        <w:t xml:space="preserve">MW). Glycan chain abundance was plotted as a percentage relative to maximal (cpm/MW) ratio. </w:t>
      </w:r>
      <w:r>
        <w:rPr>
          <w:rFonts w:ascii="Times New Roman" w:hAnsi="Times New Roman" w:cs="Times New Roman"/>
          <w:sz w:val="24"/>
          <w:szCs w:val="24"/>
        </w:rPr>
        <w:t>(C) and (D) G</w:t>
      </w:r>
      <w:r w:rsidRPr="00E7197B">
        <w:rPr>
          <w:rFonts w:ascii="Times New Roman" w:hAnsi="Times New Roman" w:cs="Times New Roman"/>
          <w:sz w:val="24"/>
          <w:szCs w:val="24"/>
        </w:rPr>
        <w:t>lycan chains were purified from peptide stems by inclusion of a cation exchange (MonoS) step prior to gel filtration, the chain length distributions (C and D) were comparable to the results obtained without a cation exchange step (A and B).</w:t>
      </w:r>
      <w:r>
        <w:rPr>
          <w:rFonts w:ascii="Times New Roman" w:hAnsi="Times New Roman" w:cs="Times New Roman"/>
          <w:sz w:val="24"/>
          <w:szCs w:val="24"/>
        </w:rPr>
        <w:t xml:space="preserve"> Work conducted in collaboration with Stéphane Mesnage.</w:t>
      </w:r>
    </w:p>
    <w:p w:rsidR="002D7C9B" w:rsidRDefault="002D7C9B" w:rsidP="002D7C9B">
      <w:pPr>
        <w:jc w:val="both"/>
        <w:rPr>
          <w:rFonts w:ascii="Times New Roman" w:hAnsi="Times New Roman" w:cs="Times New Roman"/>
          <w:sz w:val="24"/>
          <w:szCs w:val="24"/>
        </w:rPr>
      </w:pPr>
      <w:r>
        <w:rPr>
          <w:rFonts w:ascii="Times New Roman" w:hAnsi="Times New Roman" w:cs="Times New Roman"/>
          <w:sz w:val="24"/>
          <w:szCs w:val="24"/>
        </w:rPr>
        <w:br w:type="page"/>
      </w:r>
    </w:p>
    <w:tbl>
      <w:tblPr>
        <w:tblW w:w="5000" w:type="pct"/>
        <w:tblLook w:val="04A0"/>
      </w:tblPr>
      <w:tblGrid>
        <w:gridCol w:w="1705"/>
        <w:gridCol w:w="2318"/>
        <w:gridCol w:w="2639"/>
        <w:gridCol w:w="2035"/>
        <w:gridCol w:w="23"/>
      </w:tblGrid>
      <w:tr w:rsidR="002D7C9B" w:rsidRPr="001412BA" w:rsidTr="002D7C9B">
        <w:trPr>
          <w:gridAfter w:val="1"/>
          <w:wAfter w:w="13" w:type="pct"/>
        </w:trPr>
        <w:tc>
          <w:tcPr>
            <w:tcW w:w="4987" w:type="pct"/>
            <w:gridSpan w:val="4"/>
            <w:tcBorders>
              <w:top w:val="single" w:sz="12" w:space="0" w:color="auto"/>
            </w:tcBorders>
            <w:shd w:val="clear" w:color="auto" w:fill="auto"/>
          </w:tcPr>
          <w:p w:rsidR="002D7C9B" w:rsidRPr="002C3570" w:rsidRDefault="002D7C9B" w:rsidP="002D7C9B">
            <w:pPr>
              <w:spacing w:after="120"/>
              <w:ind w:left="1843"/>
              <w:jc w:val="center"/>
              <w:rPr>
                <w:rStyle w:val="justifytxt"/>
                <w:rFonts w:ascii="Times New Roman" w:hAnsi="Times New Roman" w:cs="Times New Roman"/>
                <w:b/>
              </w:rPr>
            </w:pPr>
            <w:r w:rsidRPr="00A36D09">
              <w:rPr>
                <w:rFonts w:ascii="Times New Roman" w:hAnsi="Times New Roman" w:cs="Times New Roman"/>
                <w:noProof/>
                <w:lang w:eastAsia="en-GB"/>
              </w:rPr>
              <w:lastRenderedPageBreak/>
              <w:pict>
                <v:shape id="_x0000_s1034" type="#_x0000_t202" style="position:absolute;left:0;text-align:left;margin-left:-43.5pt;margin-top:3.1pt;width:39.55pt;height:37.2pt;z-index:251669504" stroked="f">
                  <v:textbox>
                    <w:txbxContent>
                      <w:p w:rsidR="002D7C9B" w:rsidRPr="00764535" w:rsidRDefault="002D7C9B" w:rsidP="002D7C9B">
                        <w:pPr>
                          <w:rPr>
                            <w:b/>
                            <w:sz w:val="36"/>
                          </w:rPr>
                        </w:pPr>
                        <w:r w:rsidRPr="00764535">
                          <w:rPr>
                            <w:b/>
                            <w:sz w:val="36"/>
                          </w:rPr>
                          <w:t>A</w:t>
                        </w:r>
                      </w:p>
                    </w:txbxContent>
                  </v:textbox>
                </v:shape>
              </w:pict>
            </w:r>
            <w:r w:rsidRPr="002C3570">
              <w:rPr>
                <w:rStyle w:val="justifytxt"/>
                <w:rFonts w:ascii="Times New Roman" w:hAnsi="Times New Roman" w:cs="Times New Roman"/>
                <w:b/>
              </w:rPr>
              <w:t>% Glycan chains</w:t>
            </w:r>
          </w:p>
        </w:tc>
      </w:tr>
      <w:tr w:rsidR="002D7C9B" w:rsidRPr="002C3570" w:rsidTr="002D7C9B">
        <w:tc>
          <w:tcPr>
            <w:tcW w:w="978" w:type="pct"/>
            <w:tcBorders>
              <w:bottom w:val="single" w:sz="4" w:space="0" w:color="auto"/>
            </w:tcBorders>
            <w:shd w:val="clear" w:color="auto" w:fill="auto"/>
          </w:tcPr>
          <w:p w:rsidR="002D7C9B" w:rsidRPr="002C3570" w:rsidRDefault="002D7C9B" w:rsidP="002D7C9B">
            <w:pPr>
              <w:spacing w:line="400" w:lineRule="exact"/>
              <w:jc w:val="center"/>
              <w:rPr>
                <w:rStyle w:val="justifytxt"/>
                <w:rFonts w:ascii="Times New Roman" w:hAnsi="Times New Roman" w:cs="Times New Roman"/>
              </w:rPr>
            </w:pPr>
          </w:p>
        </w:tc>
        <w:tc>
          <w:tcPr>
            <w:tcW w:w="1329" w:type="pct"/>
            <w:tcBorders>
              <w:bottom w:val="single" w:sz="4" w:space="0" w:color="auto"/>
            </w:tcBorders>
            <w:shd w:val="clear" w:color="auto" w:fill="auto"/>
          </w:tcPr>
          <w:p w:rsidR="002D7C9B" w:rsidRPr="002C3570" w:rsidRDefault="002D7C9B" w:rsidP="002D7C9B">
            <w:pPr>
              <w:spacing w:line="240" w:lineRule="auto"/>
              <w:ind w:left="-108" w:right="-108"/>
              <w:jc w:val="center"/>
              <w:rPr>
                <w:rStyle w:val="justifytxt"/>
                <w:rFonts w:ascii="Times New Roman" w:hAnsi="Times New Roman" w:cs="Times New Roman"/>
              </w:rPr>
            </w:pPr>
            <w:r w:rsidRPr="002C3570">
              <w:rPr>
                <w:rStyle w:val="justifytxt"/>
                <w:rFonts w:ascii="Times New Roman" w:hAnsi="Times New Roman" w:cs="Times New Roman"/>
              </w:rPr>
              <w:t>&gt;25</w:t>
            </w:r>
            <w:r>
              <w:rPr>
                <w:rStyle w:val="justifytxt"/>
                <w:rFonts w:ascii="Times New Roman" w:hAnsi="Times New Roman" w:cs="Times New Roman"/>
              </w:rPr>
              <w:t xml:space="preserve"> </w:t>
            </w:r>
            <w:r w:rsidRPr="002C3570">
              <w:rPr>
                <w:rStyle w:val="justifytxt"/>
                <w:rFonts w:ascii="Times New Roman" w:hAnsi="Times New Roman" w:cs="Times New Roman"/>
              </w:rPr>
              <w:t>kDa (50 DS)</w:t>
            </w:r>
          </w:p>
          <w:p w:rsidR="002D7C9B" w:rsidRPr="00E25B2F" w:rsidRDefault="002D7C9B" w:rsidP="002D7C9B">
            <w:pPr>
              <w:spacing w:line="240" w:lineRule="auto"/>
              <w:ind w:left="-108" w:right="-108"/>
              <w:jc w:val="center"/>
              <w:rPr>
                <w:rStyle w:val="justifytxt"/>
                <w:rFonts w:ascii="Times New Roman" w:hAnsi="Times New Roman" w:cs="Times New Roman"/>
                <w:sz w:val="20"/>
                <w:szCs w:val="20"/>
              </w:rPr>
            </w:pPr>
            <w:r w:rsidRPr="00E25B2F">
              <w:rPr>
                <w:rStyle w:val="justifytxt"/>
                <w:rFonts w:ascii="Times New Roman" w:hAnsi="Times New Roman" w:cs="Times New Roman"/>
                <w:color w:val="000000" w:themeColor="text1"/>
                <w:sz w:val="20"/>
                <w:szCs w:val="20"/>
              </w:rPr>
              <w:t>TSK</w:t>
            </w:r>
            <w:r w:rsidRPr="00E25B2F">
              <w:rPr>
                <w:rStyle w:val="justifytxt"/>
                <w:rFonts w:ascii="Times New Roman" w:hAnsi="Times New Roman" w:cs="Times New Roman"/>
                <w:color w:val="000000" w:themeColor="text1"/>
                <w:sz w:val="20"/>
                <w:szCs w:val="20"/>
                <w:vertAlign w:val="subscript"/>
              </w:rPr>
              <w:t>SW</w:t>
            </w:r>
            <w:r w:rsidRPr="00E25B2F">
              <w:rPr>
                <w:rStyle w:val="justifytxt"/>
                <w:rFonts w:ascii="Times New Roman" w:hAnsi="Times New Roman" w:cs="Times New Roman"/>
                <w:color w:val="000000" w:themeColor="text1"/>
                <w:sz w:val="20"/>
                <w:szCs w:val="20"/>
              </w:rPr>
              <w:t xml:space="preserve">2000 </w:t>
            </w:r>
            <w:r w:rsidRPr="00E25B2F">
              <w:rPr>
                <w:rStyle w:val="justifytxt"/>
                <w:rFonts w:ascii="Times New Roman" w:hAnsi="Times New Roman" w:cs="Times New Roman"/>
                <w:color w:val="FF0000"/>
                <w:sz w:val="20"/>
                <w:szCs w:val="20"/>
              </w:rPr>
              <w:t>(TSK</w:t>
            </w:r>
            <w:r w:rsidRPr="00E25B2F">
              <w:rPr>
                <w:rStyle w:val="justifytxt"/>
                <w:rFonts w:ascii="Times New Roman" w:hAnsi="Times New Roman" w:cs="Times New Roman"/>
                <w:color w:val="FF0000"/>
                <w:sz w:val="20"/>
                <w:szCs w:val="20"/>
                <w:vertAlign w:val="subscript"/>
              </w:rPr>
              <w:t>SW</w:t>
            </w:r>
            <w:r w:rsidRPr="00E25B2F">
              <w:rPr>
                <w:rStyle w:val="justifytxt"/>
                <w:rFonts w:ascii="Times New Roman" w:hAnsi="Times New Roman" w:cs="Times New Roman"/>
                <w:color w:val="FF0000"/>
                <w:sz w:val="20"/>
                <w:szCs w:val="20"/>
              </w:rPr>
              <w:t>4000)</w:t>
            </w:r>
          </w:p>
        </w:tc>
        <w:tc>
          <w:tcPr>
            <w:tcW w:w="1513" w:type="pct"/>
            <w:tcBorders>
              <w:bottom w:val="single" w:sz="4" w:space="0" w:color="auto"/>
            </w:tcBorders>
            <w:shd w:val="clear" w:color="auto" w:fill="auto"/>
          </w:tcPr>
          <w:p w:rsidR="002D7C9B" w:rsidRPr="002C3570" w:rsidRDefault="002D7C9B" w:rsidP="002D7C9B">
            <w:pPr>
              <w:spacing w:line="240" w:lineRule="auto"/>
              <w:ind w:left="317" w:hanging="317"/>
              <w:jc w:val="center"/>
              <w:rPr>
                <w:rStyle w:val="justifytxt"/>
                <w:rFonts w:ascii="Times New Roman" w:hAnsi="Times New Roman" w:cs="Times New Roman"/>
              </w:rPr>
            </w:pPr>
            <w:r w:rsidRPr="002C3570">
              <w:rPr>
                <w:rStyle w:val="justifytxt"/>
                <w:rFonts w:ascii="Times New Roman" w:hAnsi="Times New Roman" w:cs="Times New Roman"/>
              </w:rPr>
              <w:t>&gt;50</w:t>
            </w:r>
            <w:r>
              <w:rPr>
                <w:rStyle w:val="justifytxt"/>
                <w:rFonts w:ascii="Times New Roman" w:hAnsi="Times New Roman" w:cs="Times New Roman"/>
              </w:rPr>
              <w:t xml:space="preserve"> </w:t>
            </w:r>
            <w:r w:rsidRPr="002C3570">
              <w:rPr>
                <w:rStyle w:val="justifytxt"/>
                <w:rFonts w:ascii="Times New Roman" w:hAnsi="Times New Roman" w:cs="Times New Roman"/>
              </w:rPr>
              <w:t>kDa (100 DS)</w:t>
            </w:r>
          </w:p>
          <w:p w:rsidR="002D7C9B" w:rsidRPr="00E25B2F" w:rsidRDefault="002D7C9B" w:rsidP="002D7C9B">
            <w:pPr>
              <w:spacing w:line="240" w:lineRule="auto"/>
              <w:ind w:left="317" w:hanging="317"/>
              <w:jc w:val="center"/>
              <w:rPr>
                <w:rStyle w:val="justifytxt"/>
                <w:rFonts w:ascii="Times New Roman" w:hAnsi="Times New Roman" w:cs="Times New Roman"/>
                <w:color w:val="FF0000"/>
                <w:sz w:val="20"/>
                <w:szCs w:val="20"/>
              </w:rPr>
            </w:pPr>
            <w:r w:rsidRPr="00E25B2F">
              <w:rPr>
                <w:rStyle w:val="justifytxt"/>
                <w:rFonts w:ascii="Times New Roman" w:hAnsi="Times New Roman" w:cs="Times New Roman"/>
                <w:color w:val="000000" w:themeColor="text1"/>
                <w:sz w:val="20"/>
                <w:szCs w:val="20"/>
              </w:rPr>
              <w:t>TSK</w:t>
            </w:r>
            <w:r w:rsidRPr="00E25B2F">
              <w:rPr>
                <w:rStyle w:val="justifytxt"/>
                <w:rFonts w:ascii="Times New Roman" w:hAnsi="Times New Roman" w:cs="Times New Roman"/>
                <w:color w:val="000000" w:themeColor="text1"/>
                <w:sz w:val="20"/>
                <w:szCs w:val="20"/>
                <w:vertAlign w:val="subscript"/>
              </w:rPr>
              <w:t>SW</w:t>
            </w:r>
            <w:r w:rsidRPr="00E25B2F">
              <w:rPr>
                <w:rStyle w:val="justifytxt"/>
                <w:rFonts w:ascii="Times New Roman" w:hAnsi="Times New Roman" w:cs="Times New Roman"/>
                <w:color w:val="000000" w:themeColor="text1"/>
                <w:sz w:val="20"/>
                <w:szCs w:val="20"/>
              </w:rPr>
              <w:t xml:space="preserve">2000 </w:t>
            </w:r>
            <w:r w:rsidRPr="00E25B2F">
              <w:rPr>
                <w:rStyle w:val="justifytxt"/>
                <w:rFonts w:ascii="Times New Roman" w:hAnsi="Times New Roman" w:cs="Times New Roman"/>
                <w:color w:val="FF0000"/>
                <w:sz w:val="20"/>
                <w:szCs w:val="20"/>
              </w:rPr>
              <w:t>(TSK</w:t>
            </w:r>
            <w:r w:rsidRPr="00E25B2F">
              <w:rPr>
                <w:rStyle w:val="justifytxt"/>
                <w:rFonts w:ascii="Times New Roman" w:hAnsi="Times New Roman" w:cs="Times New Roman"/>
                <w:color w:val="FF0000"/>
                <w:sz w:val="20"/>
                <w:szCs w:val="20"/>
                <w:vertAlign w:val="subscript"/>
              </w:rPr>
              <w:t>SW</w:t>
            </w:r>
            <w:r w:rsidRPr="00E25B2F">
              <w:rPr>
                <w:rStyle w:val="justifytxt"/>
                <w:rFonts w:ascii="Times New Roman" w:hAnsi="Times New Roman" w:cs="Times New Roman"/>
                <w:color w:val="FF0000"/>
                <w:sz w:val="20"/>
                <w:szCs w:val="20"/>
              </w:rPr>
              <w:t>4000)</w:t>
            </w:r>
          </w:p>
        </w:tc>
        <w:tc>
          <w:tcPr>
            <w:tcW w:w="1180" w:type="pct"/>
            <w:gridSpan w:val="2"/>
            <w:tcBorders>
              <w:bottom w:val="single" w:sz="4" w:space="0" w:color="auto"/>
            </w:tcBorders>
            <w:shd w:val="clear" w:color="auto" w:fill="auto"/>
          </w:tcPr>
          <w:p w:rsidR="002D7C9B" w:rsidRPr="002C3570" w:rsidRDefault="002D7C9B" w:rsidP="002D7C9B">
            <w:pPr>
              <w:spacing w:line="240" w:lineRule="auto"/>
              <w:ind w:left="317" w:hanging="317"/>
              <w:jc w:val="center"/>
              <w:rPr>
                <w:rStyle w:val="justifytxt"/>
                <w:rFonts w:ascii="Times New Roman" w:hAnsi="Times New Roman" w:cs="Times New Roman"/>
              </w:rPr>
            </w:pPr>
            <w:r w:rsidRPr="002C3570">
              <w:rPr>
                <w:rStyle w:val="justifytxt"/>
                <w:rFonts w:ascii="Times New Roman" w:hAnsi="Times New Roman" w:cs="Times New Roman"/>
              </w:rPr>
              <w:t>&gt;100</w:t>
            </w:r>
            <w:r>
              <w:rPr>
                <w:rStyle w:val="justifytxt"/>
                <w:rFonts w:ascii="Times New Roman" w:hAnsi="Times New Roman" w:cs="Times New Roman"/>
              </w:rPr>
              <w:t xml:space="preserve"> </w:t>
            </w:r>
            <w:r w:rsidRPr="002C3570">
              <w:rPr>
                <w:rStyle w:val="justifytxt"/>
                <w:rFonts w:ascii="Times New Roman" w:hAnsi="Times New Roman" w:cs="Times New Roman"/>
              </w:rPr>
              <w:t>kDa (200 DS)</w:t>
            </w:r>
          </w:p>
          <w:p w:rsidR="002D7C9B" w:rsidRPr="00E25B2F" w:rsidRDefault="002D7C9B" w:rsidP="002D7C9B">
            <w:pPr>
              <w:spacing w:line="240" w:lineRule="auto"/>
              <w:ind w:left="317" w:hanging="317"/>
              <w:jc w:val="center"/>
              <w:rPr>
                <w:rStyle w:val="justifytxt"/>
                <w:rFonts w:ascii="Times New Roman" w:hAnsi="Times New Roman" w:cs="Times New Roman"/>
                <w:sz w:val="20"/>
                <w:szCs w:val="20"/>
              </w:rPr>
            </w:pPr>
            <w:r w:rsidRPr="00E25B2F">
              <w:rPr>
                <w:rStyle w:val="justifytxt"/>
                <w:rFonts w:ascii="Times New Roman" w:hAnsi="Times New Roman" w:cs="Times New Roman"/>
                <w:color w:val="FF0000"/>
                <w:sz w:val="20"/>
                <w:szCs w:val="20"/>
              </w:rPr>
              <w:t>TSK</w:t>
            </w:r>
            <w:r w:rsidRPr="00E25B2F">
              <w:rPr>
                <w:rStyle w:val="justifytxt"/>
                <w:rFonts w:ascii="Times New Roman" w:hAnsi="Times New Roman" w:cs="Times New Roman"/>
                <w:color w:val="FF0000"/>
                <w:sz w:val="20"/>
                <w:szCs w:val="20"/>
                <w:vertAlign w:val="subscript"/>
              </w:rPr>
              <w:t>SW</w:t>
            </w:r>
            <w:r w:rsidRPr="00E25B2F">
              <w:rPr>
                <w:rStyle w:val="justifytxt"/>
                <w:rFonts w:ascii="Times New Roman" w:hAnsi="Times New Roman" w:cs="Times New Roman"/>
                <w:color w:val="FF0000"/>
                <w:sz w:val="20"/>
                <w:szCs w:val="20"/>
              </w:rPr>
              <w:t>4000</w:t>
            </w:r>
          </w:p>
        </w:tc>
      </w:tr>
      <w:tr w:rsidR="002D7C9B" w:rsidRPr="002C3570" w:rsidTr="002D7C9B">
        <w:tc>
          <w:tcPr>
            <w:tcW w:w="978" w:type="pct"/>
            <w:tcBorders>
              <w:top w:val="single" w:sz="4" w:space="0" w:color="auto"/>
            </w:tcBorders>
            <w:shd w:val="clear" w:color="auto" w:fill="auto"/>
          </w:tcPr>
          <w:p w:rsidR="002D7C9B" w:rsidRPr="002C3570" w:rsidRDefault="002D7C9B" w:rsidP="002D7C9B">
            <w:pPr>
              <w:spacing w:before="120" w:line="360" w:lineRule="auto"/>
              <w:rPr>
                <w:rStyle w:val="justifytxt"/>
                <w:rFonts w:ascii="Times New Roman" w:hAnsi="Times New Roman" w:cs="Times New Roman"/>
                <w:i/>
              </w:rPr>
            </w:pPr>
            <w:r w:rsidRPr="002C3570">
              <w:rPr>
                <w:rStyle w:val="justifytxt"/>
                <w:rFonts w:ascii="Times New Roman" w:hAnsi="Times New Roman" w:cs="Times New Roman"/>
                <w:i/>
              </w:rPr>
              <w:t xml:space="preserve">B. subtilis </w:t>
            </w:r>
          </w:p>
          <w:p w:rsidR="002D7C9B" w:rsidRDefault="002D7C9B" w:rsidP="002D7C9B">
            <w:pPr>
              <w:spacing w:before="120" w:line="360" w:lineRule="auto"/>
              <w:rPr>
                <w:rStyle w:val="justifytxt"/>
                <w:rFonts w:ascii="Times New Roman" w:hAnsi="Times New Roman" w:cs="Times New Roman"/>
                <w:i/>
              </w:rPr>
            </w:pPr>
            <w:r w:rsidRPr="00A21953">
              <w:rPr>
                <w:rStyle w:val="justifytxt"/>
                <w:rFonts w:ascii="Times New Roman" w:hAnsi="Times New Roman" w:cs="Times New Roman"/>
                <w:i/>
              </w:rPr>
              <w:t xml:space="preserve">S. </w:t>
            </w:r>
            <w:r>
              <w:rPr>
                <w:rStyle w:val="justifytxt"/>
                <w:rFonts w:ascii="Times New Roman" w:hAnsi="Times New Roman" w:cs="Times New Roman"/>
                <w:i/>
              </w:rPr>
              <w:t>p</w:t>
            </w:r>
            <w:r w:rsidRPr="00A21953">
              <w:rPr>
                <w:rStyle w:val="justifytxt"/>
                <w:rFonts w:ascii="Times New Roman" w:hAnsi="Times New Roman" w:cs="Times New Roman"/>
                <w:i/>
              </w:rPr>
              <w:t>neumoniae</w:t>
            </w:r>
          </w:p>
          <w:p w:rsidR="002D7C9B" w:rsidRDefault="002D7C9B" w:rsidP="002D7C9B">
            <w:pPr>
              <w:spacing w:before="120" w:line="360" w:lineRule="auto"/>
              <w:rPr>
                <w:rStyle w:val="justifytxt"/>
                <w:rFonts w:ascii="Times New Roman" w:hAnsi="Times New Roman" w:cs="Times New Roman"/>
                <w:i/>
              </w:rPr>
            </w:pPr>
            <w:r w:rsidRPr="002C3570">
              <w:rPr>
                <w:rStyle w:val="justifytxt"/>
                <w:rFonts w:ascii="Times New Roman" w:hAnsi="Times New Roman" w:cs="Times New Roman"/>
                <w:i/>
              </w:rPr>
              <w:t>E. faecalis</w:t>
            </w:r>
          </w:p>
          <w:p w:rsidR="002D7C9B" w:rsidRPr="002C3570" w:rsidRDefault="002D7C9B" w:rsidP="002D7C9B">
            <w:pPr>
              <w:spacing w:before="120" w:line="360" w:lineRule="auto"/>
              <w:rPr>
                <w:rStyle w:val="justifytxt"/>
                <w:rFonts w:ascii="Times New Roman" w:hAnsi="Times New Roman" w:cs="Times New Roman"/>
                <w:i/>
              </w:rPr>
            </w:pPr>
            <w:r w:rsidRPr="00A21953">
              <w:rPr>
                <w:rStyle w:val="justifytxt"/>
                <w:rFonts w:ascii="Times New Roman" w:hAnsi="Times New Roman" w:cs="Times New Roman"/>
                <w:i/>
              </w:rPr>
              <w:t>L. lactis</w:t>
            </w:r>
          </w:p>
        </w:tc>
        <w:tc>
          <w:tcPr>
            <w:tcW w:w="1329" w:type="pct"/>
            <w:tcBorders>
              <w:top w:val="single" w:sz="4" w:space="0" w:color="auto"/>
            </w:tcBorders>
            <w:shd w:val="clear" w:color="auto" w:fill="auto"/>
          </w:tcPr>
          <w:p w:rsidR="002D7C9B" w:rsidRPr="00A21953" w:rsidRDefault="002D7C9B" w:rsidP="002D7C9B">
            <w:pPr>
              <w:spacing w:before="120" w:line="360" w:lineRule="auto"/>
              <w:jc w:val="center"/>
              <w:rPr>
                <w:rStyle w:val="justifytxt"/>
                <w:rFonts w:ascii="Times New Roman" w:hAnsi="Times New Roman" w:cs="Times New Roman"/>
                <w:color w:val="FF0000"/>
              </w:rPr>
            </w:pPr>
            <w:r w:rsidRPr="00A21953">
              <w:rPr>
                <w:rStyle w:val="justifytxt"/>
                <w:rFonts w:ascii="Times New Roman" w:hAnsi="Times New Roman" w:cs="Times New Roman"/>
                <w:color w:val="000000" w:themeColor="text1"/>
              </w:rPr>
              <w:t>52.</w:t>
            </w:r>
            <w:r>
              <w:rPr>
                <w:rStyle w:val="justifytxt"/>
                <w:rFonts w:ascii="Times New Roman" w:hAnsi="Times New Roman" w:cs="Times New Roman"/>
                <w:color w:val="000000" w:themeColor="text1"/>
              </w:rPr>
              <w:t>7</w:t>
            </w:r>
            <w:r w:rsidRPr="00A21953">
              <w:rPr>
                <w:rStyle w:val="justifytxt"/>
                <w:rFonts w:ascii="Times New Roman" w:hAnsi="Times New Roman" w:cs="Times New Roman"/>
              </w:rPr>
              <w:t xml:space="preserve"> </w:t>
            </w:r>
            <w:r w:rsidRPr="00A21953">
              <w:rPr>
                <w:rStyle w:val="justifytxt"/>
                <w:rFonts w:ascii="Times New Roman" w:hAnsi="Times New Roman" w:cs="Times New Roman"/>
                <w:color w:val="FF0000"/>
              </w:rPr>
              <w:t>(</w:t>
            </w:r>
            <w:r>
              <w:rPr>
                <w:rStyle w:val="justifytxt"/>
                <w:rFonts w:ascii="Times New Roman" w:hAnsi="Times New Roman" w:cs="Times New Roman"/>
                <w:color w:val="FF0000"/>
              </w:rPr>
              <w:t>25.1</w:t>
            </w:r>
            <w:r w:rsidRPr="00A21953">
              <w:rPr>
                <w:rStyle w:val="justifytxt"/>
                <w:rFonts w:ascii="Times New Roman" w:hAnsi="Times New Roman" w:cs="Times New Roman"/>
                <w:color w:val="FF0000"/>
              </w:rPr>
              <w:t>)</w:t>
            </w:r>
          </w:p>
          <w:p w:rsidR="002D7C9B" w:rsidRPr="00A21953" w:rsidRDefault="002D7C9B" w:rsidP="002D7C9B">
            <w:pPr>
              <w:spacing w:before="120" w:line="360" w:lineRule="auto"/>
              <w:jc w:val="center"/>
              <w:rPr>
                <w:rStyle w:val="justifytxt"/>
                <w:rFonts w:ascii="Times New Roman" w:hAnsi="Times New Roman" w:cs="Times New Roman"/>
                <w:color w:val="FF0000"/>
              </w:rPr>
            </w:pPr>
            <w:r>
              <w:rPr>
                <w:rStyle w:val="justifytxt"/>
                <w:rFonts w:ascii="Times New Roman" w:hAnsi="Times New Roman" w:cs="Times New Roman"/>
                <w:color w:val="000000" w:themeColor="text1"/>
              </w:rPr>
              <w:t>57.3</w:t>
            </w:r>
            <w:r w:rsidRPr="00A21953">
              <w:rPr>
                <w:rStyle w:val="justifytxt"/>
                <w:rFonts w:ascii="Times New Roman" w:hAnsi="Times New Roman" w:cs="Times New Roman"/>
              </w:rPr>
              <w:t xml:space="preserve"> </w:t>
            </w:r>
            <w:r>
              <w:rPr>
                <w:rStyle w:val="justifytxt"/>
                <w:rFonts w:ascii="Times New Roman" w:hAnsi="Times New Roman" w:cs="Times New Roman"/>
                <w:color w:val="FF0000"/>
              </w:rPr>
              <w:t>(27.9</w:t>
            </w:r>
            <w:r w:rsidRPr="00A21953">
              <w:rPr>
                <w:rStyle w:val="justifytxt"/>
                <w:rFonts w:ascii="Times New Roman" w:hAnsi="Times New Roman" w:cs="Times New Roman"/>
                <w:color w:val="FF0000"/>
              </w:rPr>
              <w:t>)</w:t>
            </w:r>
          </w:p>
          <w:p w:rsidR="002D7C9B" w:rsidRDefault="002D7C9B" w:rsidP="002D7C9B">
            <w:pPr>
              <w:spacing w:before="120" w:line="360" w:lineRule="auto"/>
              <w:jc w:val="center"/>
              <w:rPr>
                <w:rStyle w:val="justifytxt"/>
                <w:rFonts w:ascii="Times New Roman" w:hAnsi="Times New Roman" w:cs="Times New Roman"/>
                <w:color w:val="000000" w:themeColor="text1"/>
              </w:rPr>
            </w:pPr>
            <w:r w:rsidRPr="00A21953">
              <w:rPr>
                <w:rStyle w:val="justifytxt"/>
                <w:rFonts w:ascii="Times New Roman" w:hAnsi="Times New Roman" w:cs="Times New Roman"/>
                <w:color w:val="000000" w:themeColor="text1"/>
              </w:rPr>
              <w:t>4</w:t>
            </w:r>
            <w:r>
              <w:rPr>
                <w:rStyle w:val="justifytxt"/>
                <w:rFonts w:ascii="Times New Roman" w:hAnsi="Times New Roman" w:cs="Times New Roman"/>
                <w:color w:val="000000" w:themeColor="text1"/>
              </w:rPr>
              <w:t>6</w:t>
            </w:r>
            <w:r w:rsidRPr="00A21953">
              <w:rPr>
                <w:rStyle w:val="justifytxt"/>
                <w:rFonts w:ascii="Times New Roman" w:hAnsi="Times New Roman" w:cs="Times New Roman"/>
                <w:color w:val="000000" w:themeColor="text1"/>
              </w:rPr>
              <w:t>.</w:t>
            </w:r>
            <w:r>
              <w:rPr>
                <w:rStyle w:val="justifytxt"/>
                <w:rFonts w:ascii="Times New Roman" w:hAnsi="Times New Roman" w:cs="Times New Roman"/>
                <w:color w:val="000000" w:themeColor="text1"/>
              </w:rPr>
              <w:t>9</w:t>
            </w:r>
            <w:r w:rsidRPr="00A21953">
              <w:rPr>
                <w:rStyle w:val="justifytxt"/>
                <w:rFonts w:ascii="Times New Roman" w:hAnsi="Times New Roman" w:cs="Times New Roman"/>
              </w:rPr>
              <w:t xml:space="preserve"> </w:t>
            </w:r>
            <w:r>
              <w:rPr>
                <w:rStyle w:val="justifytxt"/>
                <w:rFonts w:ascii="Times New Roman" w:hAnsi="Times New Roman" w:cs="Times New Roman"/>
                <w:color w:val="FF0000"/>
              </w:rPr>
              <w:t>(20.4</w:t>
            </w:r>
            <w:r w:rsidRPr="00A21953">
              <w:rPr>
                <w:rStyle w:val="justifytxt"/>
                <w:rFonts w:ascii="Times New Roman" w:hAnsi="Times New Roman" w:cs="Times New Roman"/>
                <w:color w:val="FF0000"/>
              </w:rPr>
              <w:t>)</w:t>
            </w:r>
            <w:r>
              <w:rPr>
                <w:rStyle w:val="justifytxt"/>
                <w:rFonts w:ascii="Times New Roman" w:hAnsi="Times New Roman" w:cs="Times New Roman"/>
                <w:color w:val="000000" w:themeColor="text1"/>
              </w:rPr>
              <w:t xml:space="preserve"> </w:t>
            </w:r>
          </w:p>
          <w:p w:rsidR="002D7C9B" w:rsidRPr="00A21953" w:rsidRDefault="002D7C9B" w:rsidP="002D7C9B">
            <w:pPr>
              <w:spacing w:before="120" w:line="360" w:lineRule="auto"/>
              <w:jc w:val="center"/>
              <w:rPr>
                <w:rStyle w:val="justifytxt"/>
                <w:rFonts w:ascii="Times New Roman" w:hAnsi="Times New Roman" w:cs="Times New Roman"/>
                <w:color w:val="FF0000"/>
              </w:rPr>
            </w:pPr>
            <w:r w:rsidRPr="00A21953">
              <w:rPr>
                <w:rStyle w:val="justifytxt"/>
                <w:rFonts w:ascii="Times New Roman" w:hAnsi="Times New Roman" w:cs="Times New Roman"/>
                <w:color w:val="000000" w:themeColor="text1"/>
              </w:rPr>
              <w:t>43.</w:t>
            </w:r>
            <w:r>
              <w:rPr>
                <w:rStyle w:val="justifytxt"/>
                <w:rFonts w:ascii="Times New Roman" w:hAnsi="Times New Roman" w:cs="Times New Roman"/>
                <w:color w:val="000000" w:themeColor="text1"/>
              </w:rPr>
              <w:t>9</w:t>
            </w:r>
            <w:r w:rsidRPr="00A21953">
              <w:rPr>
                <w:rStyle w:val="justifytxt"/>
                <w:rFonts w:ascii="Times New Roman" w:hAnsi="Times New Roman" w:cs="Times New Roman"/>
              </w:rPr>
              <w:t xml:space="preserve"> </w:t>
            </w:r>
            <w:r>
              <w:rPr>
                <w:rStyle w:val="justifytxt"/>
                <w:rFonts w:ascii="Times New Roman" w:hAnsi="Times New Roman" w:cs="Times New Roman"/>
                <w:color w:val="FF0000"/>
              </w:rPr>
              <w:t>(23.0</w:t>
            </w:r>
            <w:r w:rsidRPr="00A21953">
              <w:rPr>
                <w:rStyle w:val="justifytxt"/>
                <w:rFonts w:ascii="Times New Roman" w:hAnsi="Times New Roman" w:cs="Times New Roman"/>
                <w:color w:val="FF0000"/>
              </w:rPr>
              <w:t>)</w:t>
            </w:r>
          </w:p>
        </w:tc>
        <w:tc>
          <w:tcPr>
            <w:tcW w:w="1513" w:type="pct"/>
            <w:tcBorders>
              <w:top w:val="single" w:sz="4" w:space="0" w:color="auto"/>
            </w:tcBorders>
            <w:shd w:val="clear" w:color="auto" w:fill="auto"/>
          </w:tcPr>
          <w:p w:rsidR="002D7C9B" w:rsidRPr="00A21953" w:rsidRDefault="002D7C9B" w:rsidP="002D7C9B">
            <w:pPr>
              <w:spacing w:before="120" w:line="360" w:lineRule="auto"/>
              <w:ind w:left="317" w:hanging="317"/>
              <w:jc w:val="center"/>
              <w:rPr>
                <w:rStyle w:val="justifytxt"/>
                <w:rFonts w:ascii="Times New Roman" w:hAnsi="Times New Roman" w:cs="Times New Roman"/>
                <w:color w:val="FF0000"/>
              </w:rPr>
            </w:pPr>
            <w:r w:rsidRPr="00A21953">
              <w:rPr>
                <w:rStyle w:val="justifytxt"/>
                <w:rFonts w:ascii="Times New Roman" w:hAnsi="Times New Roman" w:cs="Times New Roman"/>
              </w:rPr>
              <w:t xml:space="preserve">20.8 </w:t>
            </w:r>
            <w:r>
              <w:rPr>
                <w:rStyle w:val="justifytxt"/>
                <w:rFonts w:ascii="Times New Roman" w:hAnsi="Times New Roman" w:cs="Times New Roman"/>
                <w:color w:val="FF0000"/>
              </w:rPr>
              <w:t>(14.2)</w:t>
            </w:r>
          </w:p>
          <w:p w:rsidR="002D7C9B" w:rsidRDefault="002D7C9B" w:rsidP="002D7C9B">
            <w:pPr>
              <w:spacing w:before="120" w:line="360" w:lineRule="auto"/>
              <w:ind w:left="317" w:hanging="317"/>
              <w:jc w:val="center"/>
              <w:rPr>
                <w:rStyle w:val="justifytxt"/>
                <w:rFonts w:ascii="Times New Roman" w:hAnsi="Times New Roman" w:cs="Times New Roman"/>
                <w:color w:val="FF0000"/>
              </w:rPr>
            </w:pPr>
            <w:r w:rsidRPr="00545370">
              <w:rPr>
                <w:rStyle w:val="justifytxt"/>
                <w:rFonts w:ascii="Times New Roman" w:hAnsi="Times New Roman" w:cs="Times New Roman"/>
              </w:rPr>
              <w:t>28.1</w:t>
            </w:r>
            <w:r>
              <w:rPr>
                <w:rStyle w:val="justifytxt"/>
                <w:rFonts w:ascii="Times New Roman" w:hAnsi="Times New Roman" w:cs="Times New Roman"/>
                <w:color w:val="FF0000"/>
              </w:rPr>
              <w:t xml:space="preserve"> (14.2)</w:t>
            </w:r>
          </w:p>
          <w:p w:rsidR="002D7C9B" w:rsidRDefault="002D7C9B" w:rsidP="002D7C9B">
            <w:pPr>
              <w:spacing w:before="120" w:line="360" w:lineRule="auto"/>
              <w:ind w:left="317" w:hanging="317"/>
              <w:jc w:val="center"/>
              <w:rPr>
                <w:rStyle w:val="justifytxt"/>
                <w:rFonts w:ascii="Times New Roman" w:hAnsi="Times New Roman" w:cs="Times New Roman"/>
              </w:rPr>
            </w:pPr>
            <w:r w:rsidRPr="00545370">
              <w:rPr>
                <w:rStyle w:val="justifytxt"/>
                <w:rFonts w:ascii="Times New Roman" w:hAnsi="Times New Roman" w:cs="Times New Roman"/>
              </w:rPr>
              <w:t>14.7</w:t>
            </w:r>
            <w:r>
              <w:rPr>
                <w:rStyle w:val="justifytxt"/>
                <w:rFonts w:ascii="Times New Roman" w:hAnsi="Times New Roman" w:cs="Times New Roman"/>
                <w:color w:val="FF0000"/>
              </w:rPr>
              <w:t xml:space="preserve"> (8.2)</w:t>
            </w:r>
            <w:r w:rsidRPr="00545370">
              <w:rPr>
                <w:rStyle w:val="justifytxt"/>
                <w:rFonts w:ascii="Times New Roman" w:hAnsi="Times New Roman" w:cs="Times New Roman"/>
              </w:rPr>
              <w:t xml:space="preserve"> </w:t>
            </w:r>
          </w:p>
          <w:p w:rsidR="002D7C9B" w:rsidRPr="00A21953" w:rsidRDefault="002D7C9B" w:rsidP="002D7C9B">
            <w:pPr>
              <w:spacing w:before="120" w:line="360" w:lineRule="auto"/>
              <w:ind w:left="317" w:hanging="317"/>
              <w:jc w:val="center"/>
              <w:rPr>
                <w:rStyle w:val="justifytxt"/>
                <w:rFonts w:ascii="Times New Roman" w:hAnsi="Times New Roman" w:cs="Times New Roman"/>
                <w:color w:val="FF0000"/>
              </w:rPr>
            </w:pPr>
            <w:r w:rsidRPr="00545370">
              <w:rPr>
                <w:rStyle w:val="justifytxt"/>
                <w:rFonts w:ascii="Times New Roman" w:hAnsi="Times New Roman" w:cs="Times New Roman"/>
              </w:rPr>
              <w:t>15.7</w:t>
            </w:r>
            <w:r>
              <w:rPr>
                <w:rStyle w:val="justifytxt"/>
                <w:rFonts w:ascii="Times New Roman" w:hAnsi="Times New Roman" w:cs="Times New Roman"/>
                <w:color w:val="FF0000"/>
              </w:rPr>
              <w:t xml:space="preserve"> (9.3)</w:t>
            </w:r>
          </w:p>
        </w:tc>
        <w:tc>
          <w:tcPr>
            <w:tcW w:w="1180" w:type="pct"/>
            <w:gridSpan w:val="2"/>
            <w:tcBorders>
              <w:top w:val="single" w:sz="4" w:space="0" w:color="auto"/>
            </w:tcBorders>
            <w:shd w:val="clear" w:color="auto" w:fill="auto"/>
          </w:tcPr>
          <w:p w:rsidR="002D7C9B" w:rsidRPr="00A21953" w:rsidRDefault="002D7C9B" w:rsidP="002D7C9B">
            <w:pPr>
              <w:spacing w:before="120" w:line="360" w:lineRule="auto"/>
              <w:ind w:left="317" w:hanging="317"/>
              <w:jc w:val="center"/>
              <w:rPr>
                <w:rStyle w:val="justifytxt"/>
                <w:rFonts w:ascii="Times New Roman" w:hAnsi="Times New Roman" w:cs="Times New Roman"/>
                <w:color w:val="FF0000"/>
              </w:rPr>
            </w:pPr>
            <w:r>
              <w:rPr>
                <w:rStyle w:val="justifytxt"/>
                <w:rFonts w:ascii="Times New Roman" w:hAnsi="Times New Roman" w:cs="Times New Roman"/>
                <w:color w:val="FF0000"/>
              </w:rPr>
              <w:t>4.5</w:t>
            </w:r>
          </w:p>
          <w:p w:rsidR="002D7C9B" w:rsidRPr="00A21953" w:rsidRDefault="002D7C9B" w:rsidP="002D7C9B">
            <w:pPr>
              <w:spacing w:before="120" w:line="360" w:lineRule="auto"/>
              <w:ind w:left="317" w:hanging="317"/>
              <w:jc w:val="center"/>
              <w:rPr>
                <w:rStyle w:val="justifytxt"/>
                <w:rFonts w:ascii="Times New Roman" w:hAnsi="Times New Roman" w:cs="Times New Roman"/>
                <w:color w:val="FF0000"/>
              </w:rPr>
            </w:pPr>
            <w:r>
              <w:rPr>
                <w:rStyle w:val="justifytxt"/>
                <w:rFonts w:ascii="Times New Roman" w:hAnsi="Times New Roman" w:cs="Times New Roman"/>
                <w:color w:val="FF0000"/>
              </w:rPr>
              <w:t>4.1</w:t>
            </w:r>
          </w:p>
          <w:p w:rsidR="002D7C9B" w:rsidRDefault="002D7C9B" w:rsidP="002D7C9B">
            <w:pPr>
              <w:spacing w:before="120" w:line="360" w:lineRule="auto"/>
              <w:ind w:left="317" w:hanging="317"/>
              <w:jc w:val="center"/>
              <w:rPr>
                <w:rStyle w:val="justifytxt"/>
                <w:rFonts w:ascii="Times New Roman" w:hAnsi="Times New Roman" w:cs="Times New Roman"/>
                <w:color w:val="FF0000"/>
              </w:rPr>
            </w:pPr>
            <w:r>
              <w:rPr>
                <w:rStyle w:val="justifytxt"/>
                <w:rFonts w:ascii="Times New Roman" w:hAnsi="Times New Roman" w:cs="Times New Roman"/>
                <w:color w:val="FF0000"/>
              </w:rPr>
              <w:t>1.9</w:t>
            </w:r>
          </w:p>
          <w:p w:rsidR="002D7C9B" w:rsidRPr="00A21953" w:rsidRDefault="002D7C9B" w:rsidP="002D7C9B">
            <w:pPr>
              <w:spacing w:before="120" w:line="360" w:lineRule="auto"/>
              <w:ind w:left="317" w:hanging="317"/>
              <w:jc w:val="center"/>
              <w:rPr>
                <w:rStyle w:val="justifytxt"/>
                <w:rFonts w:ascii="Times New Roman" w:hAnsi="Times New Roman" w:cs="Times New Roman"/>
                <w:color w:val="FF0000"/>
              </w:rPr>
            </w:pPr>
            <w:r w:rsidRPr="00A21953">
              <w:rPr>
                <w:rStyle w:val="justifytxt"/>
                <w:rFonts w:ascii="Times New Roman" w:hAnsi="Times New Roman" w:cs="Times New Roman"/>
                <w:color w:val="FF0000"/>
              </w:rPr>
              <w:t>2</w:t>
            </w:r>
            <w:r>
              <w:rPr>
                <w:rStyle w:val="justifytxt"/>
                <w:rFonts w:ascii="Times New Roman" w:hAnsi="Times New Roman" w:cs="Times New Roman"/>
                <w:color w:val="FF0000"/>
              </w:rPr>
              <w:t>.2</w:t>
            </w:r>
          </w:p>
        </w:tc>
      </w:tr>
      <w:tr w:rsidR="002D7C9B" w:rsidRPr="002C3570" w:rsidTr="002D7C9B">
        <w:tc>
          <w:tcPr>
            <w:tcW w:w="978" w:type="pct"/>
            <w:tcBorders>
              <w:bottom w:val="single" w:sz="12" w:space="0" w:color="auto"/>
            </w:tcBorders>
            <w:shd w:val="clear" w:color="auto" w:fill="auto"/>
          </w:tcPr>
          <w:p w:rsidR="002D7C9B" w:rsidRPr="00A21953" w:rsidRDefault="002D7C9B" w:rsidP="002D7C9B">
            <w:pPr>
              <w:spacing w:line="360" w:lineRule="auto"/>
              <w:rPr>
                <w:rStyle w:val="justifytxt"/>
                <w:rFonts w:ascii="Times New Roman" w:hAnsi="Times New Roman" w:cs="Times New Roman"/>
              </w:rPr>
            </w:pPr>
            <w:r w:rsidRPr="00A21953">
              <w:rPr>
                <w:rStyle w:val="justifytxt"/>
                <w:rFonts w:ascii="Times New Roman" w:hAnsi="Times New Roman" w:cs="Times New Roman"/>
                <w:i/>
              </w:rPr>
              <w:t>S. aureus</w:t>
            </w:r>
          </w:p>
        </w:tc>
        <w:tc>
          <w:tcPr>
            <w:tcW w:w="1329" w:type="pct"/>
            <w:tcBorders>
              <w:bottom w:val="single" w:sz="12" w:space="0" w:color="auto"/>
            </w:tcBorders>
            <w:shd w:val="clear" w:color="auto" w:fill="auto"/>
          </w:tcPr>
          <w:p w:rsidR="002D7C9B" w:rsidRPr="00A21953" w:rsidRDefault="002D7C9B" w:rsidP="002D7C9B">
            <w:pPr>
              <w:spacing w:line="360" w:lineRule="auto"/>
              <w:jc w:val="center"/>
              <w:rPr>
                <w:rStyle w:val="justifytxt"/>
                <w:rFonts w:ascii="Times New Roman" w:hAnsi="Times New Roman" w:cs="Times New Roman"/>
                <w:color w:val="FF0000"/>
              </w:rPr>
            </w:pPr>
            <w:r w:rsidRPr="00A21953">
              <w:rPr>
                <w:rStyle w:val="justifytxt"/>
                <w:rFonts w:ascii="Times New Roman" w:hAnsi="Times New Roman" w:cs="Times New Roman"/>
                <w:color w:val="000000" w:themeColor="text1"/>
              </w:rPr>
              <w:t>1</w:t>
            </w:r>
            <w:r>
              <w:rPr>
                <w:rStyle w:val="justifytxt"/>
                <w:rFonts w:ascii="Times New Roman" w:hAnsi="Times New Roman" w:cs="Times New Roman"/>
                <w:color w:val="000000" w:themeColor="text1"/>
              </w:rPr>
              <w:t>4</w:t>
            </w:r>
            <w:r w:rsidRPr="00A21953">
              <w:rPr>
                <w:rStyle w:val="justifytxt"/>
                <w:rFonts w:ascii="Times New Roman" w:hAnsi="Times New Roman" w:cs="Times New Roman"/>
                <w:color w:val="000000" w:themeColor="text1"/>
              </w:rPr>
              <w:t>.</w:t>
            </w:r>
            <w:r>
              <w:rPr>
                <w:rStyle w:val="justifytxt"/>
                <w:rFonts w:ascii="Times New Roman" w:hAnsi="Times New Roman" w:cs="Times New Roman"/>
                <w:color w:val="000000" w:themeColor="text1"/>
              </w:rPr>
              <w:t>2</w:t>
            </w:r>
            <w:r w:rsidRPr="00A21953">
              <w:rPr>
                <w:rStyle w:val="justifytxt"/>
                <w:rFonts w:ascii="Times New Roman" w:hAnsi="Times New Roman" w:cs="Times New Roman"/>
              </w:rPr>
              <w:t xml:space="preserve"> </w:t>
            </w:r>
            <w:r>
              <w:rPr>
                <w:rStyle w:val="justifytxt"/>
                <w:rFonts w:ascii="Times New Roman" w:hAnsi="Times New Roman" w:cs="Times New Roman"/>
                <w:color w:val="FF0000"/>
              </w:rPr>
              <w:t>(2.6</w:t>
            </w:r>
            <w:r w:rsidRPr="00A21953">
              <w:rPr>
                <w:rStyle w:val="justifytxt"/>
                <w:rFonts w:ascii="Times New Roman" w:hAnsi="Times New Roman" w:cs="Times New Roman"/>
                <w:color w:val="FF0000"/>
              </w:rPr>
              <w:t>)</w:t>
            </w:r>
          </w:p>
        </w:tc>
        <w:tc>
          <w:tcPr>
            <w:tcW w:w="1513" w:type="pct"/>
            <w:tcBorders>
              <w:bottom w:val="single" w:sz="12" w:space="0" w:color="auto"/>
            </w:tcBorders>
            <w:shd w:val="clear" w:color="auto" w:fill="auto"/>
          </w:tcPr>
          <w:p w:rsidR="002D7C9B" w:rsidRPr="00A21953" w:rsidRDefault="002D7C9B" w:rsidP="002D7C9B">
            <w:pPr>
              <w:spacing w:line="360" w:lineRule="auto"/>
              <w:ind w:left="317" w:hanging="317"/>
              <w:jc w:val="center"/>
              <w:rPr>
                <w:rStyle w:val="justifytxt"/>
                <w:rFonts w:ascii="Times New Roman" w:hAnsi="Times New Roman" w:cs="Times New Roman"/>
                <w:color w:val="FF0000"/>
              </w:rPr>
            </w:pPr>
            <w:r w:rsidRPr="00545370">
              <w:rPr>
                <w:rStyle w:val="justifytxt"/>
                <w:rFonts w:ascii="Times New Roman" w:hAnsi="Times New Roman" w:cs="Times New Roman"/>
              </w:rPr>
              <w:t>1.4</w:t>
            </w:r>
            <w:r>
              <w:rPr>
                <w:rStyle w:val="justifytxt"/>
                <w:rFonts w:ascii="Times New Roman" w:hAnsi="Times New Roman" w:cs="Times New Roman"/>
                <w:color w:val="FF0000"/>
              </w:rPr>
              <w:t xml:space="preserve"> (0.0)</w:t>
            </w:r>
          </w:p>
        </w:tc>
        <w:tc>
          <w:tcPr>
            <w:tcW w:w="1180" w:type="pct"/>
            <w:gridSpan w:val="2"/>
            <w:tcBorders>
              <w:bottom w:val="single" w:sz="12" w:space="0" w:color="auto"/>
            </w:tcBorders>
            <w:shd w:val="clear" w:color="auto" w:fill="auto"/>
          </w:tcPr>
          <w:p w:rsidR="002D7C9B" w:rsidRPr="00A21953" w:rsidRDefault="002D7C9B" w:rsidP="002D7C9B">
            <w:pPr>
              <w:spacing w:line="360" w:lineRule="auto"/>
              <w:ind w:left="317" w:hanging="317"/>
              <w:jc w:val="center"/>
              <w:rPr>
                <w:rStyle w:val="justifytxt"/>
                <w:rFonts w:ascii="Times New Roman" w:hAnsi="Times New Roman" w:cs="Times New Roman"/>
                <w:color w:val="FF0000"/>
              </w:rPr>
            </w:pPr>
            <w:r w:rsidRPr="00A21953">
              <w:rPr>
                <w:rStyle w:val="justifytxt"/>
                <w:rFonts w:ascii="Times New Roman" w:hAnsi="Times New Roman" w:cs="Times New Roman"/>
                <w:color w:val="FF0000"/>
              </w:rPr>
              <w:t>0.0</w:t>
            </w:r>
          </w:p>
        </w:tc>
      </w:tr>
    </w:tbl>
    <w:p w:rsidR="002D7C9B" w:rsidRDefault="002D7C9B" w:rsidP="002D7C9B">
      <w:pPr>
        <w:spacing w:before="200" w:after="120" w:line="480" w:lineRule="auto"/>
      </w:pPr>
    </w:p>
    <w:tbl>
      <w:tblPr>
        <w:tblW w:w="5000" w:type="pct"/>
        <w:tblLook w:val="04A0"/>
      </w:tblPr>
      <w:tblGrid>
        <w:gridCol w:w="1706"/>
        <w:gridCol w:w="2382"/>
        <w:gridCol w:w="2574"/>
        <w:gridCol w:w="2058"/>
      </w:tblGrid>
      <w:tr w:rsidR="002D7C9B" w:rsidRPr="00764535" w:rsidTr="002D7C9B">
        <w:tc>
          <w:tcPr>
            <w:tcW w:w="5000" w:type="pct"/>
            <w:gridSpan w:val="4"/>
            <w:tcBorders>
              <w:top w:val="single" w:sz="12" w:space="0" w:color="auto"/>
            </w:tcBorders>
            <w:shd w:val="clear" w:color="auto" w:fill="auto"/>
          </w:tcPr>
          <w:p w:rsidR="002D7C9B" w:rsidRPr="007B2EFF" w:rsidRDefault="002D7C9B" w:rsidP="002D7C9B">
            <w:pPr>
              <w:spacing w:after="120"/>
              <w:ind w:left="1843"/>
              <w:jc w:val="center"/>
              <w:rPr>
                <w:rStyle w:val="justifytxt"/>
                <w:rFonts w:ascii="Times New Roman" w:hAnsi="Times New Roman" w:cs="Times New Roman"/>
                <w:b/>
              </w:rPr>
            </w:pPr>
            <w:r w:rsidRPr="00A36D09">
              <w:rPr>
                <w:rFonts w:ascii="Times New Roman" w:hAnsi="Times New Roman" w:cs="Times New Roman"/>
                <w:noProof/>
                <w:lang w:eastAsia="en-GB"/>
              </w:rPr>
              <w:pict>
                <v:shape id="_x0000_s1035" type="#_x0000_t202" style="position:absolute;left:0;text-align:left;margin-left:-47.45pt;margin-top:-1.95pt;width:39.55pt;height:37.2pt;z-index:251670528" stroked="f">
                  <v:textbox>
                    <w:txbxContent>
                      <w:p w:rsidR="002D7C9B" w:rsidRPr="00764535" w:rsidRDefault="002D7C9B" w:rsidP="002D7C9B">
                        <w:pPr>
                          <w:rPr>
                            <w:b/>
                            <w:sz w:val="36"/>
                          </w:rPr>
                        </w:pPr>
                        <w:r>
                          <w:rPr>
                            <w:b/>
                            <w:sz w:val="36"/>
                          </w:rPr>
                          <w:t>B</w:t>
                        </w:r>
                      </w:p>
                    </w:txbxContent>
                  </v:textbox>
                </v:shape>
              </w:pict>
            </w:r>
            <w:r w:rsidRPr="007B2EFF">
              <w:rPr>
                <w:rStyle w:val="justifytxt"/>
                <w:rFonts w:ascii="Times New Roman" w:hAnsi="Times New Roman" w:cs="Times New Roman"/>
                <w:b/>
              </w:rPr>
              <w:t>% Glycan chains</w:t>
            </w:r>
          </w:p>
        </w:tc>
      </w:tr>
      <w:tr w:rsidR="002D7C9B" w:rsidRPr="00764535" w:rsidTr="002D7C9B">
        <w:tc>
          <w:tcPr>
            <w:tcW w:w="978" w:type="pct"/>
            <w:tcBorders>
              <w:bottom w:val="single" w:sz="4" w:space="0" w:color="auto"/>
            </w:tcBorders>
            <w:shd w:val="clear" w:color="auto" w:fill="auto"/>
          </w:tcPr>
          <w:p w:rsidR="002D7C9B" w:rsidRPr="002C3570" w:rsidRDefault="002D7C9B" w:rsidP="002D7C9B">
            <w:pPr>
              <w:spacing w:line="400" w:lineRule="exact"/>
              <w:jc w:val="center"/>
              <w:rPr>
                <w:rStyle w:val="justifytxt"/>
                <w:rFonts w:ascii="Times New Roman" w:hAnsi="Times New Roman" w:cs="Times New Roman"/>
              </w:rPr>
            </w:pPr>
          </w:p>
        </w:tc>
        <w:tc>
          <w:tcPr>
            <w:tcW w:w="1366" w:type="pct"/>
            <w:tcBorders>
              <w:bottom w:val="single" w:sz="4" w:space="0" w:color="auto"/>
            </w:tcBorders>
            <w:shd w:val="clear" w:color="auto" w:fill="auto"/>
          </w:tcPr>
          <w:p w:rsidR="002D7C9B" w:rsidRPr="002C3570" w:rsidRDefault="002D7C9B" w:rsidP="002D7C9B">
            <w:pPr>
              <w:spacing w:line="240" w:lineRule="auto"/>
              <w:ind w:left="-108" w:right="-108"/>
              <w:jc w:val="center"/>
              <w:rPr>
                <w:rStyle w:val="justifytxt"/>
                <w:rFonts w:ascii="Times New Roman" w:hAnsi="Times New Roman" w:cs="Times New Roman"/>
              </w:rPr>
            </w:pPr>
            <w:r w:rsidRPr="002C3570">
              <w:rPr>
                <w:rStyle w:val="justifytxt"/>
                <w:rFonts w:ascii="Times New Roman" w:hAnsi="Times New Roman" w:cs="Times New Roman"/>
              </w:rPr>
              <w:t>&gt;25</w:t>
            </w:r>
            <w:r>
              <w:rPr>
                <w:rStyle w:val="justifytxt"/>
                <w:rFonts w:ascii="Times New Roman" w:hAnsi="Times New Roman" w:cs="Times New Roman"/>
              </w:rPr>
              <w:t xml:space="preserve"> </w:t>
            </w:r>
            <w:r w:rsidRPr="002C3570">
              <w:rPr>
                <w:rStyle w:val="justifytxt"/>
                <w:rFonts w:ascii="Times New Roman" w:hAnsi="Times New Roman" w:cs="Times New Roman"/>
              </w:rPr>
              <w:t>kDa (50 DS)</w:t>
            </w:r>
          </w:p>
          <w:p w:rsidR="002D7C9B" w:rsidRPr="00E25B2F" w:rsidRDefault="002D7C9B" w:rsidP="002D7C9B">
            <w:pPr>
              <w:spacing w:line="240" w:lineRule="auto"/>
              <w:ind w:left="-108" w:right="-108"/>
              <w:jc w:val="center"/>
              <w:rPr>
                <w:rStyle w:val="justifytxt"/>
                <w:rFonts w:ascii="Times New Roman" w:hAnsi="Times New Roman" w:cs="Times New Roman"/>
                <w:sz w:val="20"/>
                <w:szCs w:val="20"/>
              </w:rPr>
            </w:pPr>
            <w:r w:rsidRPr="00E25B2F">
              <w:rPr>
                <w:rStyle w:val="justifytxt"/>
                <w:rFonts w:ascii="Times New Roman" w:hAnsi="Times New Roman" w:cs="Times New Roman"/>
                <w:color w:val="000000" w:themeColor="text1"/>
                <w:sz w:val="20"/>
                <w:szCs w:val="20"/>
              </w:rPr>
              <w:t>TSK</w:t>
            </w:r>
            <w:r w:rsidRPr="00E25B2F">
              <w:rPr>
                <w:rStyle w:val="justifytxt"/>
                <w:rFonts w:ascii="Times New Roman" w:hAnsi="Times New Roman" w:cs="Times New Roman"/>
                <w:color w:val="000000" w:themeColor="text1"/>
                <w:sz w:val="20"/>
                <w:szCs w:val="20"/>
                <w:vertAlign w:val="subscript"/>
              </w:rPr>
              <w:t>SW</w:t>
            </w:r>
            <w:r w:rsidRPr="00E25B2F">
              <w:rPr>
                <w:rStyle w:val="justifytxt"/>
                <w:rFonts w:ascii="Times New Roman" w:hAnsi="Times New Roman" w:cs="Times New Roman"/>
                <w:color w:val="000000" w:themeColor="text1"/>
                <w:sz w:val="20"/>
                <w:szCs w:val="20"/>
              </w:rPr>
              <w:t xml:space="preserve">2000 </w:t>
            </w:r>
            <w:r w:rsidRPr="00E25B2F">
              <w:rPr>
                <w:rStyle w:val="justifytxt"/>
                <w:rFonts w:ascii="Times New Roman" w:hAnsi="Times New Roman" w:cs="Times New Roman"/>
                <w:color w:val="FF0000"/>
                <w:sz w:val="20"/>
                <w:szCs w:val="20"/>
              </w:rPr>
              <w:t>(TSK</w:t>
            </w:r>
            <w:r w:rsidRPr="00E25B2F">
              <w:rPr>
                <w:rStyle w:val="justifytxt"/>
                <w:rFonts w:ascii="Times New Roman" w:hAnsi="Times New Roman" w:cs="Times New Roman"/>
                <w:color w:val="FF0000"/>
                <w:sz w:val="20"/>
                <w:szCs w:val="20"/>
                <w:vertAlign w:val="subscript"/>
              </w:rPr>
              <w:t>SW</w:t>
            </w:r>
            <w:r w:rsidRPr="00E25B2F">
              <w:rPr>
                <w:rStyle w:val="justifytxt"/>
                <w:rFonts w:ascii="Times New Roman" w:hAnsi="Times New Roman" w:cs="Times New Roman"/>
                <w:color w:val="FF0000"/>
                <w:sz w:val="20"/>
                <w:szCs w:val="20"/>
              </w:rPr>
              <w:t>4000)</w:t>
            </w:r>
          </w:p>
        </w:tc>
        <w:tc>
          <w:tcPr>
            <w:tcW w:w="1476" w:type="pct"/>
            <w:tcBorders>
              <w:bottom w:val="single" w:sz="4" w:space="0" w:color="auto"/>
            </w:tcBorders>
            <w:shd w:val="clear" w:color="auto" w:fill="auto"/>
          </w:tcPr>
          <w:p w:rsidR="002D7C9B" w:rsidRPr="002C3570" w:rsidRDefault="002D7C9B" w:rsidP="002D7C9B">
            <w:pPr>
              <w:spacing w:line="240" w:lineRule="auto"/>
              <w:ind w:left="317" w:hanging="317"/>
              <w:jc w:val="center"/>
              <w:rPr>
                <w:rStyle w:val="justifytxt"/>
                <w:rFonts w:ascii="Times New Roman" w:hAnsi="Times New Roman" w:cs="Times New Roman"/>
              </w:rPr>
            </w:pPr>
            <w:r w:rsidRPr="002C3570">
              <w:rPr>
                <w:rStyle w:val="justifytxt"/>
                <w:rFonts w:ascii="Times New Roman" w:hAnsi="Times New Roman" w:cs="Times New Roman"/>
              </w:rPr>
              <w:t>&gt;50</w:t>
            </w:r>
            <w:r>
              <w:rPr>
                <w:rStyle w:val="justifytxt"/>
                <w:rFonts w:ascii="Times New Roman" w:hAnsi="Times New Roman" w:cs="Times New Roman"/>
              </w:rPr>
              <w:t xml:space="preserve"> </w:t>
            </w:r>
            <w:r w:rsidRPr="002C3570">
              <w:rPr>
                <w:rStyle w:val="justifytxt"/>
                <w:rFonts w:ascii="Times New Roman" w:hAnsi="Times New Roman" w:cs="Times New Roman"/>
              </w:rPr>
              <w:t>kDa (100 DS)</w:t>
            </w:r>
          </w:p>
          <w:p w:rsidR="002D7C9B" w:rsidRPr="00E25B2F" w:rsidRDefault="002D7C9B" w:rsidP="002D7C9B">
            <w:pPr>
              <w:spacing w:line="240" w:lineRule="auto"/>
              <w:rPr>
                <w:rStyle w:val="justifytxt"/>
                <w:rFonts w:ascii="Times New Roman" w:hAnsi="Times New Roman" w:cs="Times New Roman"/>
                <w:color w:val="FF0000"/>
                <w:sz w:val="20"/>
                <w:szCs w:val="20"/>
              </w:rPr>
            </w:pPr>
            <w:r w:rsidRPr="00E25B2F">
              <w:rPr>
                <w:rStyle w:val="justifytxt"/>
                <w:rFonts w:ascii="Times New Roman" w:hAnsi="Times New Roman" w:cs="Times New Roman"/>
                <w:color w:val="000000" w:themeColor="text1"/>
                <w:sz w:val="20"/>
                <w:szCs w:val="20"/>
              </w:rPr>
              <w:t>TSK</w:t>
            </w:r>
            <w:r w:rsidRPr="00E25B2F">
              <w:rPr>
                <w:rStyle w:val="justifytxt"/>
                <w:rFonts w:ascii="Times New Roman" w:hAnsi="Times New Roman" w:cs="Times New Roman"/>
                <w:color w:val="000000" w:themeColor="text1"/>
                <w:sz w:val="20"/>
                <w:szCs w:val="20"/>
                <w:vertAlign w:val="subscript"/>
              </w:rPr>
              <w:t>SW</w:t>
            </w:r>
            <w:r w:rsidRPr="00E25B2F">
              <w:rPr>
                <w:rStyle w:val="justifytxt"/>
                <w:rFonts w:ascii="Times New Roman" w:hAnsi="Times New Roman" w:cs="Times New Roman"/>
                <w:color w:val="000000" w:themeColor="text1"/>
                <w:sz w:val="20"/>
                <w:szCs w:val="20"/>
              </w:rPr>
              <w:t>2000</w:t>
            </w:r>
            <w:r>
              <w:rPr>
                <w:rStyle w:val="justifytxt"/>
                <w:rFonts w:ascii="Times New Roman" w:hAnsi="Times New Roman" w:cs="Times New Roman"/>
                <w:color w:val="000000" w:themeColor="text1"/>
                <w:sz w:val="20"/>
                <w:szCs w:val="20"/>
              </w:rPr>
              <w:t xml:space="preserve"> </w:t>
            </w:r>
            <w:r w:rsidRPr="00E25B2F">
              <w:rPr>
                <w:rStyle w:val="justifytxt"/>
                <w:rFonts w:ascii="Times New Roman" w:hAnsi="Times New Roman" w:cs="Times New Roman"/>
                <w:color w:val="FF0000"/>
                <w:sz w:val="20"/>
                <w:szCs w:val="20"/>
              </w:rPr>
              <w:t>(TSK</w:t>
            </w:r>
            <w:r w:rsidRPr="00E25B2F">
              <w:rPr>
                <w:rStyle w:val="justifytxt"/>
                <w:rFonts w:ascii="Times New Roman" w:hAnsi="Times New Roman" w:cs="Times New Roman"/>
                <w:color w:val="FF0000"/>
                <w:sz w:val="20"/>
                <w:szCs w:val="20"/>
                <w:vertAlign w:val="subscript"/>
              </w:rPr>
              <w:t>SW</w:t>
            </w:r>
            <w:r w:rsidRPr="00E25B2F">
              <w:rPr>
                <w:rStyle w:val="justifytxt"/>
                <w:rFonts w:ascii="Times New Roman" w:hAnsi="Times New Roman" w:cs="Times New Roman"/>
                <w:color w:val="FF0000"/>
                <w:sz w:val="20"/>
                <w:szCs w:val="20"/>
              </w:rPr>
              <w:t>4000)</w:t>
            </w:r>
          </w:p>
        </w:tc>
        <w:tc>
          <w:tcPr>
            <w:tcW w:w="1180" w:type="pct"/>
            <w:tcBorders>
              <w:bottom w:val="single" w:sz="4" w:space="0" w:color="auto"/>
            </w:tcBorders>
            <w:shd w:val="clear" w:color="auto" w:fill="auto"/>
          </w:tcPr>
          <w:p w:rsidR="002D7C9B" w:rsidRPr="002C3570" w:rsidRDefault="002D7C9B" w:rsidP="002D7C9B">
            <w:pPr>
              <w:spacing w:line="240" w:lineRule="auto"/>
              <w:ind w:left="317" w:hanging="317"/>
              <w:jc w:val="center"/>
              <w:rPr>
                <w:rStyle w:val="justifytxt"/>
                <w:rFonts w:ascii="Times New Roman" w:hAnsi="Times New Roman" w:cs="Times New Roman"/>
              </w:rPr>
            </w:pPr>
            <w:r w:rsidRPr="002C3570">
              <w:rPr>
                <w:rStyle w:val="justifytxt"/>
                <w:rFonts w:ascii="Times New Roman" w:hAnsi="Times New Roman" w:cs="Times New Roman"/>
              </w:rPr>
              <w:t>&gt;100</w:t>
            </w:r>
            <w:r>
              <w:rPr>
                <w:rStyle w:val="justifytxt"/>
                <w:rFonts w:ascii="Times New Roman" w:hAnsi="Times New Roman" w:cs="Times New Roman"/>
              </w:rPr>
              <w:t xml:space="preserve"> </w:t>
            </w:r>
            <w:r w:rsidRPr="002C3570">
              <w:rPr>
                <w:rStyle w:val="justifytxt"/>
                <w:rFonts w:ascii="Times New Roman" w:hAnsi="Times New Roman" w:cs="Times New Roman"/>
              </w:rPr>
              <w:t>kDa (200 DS)</w:t>
            </w:r>
          </w:p>
          <w:p w:rsidR="002D7C9B" w:rsidRPr="00E25B2F" w:rsidRDefault="002D7C9B" w:rsidP="002D7C9B">
            <w:pPr>
              <w:spacing w:line="240" w:lineRule="auto"/>
              <w:ind w:left="317" w:hanging="317"/>
              <w:jc w:val="center"/>
              <w:rPr>
                <w:rStyle w:val="justifytxt"/>
                <w:rFonts w:ascii="Times New Roman" w:hAnsi="Times New Roman" w:cs="Times New Roman"/>
                <w:sz w:val="20"/>
                <w:szCs w:val="20"/>
              </w:rPr>
            </w:pPr>
            <w:r w:rsidRPr="00E25B2F">
              <w:rPr>
                <w:rStyle w:val="justifytxt"/>
                <w:rFonts w:ascii="Times New Roman" w:hAnsi="Times New Roman" w:cs="Times New Roman"/>
                <w:color w:val="FF0000"/>
                <w:sz w:val="20"/>
                <w:szCs w:val="20"/>
              </w:rPr>
              <w:t>TSK</w:t>
            </w:r>
            <w:r w:rsidRPr="00E25B2F">
              <w:rPr>
                <w:rStyle w:val="justifytxt"/>
                <w:rFonts w:ascii="Times New Roman" w:hAnsi="Times New Roman" w:cs="Times New Roman"/>
                <w:color w:val="FF0000"/>
                <w:sz w:val="20"/>
                <w:szCs w:val="20"/>
                <w:vertAlign w:val="subscript"/>
              </w:rPr>
              <w:t>SW</w:t>
            </w:r>
            <w:r w:rsidRPr="00E25B2F">
              <w:rPr>
                <w:rStyle w:val="justifytxt"/>
                <w:rFonts w:ascii="Times New Roman" w:hAnsi="Times New Roman" w:cs="Times New Roman"/>
                <w:color w:val="FF0000"/>
                <w:sz w:val="20"/>
                <w:szCs w:val="20"/>
              </w:rPr>
              <w:t>4000</w:t>
            </w:r>
          </w:p>
        </w:tc>
      </w:tr>
      <w:tr w:rsidR="002D7C9B" w:rsidRPr="001412BA" w:rsidTr="002D7C9B">
        <w:tc>
          <w:tcPr>
            <w:tcW w:w="978" w:type="pct"/>
            <w:tcBorders>
              <w:top w:val="single" w:sz="4" w:space="0" w:color="auto"/>
            </w:tcBorders>
            <w:shd w:val="clear" w:color="auto" w:fill="auto"/>
          </w:tcPr>
          <w:p w:rsidR="002D7C9B" w:rsidRPr="00824BA4" w:rsidRDefault="002D7C9B" w:rsidP="002D7C9B">
            <w:pPr>
              <w:spacing w:before="120" w:line="360" w:lineRule="auto"/>
              <w:rPr>
                <w:rStyle w:val="justifytxt"/>
                <w:rFonts w:ascii="Times New Roman" w:hAnsi="Times New Roman" w:cs="Times New Roman"/>
                <w:i/>
              </w:rPr>
            </w:pPr>
            <w:r w:rsidRPr="00824BA4">
              <w:rPr>
                <w:rStyle w:val="justifytxt"/>
                <w:rFonts w:ascii="Times New Roman" w:hAnsi="Times New Roman" w:cs="Times New Roman"/>
                <w:i/>
              </w:rPr>
              <w:t xml:space="preserve">B. subtilis </w:t>
            </w:r>
          </w:p>
          <w:p w:rsidR="002D7C9B" w:rsidRPr="00824BA4" w:rsidRDefault="002D7C9B" w:rsidP="002D7C9B">
            <w:pPr>
              <w:spacing w:before="120" w:line="360" w:lineRule="auto"/>
              <w:rPr>
                <w:rStyle w:val="justifytxt"/>
                <w:rFonts w:ascii="Times New Roman" w:hAnsi="Times New Roman" w:cs="Times New Roman"/>
                <w:i/>
              </w:rPr>
            </w:pPr>
            <w:r w:rsidRPr="00824BA4">
              <w:rPr>
                <w:rStyle w:val="justifytxt"/>
                <w:rFonts w:ascii="Times New Roman" w:hAnsi="Times New Roman" w:cs="Times New Roman"/>
                <w:i/>
              </w:rPr>
              <w:t>S. pneumoniae</w:t>
            </w:r>
          </w:p>
          <w:p w:rsidR="002D7C9B" w:rsidRPr="00824BA4" w:rsidRDefault="002D7C9B" w:rsidP="002D7C9B">
            <w:pPr>
              <w:spacing w:before="120" w:line="360" w:lineRule="auto"/>
              <w:rPr>
                <w:rStyle w:val="justifytxt"/>
                <w:rFonts w:ascii="Times New Roman" w:hAnsi="Times New Roman" w:cs="Times New Roman"/>
                <w:i/>
              </w:rPr>
            </w:pPr>
            <w:r w:rsidRPr="00824BA4">
              <w:rPr>
                <w:rStyle w:val="justifytxt"/>
                <w:rFonts w:ascii="Times New Roman" w:hAnsi="Times New Roman" w:cs="Times New Roman"/>
                <w:i/>
              </w:rPr>
              <w:t>E. faecalis</w:t>
            </w:r>
          </w:p>
          <w:p w:rsidR="002D7C9B" w:rsidRPr="00824BA4" w:rsidRDefault="002D7C9B" w:rsidP="002D7C9B">
            <w:pPr>
              <w:spacing w:before="120" w:line="360" w:lineRule="auto"/>
              <w:rPr>
                <w:rStyle w:val="justifytxt"/>
                <w:rFonts w:ascii="Times New Roman" w:hAnsi="Times New Roman" w:cs="Times New Roman"/>
                <w:i/>
              </w:rPr>
            </w:pPr>
            <w:r w:rsidRPr="00824BA4">
              <w:rPr>
                <w:rStyle w:val="justifytxt"/>
                <w:rFonts w:ascii="Times New Roman" w:hAnsi="Times New Roman" w:cs="Times New Roman"/>
                <w:i/>
              </w:rPr>
              <w:t xml:space="preserve"> L. lactis</w:t>
            </w:r>
          </w:p>
        </w:tc>
        <w:tc>
          <w:tcPr>
            <w:tcW w:w="1366" w:type="pct"/>
            <w:tcBorders>
              <w:top w:val="single" w:sz="4" w:space="0" w:color="auto"/>
            </w:tcBorders>
            <w:shd w:val="clear" w:color="auto" w:fill="auto"/>
          </w:tcPr>
          <w:p w:rsidR="002D7C9B" w:rsidRPr="002C3570" w:rsidRDefault="002D7C9B" w:rsidP="002D7C9B">
            <w:pPr>
              <w:spacing w:before="120" w:line="360" w:lineRule="auto"/>
              <w:jc w:val="center"/>
              <w:rPr>
                <w:rStyle w:val="justifytxt"/>
                <w:rFonts w:ascii="Times New Roman" w:hAnsi="Times New Roman" w:cs="Times New Roman"/>
                <w:color w:val="FF0000"/>
              </w:rPr>
            </w:pPr>
            <w:r w:rsidRPr="00082500">
              <w:rPr>
                <w:rStyle w:val="justifytxt"/>
                <w:rFonts w:ascii="Times New Roman" w:hAnsi="Times New Roman" w:cs="Times New Roman"/>
                <w:color w:val="000000" w:themeColor="text1"/>
              </w:rPr>
              <w:t>47.</w:t>
            </w:r>
            <w:r>
              <w:rPr>
                <w:rStyle w:val="justifytxt"/>
                <w:rFonts w:ascii="Times New Roman" w:hAnsi="Times New Roman" w:cs="Times New Roman"/>
                <w:color w:val="000000" w:themeColor="text1"/>
              </w:rPr>
              <w:t>0</w:t>
            </w:r>
            <w:r w:rsidRPr="002C3570">
              <w:rPr>
                <w:rStyle w:val="justifytxt"/>
                <w:rFonts w:ascii="Times New Roman" w:hAnsi="Times New Roman" w:cs="Times New Roman"/>
              </w:rPr>
              <w:t xml:space="preserve"> </w:t>
            </w:r>
            <w:r w:rsidRPr="002C3570">
              <w:rPr>
                <w:rStyle w:val="justifytxt"/>
                <w:rFonts w:ascii="Times New Roman" w:hAnsi="Times New Roman" w:cs="Times New Roman"/>
                <w:color w:val="FF0000"/>
              </w:rPr>
              <w:t>(</w:t>
            </w:r>
            <w:r>
              <w:rPr>
                <w:rStyle w:val="justifytxt"/>
                <w:rFonts w:ascii="Times New Roman" w:hAnsi="Times New Roman" w:cs="Times New Roman"/>
                <w:color w:val="FF0000"/>
              </w:rPr>
              <w:t>29.5)</w:t>
            </w:r>
          </w:p>
          <w:p w:rsidR="002D7C9B" w:rsidRDefault="002D7C9B" w:rsidP="002D7C9B">
            <w:pPr>
              <w:spacing w:before="120" w:line="360" w:lineRule="auto"/>
              <w:jc w:val="center"/>
              <w:rPr>
                <w:rStyle w:val="justifytxt"/>
                <w:rFonts w:ascii="Times New Roman" w:hAnsi="Times New Roman" w:cs="Times New Roman"/>
                <w:color w:val="000000" w:themeColor="text1"/>
              </w:rPr>
            </w:pPr>
            <w:r>
              <w:rPr>
                <w:rStyle w:val="justifytxt"/>
                <w:rFonts w:ascii="Times New Roman" w:hAnsi="Times New Roman" w:cs="Times New Roman"/>
                <w:color w:val="000000" w:themeColor="text1"/>
              </w:rPr>
              <w:t>36.3</w:t>
            </w:r>
            <w:r w:rsidRPr="002C3570">
              <w:rPr>
                <w:rStyle w:val="justifytxt"/>
                <w:rFonts w:ascii="Times New Roman" w:hAnsi="Times New Roman" w:cs="Times New Roman"/>
              </w:rPr>
              <w:t xml:space="preserve"> </w:t>
            </w:r>
            <w:r>
              <w:rPr>
                <w:rStyle w:val="justifytxt"/>
                <w:rFonts w:ascii="Times New Roman" w:hAnsi="Times New Roman" w:cs="Times New Roman"/>
                <w:color w:val="FF0000"/>
              </w:rPr>
              <w:t>(22.4</w:t>
            </w:r>
            <w:r w:rsidRPr="002C3570">
              <w:rPr>
                <w:rStyle w:val="justifytxt"/>
                <w:rFonts w:ascii="Times New Roman" w:hAnsi="Times New Roman" w:cs="Times New Roman"/>
                <w:color w:val="FF0000"/>
              </w:rPr>
              <w:t>)</w:t>
            </w:r>
          </w:p>
          <w:p w:rsidR="002D7C9B" w:rsidRDefault="002D7C9B" w:rsidP="002D7C9B">
            <w:pPr>
              <w:spacing w:before="120" w:line="360" w:lineRule="auto"/>
              <w:jc w:val="center"/>
              <w:rPr>
                <w:rStyle w:val="justifytxt"/>
                <w:rFonts w:ascii="Times New Roman" w:hAnsi="Times New Roman" w:cs="Times New Roman"/>
                <w:color w:val="FF0000"/>
              </w:rPr>
            </w:pPr>
            <w:r w:rsidRPr="00082500">
              <w:rPr>
                <w:rStyle w:val="justifytxt"/>
                <w:rFonts w:ascii="Times New Roman" w:hAnsi="Times New Roman" w:cs="Times New Roman"/>
                <w:color w:val="000000" w:themeColor="text1"/>
              </w:rPr>
              <w:t>4</w:t>
            </w:r>
            <w:r>
              <w:rPr>
                <w:rStyle w:val="justifytxt"/>
                <w:rFonts w:ascii="Times New Roman" w:hAnsi="Times New Roman" w:cs="Times New Roman"/>
                <w:color w:val="000000" w:themeColor="text1"/>
              </w:rPr>
              <w:t>2</w:t>
            </w:r>
            <w:r w:rsidRPr="00082500">
              <w:rPr>
                <w:rStyle w:val="justifytxt"/>
                <w:rFonts w:ascii="Times New Roman" w:hAnsi="Times New Roman" w:cs="Times New Roman"/>
                <w:color w:val="000000" w:themeColor="text1"/>
              </w:rPr>
              <w:t>.</w:t>
            </w:r>
            <w:r>
              <w:rPr>
                <w:rStyle w:val="justifytxt"/>
                <w:rFonts w:ascii="Times New Roman" w:hAnsi="Times New Roman" w:cs="Times New Roman"/>
                <w:color w:val="000000" w:themeColor="text1"/>
              </w:rPr>
              <w:t>5</w:t>
            </w:r>
            <w:r w:rsidRPr="002C3570">
              <w:rPr>
                <w:rStyle w:val="justifytxt"/>
                <w:rFonts w:ascii="Times New Roman" w:hAnsi="Times New Roman" w:cs="Times New Roman"/>
              </w:rPr>
              <w:t xml:space="preserve"> </w:t>
            </w:r>
            <w:r>
              <w:rPr>
                <w:rStyle w:val="justifytxt"/>
                <w:rFonts w:ascii="Times New Roman" w:hAnsi="Times New Roman" w:cs="Times New Roman"/>
                <w:color w:val="FF0000"/>
              </w:rPr>
              <w:t>(26.6</w:t>
            </w:r>
            <w:r w:rsidRPr="002C3570">
              <w:rPr>
                <w:rStyle w:val="justifytxt"/>
                <w:rFonts w:ascii="Times New Roman" w:hAnsi="Times New Roman" w:cs="Times New Roman"/>
                <w:color w:val="FF0000"/>
              </w:rPr>
              <w:t>)</w:t>
            </w:r>
          </w:p>
          <w:p w:rsidR="002D7C9B" w:rsidRPr="002C3570" w:rsidRDefault="002D7C9B" w:rsidP="002D7C9B">
            <w:pPr>
              <w:spacing w:before="120" w:line="360" w:lineRule="auto"/>
              <w:jc w:val="center"/>
              <w:rPr>
                <w:rStyle w:val="justifytxt"/>
                <w:rFonts w:ascii="Times New Roman" w:hAnsi="Times New Roman" w:cs="Times New Roman"/>
                <w:color w:val="FF0000"/>
              </w:rPr>
            </w:pPr>
            <w:r w:rsidRPr="00082500">
              <w:rPr>
                <w:rStyle w:val="justifytxt"/>
                <w:rFonts w:ascii="Times New Roman" w:hAnsi="Times New Roman" w:cs="Times New Roman"/>
                <w:color w:val="000000" w:themeColor="text1"/>
              </w:rPr>
              <w:t>4</w:t>
            </w:r>
            <w:r>
              <w:rPr>
                <w:rStyle w:val="justifytxt"/>
                <w:rFonts w:ascii="Times New Roman" w:hAnsi="Times New Roman" w:cs="Times New Roman"/>
                <w:color w:val="000000" w:themeColor="text1"/>
              </w:rPr>
              <w:t>2</w:t>
            </w:r>
            <w:r w:rsidRPr="00082500">
              <w:rPr>
                <w:rStyle w:val="justifytxt"/>
                <w:rFonts w:ascii="Times New Roman" w:hAnsi="Times New Roman" w:cs="Times New Roman"/>
                <w:color w:val="000000" w:themeColor="text1"/>
              </w:rPr>
              <w:t>.</w:t>
            </w:r>
            <w:r>
              <w:rPr>
                <w:rStyle w:val="justifytxt"/>
                <w:rFonts w:ascii="Times New Roman" w:hAnsi="Times New Roman" w:cs="Times New Roman"/>
                <w:color w:val="000000" w:themeColor="text1"/>
              </w:rPr>
              <w:t>6</w:t>
            </w:r>
            <w:r w:rsidRPr="002C3570">
              <w:rPr>
                <w:rStyle w:val="justifytxt"/>
                <w:rFonts w:ascii="Times New Roman" w:hAnsi="Times New Roman" w:cs="Times New Roman"/>
              </w:rPr>
              <w:t xml:space="preserve"> </w:t>
            </w:r>
            <w:r>
              <w:rPr>
                <w:rStyle w:val="justifytxt"/>
                <w:rFonts w:ascii="Times New Roman" w:hAnsi="Times New Roman" w:cs="Times New Roman"/>
                <w:color w:val="FF0000"/>
              </w:rPr>
              <w:t>(23.2</w:t>
            </w:r>
            <w:r w:rsidRPr="002C3570">
              <w:rPr>
                <w:rStyle w:val="justifytxt"/>
                <w:rFonts w:ascii="Times New Roman" w:hAnsi="Times New Roman" w:cs="Times New Roman"/>
                <w:color w:val="FF0000"/>
              </w:rPr>
              <w:t>)</w:t>
            </w:r>
          </w:p>
        </w:tc>
        <w:tc>
          <w:tcPr>
            <w:tcW w:w="1476" w:type="pct"/>
            <w:tcBorders>
              <w:top w:val="single" w:sz="4" w:space="0" w:color="auto"/>
            </w:tcBorders>
            <w:shd w:val="clear" w:color="auto" w:fill="auto"/>
          </w:tcPr>
          <w:p w:rsidR="002D7C9B" w:rsidRPr="002C3570" w:rsidRDefault="002D7C9B" w:rsidP="002D7C9B">
            <w:pPr>
              <w:spacing w:before="120" w:line="360" w:lineRule="auto"/>
              <w:ind w:left="317" w:hanging="317"/>
              <w:jc w:val="center"/>
              <w:rPr>
                <w:rStyle w:val="justifytxt"/>
                <w:rFonts w:ascii="Times New Roman" w:hAnsi="Times New Roman" w:cs="Times New Roman"/>
                <w:color w:val="FF0000"/>
              </w:rPr>
            </w:pPr>
            <w:r w:rsidRPr="001412BA">
              <w:rPr>
                <w:rStyle w:val="justifytxt"/>
                <w:rFonts w:ascii="Times New Roman" w:hAnsi="Times New Roman" w:cs="Times New Roman"/>
              </w:rPr>
              <w:t>19.3</w:t>
            </w:r>
            <w:r>
              <w:rPr>
                <w:rStyle w:val="justifytxt"/>
                <w:rFonts w:ascii="Times New Roman" w:hAnsi="Times New Roman" w:cs="Times New Roman"/>
                <w:color w:val="FF0000"/>
              </w:rPr>
              <w:t xml:space="preserve"> (</w:t>
            </w:r>
            <w:r w:rsidRPr="002C3570">
              <w:rPr>
                <w:rStyle w:val="justifytxt"/>
                <w:rFonts w:ascii="Times New Roman" w:hAnsi="Times New Roman" w:cs="Times New Roman"/>
                <w:color w:val="FF0000"/>
              </w:rPr>
              <w:t>1</w:t>
            </w:r>
            <w:r>
              <w:rPr>
                <w:rStyle w:val="justifytxt"/>
                <w:rFonts w:ascii="Times New Roman" w:hAnsi="Times New Roman" w:cs="Times New Roman"/>
                <w:color w:val="FF0000"/>
              </w:rPr>
              <w:t>5.6)</w:t>
            </w:r>
          </w:p>
          <w:p w:rsidR="002D7C9B" w:rsidRDefault="002D7C9B" w:rsidP="002D7C9B">
            <w:pPr>
              <w:spacing w:before="120" w:line="360" w:lineRule="auto"/>
              <w:ind w:left="317" w:hanging="317"/>
              <w:jc w:val="center"/>
              <w:rPr>
                <w:rStyle w:val="justifytxt"/>
                <w:rFonts w:ascii="Times New Roman" w:hAnsi="Times New Roman" w:cs="Times New Roman"/>
                <w:color w:val="FF0000"/>
              </w:rPr>
            </w:pPr>
            <w:r w:rsidRPr="001412BA">
              <w:rPr>
                <w:rStyle w:val="justifytxt"/>
                <w:rFonts w:ascii="Times New Roman" w:hAnsi="Times New Roman" w:cs="Times New Roman"/>
              </w:rPr>
              <w:t>10.6</w:t>
            </w:r>
            <w:r>
              <w:rPr>
                <w:rStyle w:val="justifytxt"/>
                <w:rFonts w:ascii="Times New Roman" w:hAnsi="Times New Roman" w:cs="Times New Roman"/>
                <w:color w:val="FF0000"/>
              </w:rPr>
              <w:t xml:space="preserve"> (9.6)</w:t>
            </w:r>
          </w:p>
          <w:p w:rsidR="002D7C9B" w:rsidRDefault="002D7C9B" w:rsidP="002D7C9B">
            <w:pPr>
              <w:spacing w:before="120" w:line="360" w:lineRule="auto"/>
              <w:ind w:left="317" w:hanging="317"/>
              <w:jc w:val="center"/>
              <w:rPr>
                <w:rStyle w:val="justifytxt"/>
                <w:rFonts w:ascii="Times New Roman" w:hAnsi="Times New Roman" w:cs="Times New Roman"/>
                <w:color w:val="FF0000"/>
              </w:rPr>
            </w:pPr>
            <w:r w:rsidRPr="001412BA">
              <w:rPr>
                <w:rStyle w:val="justifytxt"/>
                <w:rFonts w:ascii="Times New Roman" w:hAnsi="Times New Roman" w:cs="Times New Roman"/>
              </w:rPr>
              <w:t>16.0</w:t>
            </w:r>
            <w:r>
              <w:rPr>
                <w:rStyle w:val="justifytxt"/>
                <w:rFonts w:ascii="Times New Roman" w:hAnsi="Times New Roman" w:cs="Times New Roman"/>
                <w:color w:val="FF0000"/>
              </w:rPr>
              <w:t xml:space="preserve"> (11.5)</w:t>
            </w:r>
          </w:p>
          <w:p w:rsidR="002D7C9B" w:rsidRPr="002C3570" w:rsidRDefault="002D7C9B" w:rsidP="002D7C9B">
            <w:pPr>
              <w:spacing w:before="120" w:line="360" w:lineRule="auto"/>
              <w:ind w:left="317" w:hanging="317"/>
              <w:jc w:val="center"/>
              <w:rPr>
                <w:rStyle w:val="justifytxt"/>
                <w:rFonts w:ascii="Times New Roman" w:hAnsi="Times New Roman" w:cs="Times New Roman"/>
                <w:color w:val="FF0000"/>
              </w:rPr>
            </w:pPr>
            <w:r w:rsidRPr="001412BA">
              <w:rPr>
                <w:rStyle w:val="justifytxt"/>
                <w:rFonts w:ascii="Times New Roman" w:hAnsi="Times New Roman" w:cs="Times New Roman"/>
              </w:rPr>
              <w:t>14.9</w:t>
            </w:r>
            <w:r>
              <w:rPr>
                <w:rStyle w:val="justifytxt"/>
                <w:rFonts w:ascii="Times New Roman" w:hAnsi="Times New Roman" w:cs="Times New Roman"/>
                <w:color w:val="FF0000"/>
              </w:rPr>
              <w:t xml:space="preserve"> (9.4)</w:t>
            </w:r>
          </w:p>
        </w:tc>
        <w:tc>
          <w:tcPr>
            <w:tcW w:w="1180" w:type="pct"/>
            <w:tcBorders>
              <w:top w:val="single" w:sz="4" w:space="0" w:color="auto"/>
            </w:tcBorders>
            <w:shd w:val="clear" w:color="auto" w:fill="auto"/>
          </w:tcPr>
          <w:p w:rsidR="002D7C9B" w:rsidRPr="002C3570" w:rsidRDefault="002D7C9B" w:rsidP="002D7C9B">
            <w:pPr>
              <w:spacing w:before="120" w:line="360" w:lineRule="auto"/>
              <w:ind w:left="317" w:hanging="317"/>
              <w:jc w:val="center"/>
              <w:rPr>
                <w:rStyle w:val="justifytxt"/>
                <w:rFonts w:ascii="Times New Roman" w:hAnsi="Times New Roman" w:cs="Times New Roman"/>
                <w:color w:val="FF0000"/>
              </w:rPr>
            </w:pPr>
            <w:r>
              <w:rPr>
                <w:rStyle w:val="justifytxt"/>
                <w:rFonts w:ascii="Times New Roman" w:hAnsi="Times New Roman" w:cs="Times New Roman"/>
                <w:color w:val="FF0000"/>
              </w:rPr>
              <w:t>5</w:t>
            </w:r>
            <w:r w:rsidRPr="002C3570">
              <w:rPr>
                <w:rStyle w:val="justifytxt"/>
                <w:rFonts w:ascii="Times New Roman" w:hAnsi="Times New Roman" w:cs="Times New Roman"/>
                <w:color w:val="FF0000"/>
              </w:rPr>
              <w:t>.</w:t>
            </w:r>
            <w:r>
              <w:rPr>
                <w:rStyle w:val="justifytxt"/>
                <w:rFonts w:ascii="Times New Roman" w:hAnsi="Times New Roman" w:cs="Times New Roman"/>
                <w:color w:val="FF0000"/>
              </w:rPr>
              <w:t>8</w:t>
            </w:r>
          </w:p>
          <w:p w:rsidR="002D7C9B" w:rsidRDefault="002D7C9B" w:rsidP="002D7C9B">
            <w:pPr>
              <w:spacing w:before="120" w:line="360" w:lineRule="auto"/>
              <w:ind w:left="317" w:hanging="317"/>
              <w:jc w:val="center"/>
              <w:rPr>
                <w:rStyle w:val="justifytxt"/>
                <w:rFonts w:ascii="Times New Roman" w:hAnsi="Times New Roman" w:cs="Times New Roman"/>
                <w:color w:val="FF0000"/>
              </w:rPr>
            </w:pPr>
            <w:r w:rsidRPr="002C3570">
              <w:rPr>
                <w:rStyle w:val="justifytxt"/>
                <w:rFonts w:ascii="Times New Roman" w:hAnsi="Times New Roman" w:cs="Times New Roman"/>
                <w:color w:val="FF0000"/>
              </w:rPr>
              <w:t>4.</w:t>
            </w:r>
            <w:r>
              <w:rPr>
                <w:rStyle w:val="justifytxt"/>
                <w:rFonts w:ascii="Times New Roman" w:hAnsi="Times New Roman" w:cs="Times New Roman"/>
                <w:color w:val="FF0000"/>
              </w:rPr>
              <w:t>6</w:t>
            </w:r>
          </w:p>
          <w:p w:rsidR="002D7C9B" w:rsidRDefault="002D7C9B" w:rsidP="002D7C9B">
            <w:pPr>
              <w:spacing w:before="120" w:line="360" w:lineRule="auto"/>
              <w:ind w:left="317" w:hanging="317"/>
              <w:jc w:val="center"/>
              <w:rPr>
                <w:rStyle w:val="justifytxt"/>
                <w:rFonts w:ascii="Times New Roman" w:hAnsi="Times New Roman" w:cs="Times New Roman"/>
                <w:color w:val="FF0000"/>
              </w:rPr>
            </w:pPr>
            <w:r>
              <w:rPr>
                <w:rStyle w:val="justifytxt"/>
                <w:rFonts w:ascii="Times New Roman" w:hAnsi="Times New Roman" w:cs="Times New Roman"/>
                <w:color w:val="FF0000"/>
              </w:rPr>
              <w:t>5</w:t>
            </w:r>
            <w:r w:rsidRPr="002C3570">
              <w:rPr>
                <w:rStyle w:val="justifytxt"/>
                <w:rFonts w:ascii="Times New Roman" w:hAnsi="Times New Roman" w:cs="Times New Roman"/>
                <w:color w:val="FF0000"/>
              </w:rPr>
              <w:t>.</w:t>
            </w:r>
            <w:r>
              <w:rPr>
                <w:rStyle w:val="justifytxt"/>
                <w:rFonts w:ascii="Times New Roman" w:hAnsi="Times New Roman" w:cs="Times New Roman"/>
                <w:color w:val="FF0000"/>
              </w:rPr>
              <w:t>9</w:t>
            </w:r>
          </w:p>
          <w:p w:rsidR="002D7C9B" w:rsidRPr="002C3570" w:rsidRDefault="002D7C9B" w:rsidP="002D7C9B">
            <w:pPr>
              <w:spacing w:before="120" w:line="360" w:lineRule="auto"/>
              <w:ind w:left="317" w:hanging="317"/>
              <w:jc w:val="center"/>
              <w:rPr>
                <w:rStyle w:val="justifytxt"/>
                <w:rFonts w:ascii="Times New Roman" w:hAnsi="Times New Roman" w:cs="Times New Roman"/>
                <w:color w:val="FF0000"/>
              </w:rPr>
            </w:pPr>
            <w:r>
              <w:rPr>
                <w:rStyle w:val="justifytxt"/>
                <w:rFonts w:ascii="Times New Roman" w:hAnsi="Times New Roman" w:cs="Times New Roman"/>
                <w:color w:val="FF0000"/>
              </w:rPr>
              <w:t>3</w:t>
            </w:r>
            <w:r w:rsidRPr="002C3570">
              <w:rPr>
                <w:rStyle w:val="justifytxt"/>
                <w:rFonts w:ascii="Times New Roman" w:hAnsi="Times New Roman" w:cs="Times New Roman"/>
                <w:color w:val="FF0000"/>
              </w:rPr>
              <w:t>.</w:t>
            </w:r>
            <w:r>
              <w:rPr>
                <w:rStyle w:val="justifytxt"/>
                <w:rFonts w:ascii="Times New Roman" w:hAnsi="Times New Roman" w:cs="Times New Roman"/>
                <w:color w:val="FF0000"/>
              </w:rPr>
              <w:t>9</w:t>
            </w:r>
          </w:p>
        </w:tc>
      </w:tr>
      <w:tr w:rsidR="002D7C9B" w:rsidRPr="001412BA" w:rsidTr="002D7C9B">
        <w:tc>
          <w:tcPr>
            <w:tcW w:w="978" w:type="pct"/>
            <w:tcBorders>
              <w:bottom w:val="single" w:sz="12" w:space="0" w:color="auto"/>
            </w:tcBorders>
            <w:shd w:val="clear" w:color="auto" w:fill="auto"/>
          </w:tcPr>
          <w:p w:rsidR="002D7C9B" w:rsidRPr="002C3570" w:rsidRDefault="002D7C9B" w:rsidP="002D7C9B">
            <w:pPr>
              <w:spacing w:line="360" w:lineRule="auto"/>
              <w:rPr>
                <w:rStyle w:val="justifytxt"/>
                <w:rFonts w:ascii="Times New Roman" w:hAnsi="Times New Roman" w:cs="Times New Roman"/>
              </w:rPr>
            </w:pPr>
            <w:r w:rsidRPr="002C3570">
              <w:rPr>
                <w:rStyle w:val="justifytxt"/>
                <w:rFonts w:ascii="Times New Roman" w:hAnsi="Times New Roman" w:cs="Times New Roman"/>
                <w:i/>
              </w:rPr>
              <w:t>S. aureus</w:t>
            </w:r>
          </w:p>
        </w:tc>
        <w:tc>
          <w:tcPr>
            <w:tcW w:w="1366" w:type="pct"/>
            <w:tcBorders>
              <w:bottom w:val="single" w:sz="12" w:space="0" w:color="auto"/>
            </w:tcBorders>
            <w:shd w:val="clear" w:color="auto" w:fill="auto"/>
          </w:tcPr>
          <w:p w:rsidR="002D7C9B" w:rsidRPr="002C3570" w:rsidRDefault="002D7C9B" w:rsidP="002D7C9B">
            <w:pPr>
              <w:spacing w:line="360" w:lineRule="auto"/>
              <w:jc w:val="center"/>
              <w:rPr>
                <w:rStyle w:val="justifytxt"/>
                <w:rFonts w:ascii="Times New Roman" w:hAnsi="Times New Roman" w:cs="Times New Roman"/>
                <w:color w:val="FF0000"/>
              </w:rPr>
            </w:pPr>
            <w:r w:rsidRPr="00082500">
              <w:rPr>
                <w:rStyle w:val="justifytxt"/>
                <w:rFonts w:ascii="Times New Roman" w:hAnsi="Times New Roman" w:cs="Times New Roman"/>
                <w:color w:val="000000" w:themeColor="text1"/>
              </w:rPr>
              <w:t>17.</w:t>
            </w:r>
            <w:r>
              <w:rPr>
                <w:rStyle w:val="justifytxt"/>
                <w:rFonts w:ascii="Times New Roman" w:hAnsi="Times New Roman" w:cs="Times New Roman"/>
                <w:color w:val="000000" w:themeColor="text1"/>
              </w:rPr>
              <w:t>1</w:t>
            </w:r>
            <w:r w:rsidRPr="002C3570">
              <w:rPr>
                <w:rStyle w:val="justifytxt"/>
                <w:rFonts w:ascii="Times New Roman" w:hAnsi="Times New Roman" w:cs="Times New Roman"/>
              </w:rPr>
              <w:t xml:space="preserve"> </w:t>
            </w:r>
            <w:r>
              <w:rPr>
                <w:rStyle w:val="justifytxt"/>
                <w:rFonts w:ascii="Times New Roman" w:hAnsi="Times New Roman" w:cs="Times New Roman"/>
                <w:color w:val="FF0000"/>
              </w:rPr>
              <w:t>(5.9</w:t>
            </w:r>
            <w:r w:rsidRPr="002C3570">
              <w:rPr>
                <w:rStyle w:val="justifytxt"/>
                <w:rFonts w:ascii="Times New Roman" w:hAnsi="Times New Roman" w:cs="Times New Roman"/>
                <w:color w:val="FF0000"/>
              </w:rPr>
              <w:t>)</w:t>
            </w:r>
          </w:p>
        </w:tc>
        <w:tc>
          <w:tcPr>
            <w:tcW w:w="1476" w:type="pct"/>
            <w:tcBorders>
              <w:bottom w:val="single" w:sz="12" w:space="0" w:color="auto"/>
            </w:tcBorders>
            <w:shd w:val="clear" w:color="auto" w:fill="auto"/>
          </w:tcPr>
          <w:p w:rsidR="002D7C9B" w:rsidRPr="002C3570" w:rsidRDefault="002D7C9B" w:rsidP="002D7C9B">
            <w:pPr>
              <w:spacing w:line="360" w:lineRule="auto"/>
              <w:ind w:left="317" w:hanging="317"/>
              <w:jc w:val="center"/>
              <w:rPr>
                <w:rStyle w:val="justifytxt"/>
                <w:rFonts w:ascii="Times New Roman" w:hAnsi="Times New Roman" w:cs="Times New Roman"/>
                <w:color w:val="FF0000"/>
              </w:rPr>
            </w:pPr>
            <w:r w:rsidRPr="001412BA">
              <w:rPr>
                <w:rStyle w:val="justifytxt"/>
                <w:rFonts w:ascii="Times New Roman" w:hAnsi="Times New Roman" w:cs="Times New Roman"/>
              </w:rPr>
              <w:t>3.5</w:t>
            </w:r>
            <w:r>
              <w:rPr>
                <w:rStyle w:val="justifytxt"/>
                <w:rFonts w:ascii="Times New Roman" w:hAnsi="Times New Roman" w:cs="Times New Roman"/>
                <w:color w:val="FF0000"/>
              </w:rPr>
              <w:t xml:space="preserve"> (</w:t>
            </w:r>
            <w:r w:rsidRPr="002C3570">
              <w:rPr>
                <w:rStyle w:val="justifytxt"/>
                <w:rFonts w:ascii="Times New Roman" w:hAnsi="Times New Roman" w:cs="Times New Roman"/>
                <w:color w:val="FF0000"/>
              </w:rPr>
              <w:t>1</w:t>
            </w:r>
            <w:r>
              <w:rPr>
                <w:rStyle w:val="justifytxt"/>
                <w:rFonts w:ascii="Times New Roman" w:hAnsi="Times New Roman" w:cs="Times New Roman"/>
                <w:color w:val="FF0000"/>
              </w:rPr>
              <w:t>.7)</w:t>
            </w:r>
          </w:p>
        </w:tc>
        <w:tc>
          <w:tcPr>
            <w:tcW w:w="1180" w:type="pct"/>
            <w:tcBorders>
              <w:bottom w:val="single" w:sz="12" w:space="0" w:color="auto"/>
            </w:tcBorders>
            <w:shd w:val="clear" w:color="auto" w:fill="auto"/>
          </w:tcPr>
          <w:p w:rsidR="002D7C9B" w:rsidRPr="002C3570" w:rsidRDefault="002D7C9B" w:rsidP="002D7C9B">
            <w:pPr>
              <w:spacing w:line="360" w:lineRule="auto"/>
              <w:ind w:left="317" w:hanging="317"/>
              <w:jc w:val="center"/>
              <w:rPr>
                <w:rStyle w:val="justifytxt"/>
                <w:rFonts w:ascii="Times New Roman" w:hAnsi="Times New Roman" w:cs="Times New Roman"/>
                <w:color w:val="FF0000"/>
              </w:rPr>
            </w:pPr>
            <w:r w:rsidRPr="002C3570">
              <w:rPr>
                <w:rStyle w:val="justifytxt"/>
                <w:rFonts w:ascii="Times New Roman" w:hAnsi="Times New Roman" w:cs="Times New Roman"/>
                <w:color w:val="FF0000"/>
              </w:rPr>
              <w:t>0.0</w:t>
            </w:r>
          </w:p>
        </w:tc>
      </w:tr>
    </w:tbl>
    <w:p w:rsidR="002D7C9B" w:rsidRDefault="002D7C9B" w:rsidP="002D7C9B">
      <w:pPr>
        <w:spacing w:after="120" w:line="360" w:lineRule="auto"/>
        <w:jc w:val="both"/>
        <w:rPr>
          <w:rStyle w:val="justifytxt"/>
          <w:rFonts w:ascii="Times New Roman" w:hAnsi="Times New Roman" w:cs="Times New Roman"/>
          <w:sz w:val="24"/>
          <w:szCs w:val="24"/>
        </w:rPr>
      </w:pPr>
      <w:proofErr w:type="gramStart"/>
      <w:r w:rsidRPr="00E25B2F">
        <w:rPr>
          <w:rStyle w:val="justifytxt"/>
          <w:rFonts w:ascii="Times New Roman" w:hAnsi="Times New Roman" w:cs="Times New Roman"/>
          <w:b/>
          <w:sz w:val="24"/>
          <w:szCs w:val="24"/>
        </w:rPr>
        <w:t>Table 3.1.</w:t>
      </w:r>
      <w:proofErr w:type="gramEnd"/>
      <w:r w:rsidRPr="00E25B2F">
        <w:rPr>
          <w:rStyle w:val="justifytxt"/>
          <w:rFonts w:ascii="Times New Roman" w:hAnsi="Times New Roman" w:cs="Times New Roman"/>
          <w:b/>
          <w:sz w:val="24"/>
          <w:szCs w:val="24"/>
        </w:rPr>
        <w:t xml:space="preserve"> </w:t>
      </w:r>
      <w:proofErr w:type="gramStart"/>
      <w:r w:rsidRPr="00E25B2F">
        <w:rPr>
          <w:rStyle w:val="justifytxt"/>
          <w:rFonts w:ascii="Times New Roman" w:hAnsi="Times New Roman" w:cs="Times New Roman"/>
          <w:b/>
          <w:sz w:val="24"/>
          <w:szCs w:val="24"/>
        </w:rPr>
        <w:t>Glycan chain length distribution in Gram-positive bacteria determined by size-exclusion chromatography.</w:t>
      </w:r>
      <w:proofErr w:type="gramEnd"/>
      <w:r w:rsidRPr="00E25B2F">
        <w:rPr>
          <w:rStyle w:val="justifytxt"/>
          <w:rFonts w:ascii="Times New Roman" w:hAnsi="Times New Roman" w:cs="Times New Roman"/>
          <w:sz w:val="24"/>
          <w:szCs w:val="24"/>
        </w:rPr>
        <w:t xml:space="preserve"> (A) Amidase-digested peptidoglycan (B) </w:t>
      </w:r>
      <w:r>
        <w:rPr>
          <w:rStyle w:val="justifytxt"/>
          <w:rFonts w:ascii="Times New Roman" w:hAnsi="Times New Roman" w:cs="Times New Roman"/>
          <w:sz w:val="24"/>
          <w:szCs w:val="24"/>
        </w:rPr>
        <w:t xml:space="preserve">Amidase digested peptidoglycan </w:t>
      </w:r>
      <w:r w:rsidRPr="00C00F77">
        <w:rPr>
          <w:rStyle w:val="justifytxt"/>
          <w:rFonts w:ascii="Times New Roman" w:hAnsi="Times New Roman" w:cs="Times New Roman"/>
          <w:color w:val="000000" w:themeColor="text1"/>
          <w:sz w:val="24"/>
          <w:szCs w:val="24"/>
        </w:rPr>
        <w:t>additionally purified using cation-exchange chromatography (MonoS). The relative abundance of glycan chains above 25, 50 or 100 kDa was determined as described in Chapter 2.16.6, using either a TSK</w:t>
      </w:r>
      <w:r w:rsidRPr="00C00F77">
        <w:rPr>
          <w:rStyle w:val="justifytxt"/>
          <w:rFonts w:ascii="Times New Roman" w:hAnsi="Times New Roman" w:cs="Times New Roman"/>
          <w:color w:val="000000" w:themeColor="text1"/>
          <w:sz w:val="24"/>
          <w:szCs w:val="24"/>
          <w:vertAlign w:val="subscript"/>
        </w:rPr>
        <w:t>SW</w:t>
      </w:r>
      <w:r w:rsidRPr="00C00F77">
        <w:rPr>
          <w:rStyle w:val="justifytxt"/>
          <w:rFonts w:ascii="Times New Roman" w:hAnsi="Times New Roman" w:cs="Times New Roman"/>
          <w:color w:val="000000" w:themeColor="text1"/>
          <w:sz w:val="24"/>
          <w:szCs w:val="24"/>
        </w:rPr>
        <w:t>2000 (black font) or a TSK</w:t>
      </w:r>
      <w:r w:rsidRPr="00C00F77">
        <w:rPr>
          <w:rStyle w:val="justifytxt"/>
          <w:rFonts w:ascii="Times New Roman" w:hAnsi="Times New Roman" w:cs="Times New Roman"/>
          <w:color w:val="000000" w:themeColor="text1"/>
          <w:sz w:val="24"/>
          <w:szCs w:val="24"/>
          <w:vertAlign w:val="subscript"/>
        </w:rPr>
        <w:t>SW</w:t>
      </w:r>
      <w:r w:rsidRPr="00C00F77">
        <w:rPr>
          <w:rStyle w:val="justifytxt"/>
          <w:rFonts w:ascii="Times New Roman" w:hAnsi="Times New Roman" w:cs="Times New Roman"/>
          <w:color w:val="000000" w:themeColor="text1"/>
          <w:sz w:val="24"/>
          <w:szCs w:val="24"/>
        </w:rPr>
        <w:t>4000 column (red font). Work conducted</w:t>
      </w:r>
      <w:r>
        <w:rPr>
          <w:rStyle w:val="justifytxt"/>
          <w:rFonts w:ascii="Times New Roman" w:hAnsi="Times New Roman" w:cs="Times New Roman"/>
          <w:sz w:val="24"/>
          <w:szCs w:val="24"/>
        </w:rPr>
        <w:t xml:space="preserve"> in collaboration with Stéphane Mesnage.</w:t>
      </w:r>
    </w:p>
    <w:p w:rsidR="002D7C9B" w:rsidRDefault="002D7C9B" w:rsidP="002D7C9B">
      <w:pPr>
        <w:rPr>
          <w:rStyle w:val="justifytxt"/>
          <w:rFonts w:ascii="Times New Roman" w:hAnsi="Times New Roman" w:cs="Times New Roman"/>
          <w:sz w:val="24"/>
          <w:szCs w:val="24"/>
        </w:rPr>
      </w:pPr>
      <w:r>
        <w:rPr>
          <w:rStyle w:val="justifytxt"/>
          <w:rFonts w:ascii="Times New Roman" w:hAnsi="Times New Roman" w:cs="Times New Roman"/>
          <w:sz w:val="24"/>
          <w:szCs w:val="24"/>
        </w:rPr>
        <w:br w:type="page"/>
      </w:r>
    </w:p>
    <w:p w:rsidR="002D7C9B" w:rsidRPr="009B2F87" w:rsidRDefault="002D7C9B" w:rsidP="002D7C9B">
      <w:pPr>
        <w:spacing w:line="360" w:lineRule="auto"/>
        <w:ind w:left="1418" w:hanging="1418"/>
        <w:rPr>
          <w:rFonts w:ascii="Times New Roman" w:hAnsi="Times New Roman" w:cs="Times New Roman"/>
          <w:sz w:val="28"/>
          <w:szCs w:val="28"/>
        </w:rPr>
      </w:pPr>
      <w:r>
        <w:rPr>
          <w:rFonts w:ascii="Times New Roman" w:hAnsi="Times New Roman" w:cs="Times New Roman"/>
          <w:sz w:val="28"/>
          <w:szCs w:val="28"/>
        </w:rPr>
        <w:lastRenderedPageBreak/>
        <w:t>3.2.2</w:t>
      </w:r>
      <w:r>
        <w:rPr>
          <w:rFonts w:ascii="Times New Roman" w:hAnsi="Times New Roman" w:cs="Times New Roman"/>
          <w:sz w:val="28"/>
          <w:szCs w:val="28"/>
        </w:rPr>
        <w:tab/>
      </w:r>
      <w:r>
        <w:rPr>
          <w:rFonts w:ascii="Times New Roman" w:hAnsi="Times New Roman" w:cs="Times New Roman"/>
          <w:sz w:val="28"/>
          <w:szCs w:val="28"/>
        </w:rPr>
        <w:tab/>
        <w:t xml:space="preserve">Analysis of the </w:t>
      </w:r>
      <w:r>
        <w:rPr>
          <w:rFonts w:ascii="Times New Roman" w:hAnsi="Times New Roman" w:cs="Times New Roman"/>
          <w:i/>
          <w:sz w:val="28"/>
          <w:szCs w:val="28"/>
        </w:rPr>
        <w:t>in situ</w:t>
      </w:r>
      <w:r>
        <w:rPr>
          <w:rFonts w:ascii="Times New Roman" w:hAnsi="Times New Roman" w:cs="Times New Roman"/>
          <w:sz w:val="28"/>
          <w:szCs w:val="28"/>
        </w:rPr>
        <w:t xml:space="preserve"> glycan chain length distribution by differential fluorescence microscopy</w:t>
      </w:r>
    </w:p>
    <w:p w:rsidR="002D7C9B" w:rsidRPr="00C00F77" w:rsidRDefault="002D7C9B" w:rsidP="002D7C9B">
      <w:pPr>
        <w:spacing w:before="120" w:after="120" w:line="48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T</w:t>
      </w:r>
      <w:r w:rsidRPr="00ED332C">
        <w:rPr>
          <w:rFonts w:ascii="Times New Roman" w:hAnsi="Times New Roman" w:cs="Times New Roman"/>
          <w:sz w:val="24"/>
          <w:szCs w:val="24"/>
        </w:rPr>
        <w:t xml:space="preserve">he glycan chain </w:t>
      </w:r>
      <w:r w:rsidRPr="00C00F77">
        <w:rPr>
          <w:rFonts w:ascii="Times New Roman" w:hAnsi="Times New Roman" w:cs="Times New Roman"/>
          <w:color w:val="000000" w:themeColor="text1"/>
          <w:sz w:val="24"/>
          <w:szCs w:val="24"/>
        </w:rPr>
        <w:t xml:space="preserve">distribution </w:t>
      </w:r>
      <w:r w:rsidRPr="00C00F77">
        <w:rPr>
          <w:rFonts w:ascii="Times New Roman" w:hAnsi="Times New Roman" w:cs="Times New Roman"/>
          <w:i/>
          <w:color w:val="000000" w:themeColor="text1"/>
          <w:sz w:val="24"/>
          <w:szCs w:val="24"/>
        </w:rPr>
        <w:t>in situ</w:t>
      </w:r>
      <w:r w:rsidRPr="00C00F77">
        <w:rPr>
          <w:rFonts w:ascii="Times New Roman" w:hAnsi="Times New Roman" w:cs="Times New Roman"/>
          <w:color w:val="000000" w:themeColor="text1"/>
          <w:sz w:val="24"/>
          <w:szCs w:val="24"/>
        </w:rPr>
        <w:t xml:space="preserve"> was obtained using a differential fluorescent lectin binding assay based on the method of Hayhurst </w:t>
      </w:r>
      <w:r w:rsidRPr="00294AE4">
        <w:rPr>
          <w:rFonts w:ascii="Times New Roman" w:hAnsi="Times New Roman" w:cs="Times New Roman"/>
          <w:i/>
          <w:color w:val="000000" w:themeColor="text1"/>
          <w:sz w:val="24"/>
          <w:szCs w:val="24"/>
        </w:rPr>
        <w:t>et al</w:t>
      </w:r>
      <w:r w:rsidRPr="00C00F77">
        <w:rPr>
          <w:rFonts w:ascii="Times New Roman" w:hAnsi="Times New Roman" w:cs="Times New Roman"/>
          <w:color w:val="000000" w:themeColor="text1"/>
          <w:sz w:val="24"/>
          <w:szCs w:val="24"/>
        </w:rPr>
        <w:t>. (2008). Whole cells devoid of accessory wall polymers were prepared as described in Chapter 2.</w:t>
      </w:r>
      <w:r>
        <w:rPr>
          <w:rFonts w:ascii="Times New Roman" w:hAnsi="Times New Roman" w:cs="Times New Roman"/>
          <w:color w:val="000000" w:themeColor="text1"/>
          <w:sz w:val="24"/>
          <w:szCs w:val="24"/>
        </w:rPr>
        <w:t>14</w:t>
      </w:r>
      <w:r w:rsidRPr="00C00F77">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2.</w:t>
      </w:r>
      <w:r w:rsidRPr="00C00F7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Extra</w:t>
      </w:r>
      <w:r w:rsidRPr="00C00F77">
        <w:rPr>
          <w:rFonts w:ascii="Times New Roman" w:hAnsi="Times New Roman" w:cs="Times New Roman"/>
          <w:color w:val="000000" w:themeColor="text1"/>
          <w:sz w:val="24"/>
          <w:szCs w:val="24"/>
        </w:rPr>
        <w:t>cted cells were labelled using AlexaFluor conjugates of Wheat Germ Agglutinin (WGA), which binds Glc</w:t>
      </w:r>
      <w:r w:rsidRPr="00665220">
        <w:rPr>
          <w:rFonts w:ascii="Times New Roman" w:hAnsi="Times New Roman" w:cs="Times New Roman"/>
          <w:i/>
          <w:color w:val="000000" w:themeColor="text1"/>
          <w:sz w:val="24"/>
          <w:szCs w:val="24"/>
        </w:rPr>
        <w:t>N</w:t>
      </w:r>
      <w:r w:rsidRPr="00C00F77">
        <w:rPr>
          <w:rFonts w:ascii="Times New Roman" w:hAnsi="Times New Roman" w:cs="Times New Roman"/>
          <w:color w:val="000000" w:themeColor="text1"/>
          <w:sz w:val="24"/>
          <w:szCs w:val="24"/>
        </w:rPr>
        <w:t xml:space="preserve">Ac residues throughout the peptidoglycan, and </w:t>
      </w:r>
      <w:r w:rsidRPr="00C00F77">
        <w:rPr>
          <w:rFonts w:ascii="Times New Roman" w:hAnsi="Times New Roman" w:cs="Times New Roman"/>
          <w:i/>
          <w:color w:val="000000" w:themeColor="text1"/>
          <w:sz w:val="24"/>
          <w:szCs w:val="24"/>
        </w:rPr>
        <w:t>Griffonia simplicifolia</w:t>
      </w:r>
      <w:r w:rsidRPr="00C00F77">
        <w:rPr>
          <w:rFonts w:ascii="Times New Roman" w:hAnsi="Times New Roman" w:cs="Times New Roman"/>
          <w:color w:val="000000" w:themeColor="text1"/>
          <w:sz w:val="24"/>
          <w:szCs w:val="24"/>
        </w:rPr>
        <w:t xml:space="preserve"> lectin II (GSII), which binds only to non-reducing Glc</w:t>
      </w:r>
      <w:r w:rsidRPr="00665220">
        <w:rPr>
          <w:rFonts w:ascii="Times New Roman" w:hAnsi="Times New Roman" w:cs="Times New Roman"/>
          <w:i/>
          <w:color w:val="000000" w:themeColor="text1"/>
          <w:sz w:val="24"/>
          <w:szCs w:val="24"/>
        </w:rPr>
        <w:t>N</w:t>
      </w:r>
      <w:r w:rsidRPr="00C00F77">
        <w:rPr>
          <w:rFonts w:ascii="Times New Roman" w:hAnsi="Times New Roman" w:cs="Times New Roman"/>
          <w:color w:val="000000" w:themeColor="text1"/>
          <w:sz w:val="24"/>
          <w:szCs w:val="24"/>
        </w:rPr>
        <w:t>Ac termini</w:t>
      </w:r>
      <w:r>
        <w:rPr>
          <w:rFonts w:ascii="Times New Roman" w:hAnsi="Times New Roman" w:cs="Times New Roman"/>
          <w:color w:val="000000" w:themeColor="text1"/>
          <w:sz w:val="24"/>
          <w:szCs w:val="24"/>
        </w:rPr>
        <w:t xml:space="preserve"> (Chapter 2.15.3)</w:t>
      </w:r>
      <w:r w:rsidRPr="00C00F77">
        <w:rPr>
          <w:rFonts w:ascii="Times New Roman" w:hAnsi="Times New Roman" w:cs="Times New Roman"/>
          <w:color w:val="000000" w:themeColor="text1"/>
          <w:sz w:val="24"/>
          <w:szCs w:val="24"/>
        </w:rPr>
        <w:t>. A fluorescent signal due to binding of GSII-Alex</w:t>
      </w:r>
      <w:r>
        <w:rPr>
          <w:rFonts w:ascii="Times New Roman" w:hAnsi="Times New Roman" w:cs="Times New Roman"/>
          <w:color w:val="000000" w:themeColor="text1"/>
          <w:sz w:val="24"/>
          <w:szCs w:val="24"/>
        </w:rPr>
        <w:t>a</w:t>
      </w:r>
      <w:r w:rsidRPr="00C00F77">
        <w:rPr>
          <w:rFonts w:ascii="Times New Roman" w:hAnsi="Times New Roman" w:cs="Times New Roman"/>
          <w:color w:val="000000" w:themeColor="text1"/>
          <w:sz w:val="24"/>
          <w:szCs w:val="24"/>
        </w:rPr>
        <w:t>Fluor would therefore be strongest in regions of predominantly short glycan chains.</w:t>
      </w:r>
    </w:p>
    <w:p w:rsidR="002D7C9B" w:rsidRPr="00C00F77" w:rsidRDefault="002D7C9B" w:rsidP="002D7C9B">
      <w:pPr>
        <w:spacing w:line="480" w:lineRule="auto"/>
        <w:jc w:val="both"/>
        <w:rPr>
          <w:rFonts w:ascii="Times New Roman" w:hAnsi="Times New Roman" w:cs="Times New Roman"/>
          <w:color w:val="000000" w:themeColor="text1"/>
          <w:sz w:val="24"/>
          <w:szCs w:val="24"/>
        </w:rPr>
      </w:pPr>
      <w:r w:rsidRPr="00C00F77">
        <w:rPr>
          <w:rFonts w:ascii="Times New Roman" w:hAnsi="Times New Roman" w:cs="Times New Roman"/>
          <w:color w:val="000000" w:themeColor="text1"/>
          <w:sz w:val="24"/>
          <w:szCs w:val="24"/>
        </w:rPr>
        <w:t>Ovococcal cell walls labelled uniformly with fluorescent WGA (</w:t>
      </w:r>
      <w:r>
        <w:rPr>
          <w:rFonts w:ascii="Times New Roman" w:hAnsi="Times New Roman" w:cs="Times New Roman"/>
          <w:color w:val="000000" w:themeColor="text1"/>
          <w:sz w:val="24"/>
          <w:szCs w:val="24"/>
        </w:rPr>
        <w:t>Figure 3.6</w:t>
      </w:r>
      <w:r w:rsidRPr="00C00F77">
        <w:rPr>
          <w:rFonts w:ascii="Times New Roman" w:hAnsi="Times New Roman" w:cs="Times New Roman"/>
          <w:color w:val="000000" w:themeColor="text1"/>
          <w:sz w:val="24"/>
          <w:szCs w:val="24"/>
        </w:rPr>
        <w:t>A to C). By contrast, no signal (</w:t>
      </w:r>
      <w:r w:rsidRPr="00C00F77">
        <w:rPr>
          <w:rFonts w:ascii="Times New Roman" w:hAnsi="Times New Roman" w:cs="Times New Roman"/>
          <w:i/>
          <w:color w:val="000000" w:themeColor="text1"/>
          <w:sz w:val="24"/>
          <w:szCs w:val="24"/>
        </w:rPr>
        <w:t>E. faecalis</w:t>
      </w:r>
      <w:r w:rsidRPr="00C00F77">
        <w:rPr>
          <w:rFonts w:ascii="Times New Roman" w:hAnsi="Times New Roman" w:cs="Times New Roman"/>
          <w:color w:val="000000" w:themeColor="text1"/>
          <w:sz w:val="24"/>
          <w:szCs w:val="24"/>
        </w:rPr>
        <w:t xml:space="preserve"> and </w:t>
      </w:r>
      <w:r w:rsidRPr="00C00F77">
        <w:rPr>
          <w:rFonts w:ascii="Times New Roman" w:hAnsi="Times New Roman" w:cs="Times New Roman"/>
          <w:i/>
          <w:color w:val="000000" w:themeColor="text1"/>
          <w:sz w:val="24"/>
          <w:szCs w:val="24"/>
        </w:rPr>
        <w:t xml:space="preserve">L. lactis; </w:t>
      </w:r>
      <w:r>
        <w:rPr>
          <w:rFonts w:ascii="Times New Roman" w:hAnsi="Times New Roman" w:cs="Times New Roman"/>
          <w:color w:val="000000" w:themeColor="text1"/>
          <w:sz w:val="24"/>
          <w:szCs w:val="24"/>
        </w:rPr>
        <w:t>Figure 3.6</w:t>
      </w:r>
      <w:r w:rsidRPr="00C00F77">
        <w:rPr>
          <w:rFonts w:ascii="Times New Roman" w:hAnsi="Times New Roman" w:cs="Times New Roman"/>
          <w:color w:val="000000" w:themeColor="text1"/>
          <w:sz w:val="24"/>
          <w:szCs w:val="24"/>
        </w:rPr>
        <w:t>A and B) or very weak labelling (</w:t>
      </w:r>
      <w:r w:rsidRPr="00C00F77">
        <w:rPr>
          <w:rFonts w:ascii="Times New Roman" w:hAnsi="Times New Roman" w:cs="Times New Roman"/>
          <w:i/>
          <w:color w:val="000000" w:themeColor="text1"/>
          <w:sz w:val="24"/>
          <w:szCs w:val="24"/>
        </w:rPr>
        <w:t xml:space="preserve">S. pneumoniae, </w:t>
      </w:r>
      <w:r>
        <w:rPr>
          <w:rFonts w:ascii="Times New Roman" w:hAnsi="Times New Roman" w:cs="Times New Roman"/>
          <w:color w:val="000000" w:themeColor="text1"/>
          <w:sz w:val="24"/>
          <w:szCs w:val="24"/>
        </w:rPr>
        <w:t>Figure 3.6</w:t>
      </w:r>
      <w:r w:rsidRPr="00C00F77">
        <w:rPr>
          <w:rFonts w:ascii="Times New Roman" w:hAnsi="Times New Roman" w:cs="Times New Roman"/>
          <w:color w:val="000000" w:themeColor="text1"/>
          <w:sz w:val="24"/>
          <w:szCs w:val="24"/>
        </w:rPr>
        <w:t xml:space="preserve">C) was detected using fluorescent GSII. A small number of </w:t>
      </w:r>
      <w:r w:rsidRPr="00C00F77">
        <w:rPr>
          <w:rFonts w:ascii="Times New Roman" w:hAnsi="Times New Roman" w:cs="Times New Roman"/>
          <w:i/>
          <w:iCs/>
          <w:color w:val="000000" w:themeColor="text1"/>
          <w:sz w:val="24"/>
          <w:szCs w:val="24"/>
        </w:rPr>
        <w:t xml:space="preserve">S. pneumoniae </w:t>
      </w:r>
      <w:r w:rsidRPr="00C00F77">
        <w:rPr>
          <w:rFonts w:ascii="Times New Roman" w:hAnsi="Times New Roman" w:cs="Times New Roman"/>
          <w:color w:val="000000" w:themeColor="text1"/>
          <w:sz w:val="24"/>
          <w:szCs w:val="24"/>
        </w:rPr>
        <w:t>cells were strongly labelled due to apparent</w:t>
      </w:r>
      <w:r w:rsidRPr="00C00F77">
        <w:rPr>
          <w:rFonts w:ascii="Arial" w:hAnsi="Arial" w:cs="Arial"/>
          <w:color w:val="000000" w:themeColor="text1"/>
          <w:sz w:val="24"/>
          <w:szCs w:val="24"/>
        </w:rPr>
        <w:t xml:space="preserve"> </w:t>
      </w:r>
      <w:r w:rsidRPr="00C00F77">
        <w:rPr>
          <w:rFonts w:ascii="Times New Roman" w:hAnsi="Times New Roman" w:cs="Times New Roman"/>
          <w:color w:val="000000" w:themeColor="text1"/>
          <w:sz w:val="24"/>
          <w:szCs w:val="24"/>
        </w:rPr>
        <w:t xml:space="preserve">lysis. </w:t>
      </w:r>
      <w:r w:rsidRPr="00C00F77">
        <w:rPr>
          <w:rFonts w:ascii="Times New Roman" w:eastAsia="+mn-ea" w:hAnsi="Times New Roman" w:cs="Times New Roman"/>
          <w:bCs/>
          <w:color w:val="000000" w:themeColor="text1"/>
          <w:sz w:val="24"/>
          <w:szCs w:val="24"/>
        </w:rPr>
        <w:t xml:space="preserve">The labelling pattern in ovococci contrasted with </w:t>
      </w:r>
      <w:r w:rsidRPr="00C00F77">
        <w:rPr>
          <w:rFonts w:ascii="Times New Roman" w:eastAsia="+mn-ea" w:hAnsi="Times New Roman" w:cs="Times New Roman"/>
          <w:bCs/>
          <w:i/>
          <w:color w:val="000000" w:themeColor="text1"/>
          <w:sz w:val="24"/>
          <w:szCs w:val="24"/>
        </w:rPr>
        <w:t>S. aureus</w:t>
      </w:r>
      <w:r w:rsidRPr="00C00F77">
        <w:rPr>
          <w:rFonts w:ascii="Times New Roman" w:eastAsia="+mn-ea" w:hAnsi="Times New Roman" w:cs="Times New Roman"/>
          <w:bCs/>
          <w:color w:val="000000" w:themeColor="text1"/>
          <w:sz w:val="24"/>
          <w:szCs w:val="24"/>
        </w:rPr>
        <w:t xml:space="preserve">, an organism with predominantly short glycan strands. </w:t>
      </w:r>
      <w:r w:rsidRPr="00C00F77">
        <w:rPr>
          <w:rFonts w:ascii="Times New Roman" w:eastAsia="+mn-ea" w:hAnsi="Times New Roman" w:cs="Times New Roman"/>
          <w:bCs/>
          <w:i/>
          <w:color w:val="000000" w:themeColor="text1"/>
          <w:sz w:val="24"/>
          <w:szCs w:val="24"/>
        </w:rPr>
        <w:t>S. aureus</w:t>
      </w:r>
      <w:r w:rsidRPr="00C00F77">
        <w:rPr>
          <w:rFonts w:ascii="Times New Roman" w:eastAsia="+mn-ea" w:hAnsi="Times New Roman" w:cs="Times New Roman"/>
          <w:bCs/>
          <w:color w:val="000000" w:themeColor="text1"/>
          <w:sz w:val="24"/>
          <w:szCs w:val="24"/>
        </w:rPr>
        <w:t xml:space="preserve"> exhibited uniform strong labelling with both WGA and GSII (</w:t>
      </w:r>
      <w:r>
        <w:rPr>
          <w:rFonts w:ascii="Times New Roman" w:eastAsia="+mn-ea" w:hAnsi="Times New Roman" w:cs="Times New Roman"/>
          <w:bCs/>
          <w:color w:val="000000" w:themeColor="text1"/>
          <w:sz w:val="24"/>
          <w:szCs w:val="24"/>
        </w:rPr>
        <w:t>Figure 3.6</w:t>
      </w:r>
      <w:r w:rsidRPr="00C00F77">
        <w:rPr>
          <w:rFonts w:ascii="Times New Roman" w:eastAsia="+mn-ea" w:hAnsi="Times New Roman" w:cs="Times New Roman"/>
          <w:bCs/>
          <w:color w:val="000000" w:themeColor="text1"/>
          <w:sz w:val="24"/>
          <w:szCs w:val="24"/>
        </w:rPr>
        <w:t xml:space="preserve">D). </w:t>
      </w:r>
      <w:r w:rsidRPr="00C00F77">
        <w:rPr>
          <w:rFonts w:ascii="Times New Roman" w:hAnsi="Times New Roman" w:cs="Times New Roman"/>
          <w:color w:val="000000" w:themeColor="text1"/>
          <w:sz w:val="24"/>
          <w:szCs w:val="24"/>
        </w:rPr>
        <w:t xml:space="preserve">This suggests that in ovococci, short glycan chains are not restricted to a specific subcellular localisation, but rather distributed throughout the whole cell wall, as seen previously for </w:t>
      </w:r>
      <w:r w:rsidRPr="00C00F77">
        <w:rPr>
          <w:rFonts w:ascii="Times New Roman" w:hAnsi="Times New Roman" w:cs="Times New Roman"/>
          <w:i/>
          <w:color w:val="000000" w:themeColor="text1"/>
          <w:sz w:val="24"/>
          <w:szCs w:val="24"/>
        </w:rPr>
        <w:t xml:space="preserve">B. subtilis </w:t>
      </w:r>
      <w:r w:rsidRPr="00C00F77">
        <w:rPr>
          <w:rFonts w:ascii="Times New Roman" w:hAnsi="Times New Roman" w:cs="Times New Roman"/>
          <w:i/>
          <w:color w:val="000000" w:themeColor="text1"/>
          <w:sz w:val="24"/>
          <w:szCs w:val="24"/>
        </w:rPr>
        <w:fldChar w:fldCharType="begin"/>
      </w:r>
      <w:r w:rsidRPr="00C00F77">
        <w:rPr>
          <w:rFonts w:ascii="Times New Roman" w:hAnsi="Times New Roman" w:cs="Times New Roman"/>
          <w:i/>
          <w:color w:val="000000" w:themeColor="text1"/>
          <w:sz w:val="24"/>
          <w:szCs w:val="24"/>
        </w:rPr>
        <w:instrText xml:space="preserve"> ADDIN ZOTERO_ITEM CSL_CITATION {"citationID":"hc5krc22a","properties":{"formattedCitation":"(Hayhurst et al., 2008)","plainCitation":"(Hayhurst et al., 2008)"},"citationItems":[{"id":77,"uris":["http://zotero.org/users/944474/items/Z6IUFDEB"],"uri":["http://zotero.org/users/944474/items/Z6IUFDEB"],"itemData":{"id":77,"type":"article-journal","title":"Cell wall peptidoglycan architecture in Bacillus subtilis","container-title":"Proceedings of the National Academy of Sciences of the United States of America","page":"14603-14608","volume":"105","issue":"38","abstract":"The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polymer.","DOI":"10.1073/pnas.0804138105","note":"PMID: 18784364","journalAbbreviation":"Proc. Natl. Acad. Sci. U.S.A.","author":[{"family":"Hayhurst","given":"Emma J"},{"family":"Kailas","given":"Lekshmi"},{"family":"Hobbs","given":"Jamie K"},{"family":"Foster","given":"Simon J"}],"issued":{"year":2008,"month":9,"day":23},"accessed":{"year":2012,"month":3,"day":7}}}],"schema":"https://github.com/citation-style-language/schema/raw/master/csl-citation.json"} </w:instrText>
      </w:r>
      <w:r w:rsidRPr="00C00F77">
        <w:rPr>
          <w:rFonts w:ascii="Times New Roman" w:hAnsi="Times New Roman" w:cs="Times New Roman"/>
          <w:i/>
          <w:color w:val="000000" w:themeColor="text1"/>
          <w:sz w:val="24"/>
          <w:szCs w:val="24"/>
        </w:rPr>
        <w:fldChar w:fldCharType="separate"/>
      </w:r>
      <w:r w:rsidRPr="00C00F77">
        <w:rPr>
          <w:rFonts w:ascii="Times New Roman" w:hAnsi="Times New Roman" w:cs="Times New Roman"/>
          <w:color w:val="000000" w:themeColor="text1"/>
          <w:sz w:val="24"/>
          <w:szCs w:val="21"/>
        </w:rPr>
        <w:t xml:space="preserve">(Hayhurst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2008)</w:t>
      </w:r>
      <w:r w:rsidRPr="00C00F77">
        <w:rPr>
          <w:rFonts w:ascii="Times New Roman" w:hAnsi="Times New Roman" w:cs="Times New Roman"/>
          <w:i/>
          <w:color w:val="000000" w:themeColor="text1"/>
          <w:sz w:val="24"/>
          <w:szCs w:val="24"/>
        </w:rPr>
        <w:fldChar w:fldCharType="end"/>
      </w:r>
      <w:r w:rsidRPr="00C00F77">
        <w:rPr>
          <w:rFonts w:ascii="Times New Roman" w:hAnsi="Times New Roman" w:cs="Times New Roman"/>
          <w:color w:val="000000" w:themeColor="text1"/>
          <w:sz w:val="24"/>
          <w:szCs w:val="24"/>
        </w:rPr>
        <w:t>.</w:t>
      </w:r>
    </w:p>
    <w:p w:rsidR="002D7C9B" w:rsidRPr="00C00F77" w:rsidRDefault="002D7C9B" w:rsidP="002D7C9B">
      <w:pPr>
        <w:spacing w:line="480" w:lineRule="auto"/>
        <w:jc w:val="both"/>
        <w:rPr>
          <w:rFonts w:ascii="Times New Roman" w:hAnsi="Times New Roman" w:cs="Times New Roman"/>
          <w:color w:val="000000" w:themeColor="text1"/>
          <w:sz w:val="24"/>
          <w:szCs w:val="24"/>
        </w:rPr>
      </w:pPr>
    </w:p>
    <w:p w:rsidR="002D7C9B" w:rsidRPr="00C00F77" w:rsidRDefault="002D7C9B" w:rsidP="002D7C9B">
      <w:pPr>
        <w:spacing w:line="480" w:lineRule="auto"/>
        <w:jc w:val="both"/>
        <w:rPr>
          <w:rFonts w:ascii="Times New Roman" w:hAnsi="Times New Roman" w:cs="Times New Roman"/>
          <w:color w:val="000000" w:themeColor="text1"/>
          <w:sz w:val="28"/>
          <w:szCs w:val="28"/>
        </w:rPr>
      </w:pPr>
      <w:r w:rsidRPr="00C00F77">
        <w:rPr>
          <w:rFonts w:ascii="Times New Roman" w:hAnsi="Times New Roman" w:cs="Times New Roman"/>
          <w:color w:val="000000" w:themeColor="text1"/>
          <w:sz w:val="28"/>
          <w:szCs w:val="28"/>
        </w:rPr>
        <w:t>3.2.3</w:t>
      </w:r>
      <w:r w:rsidRPr="00C00F77">
        <w:rPr>
          <w:rFonts w:ascii="Times New Roman" w:hAnsi="Times New Roman" w:cs="Times New Roman"/>
          <w:color w:val="000000" w:themeColor="text1"/>
          <w:sz w:val="28"/>
          <w:szCs w:val="28"/>
        </w:rPr>
        <w:tab/>
      </w:r>
      <w:r w:rsidRPr="00C00F77">
        <w:rPr>
          <w:rFonts w:ascii="Times New Roman" w:hAnsi="Times New Roman" w:cs="Times New Roman"/>
          <w:color w:val="000000" w:themeColor="text1"/>
          <w:sz w:val="28"/>
          <w:szCs w:val="28"/>
        </w:rPr>
        <w:tab/>
        <w:t>AFM of ovococcal cell walls containing secondary polymers</w:t>
      </w:r>
    </w:p>
    <w:p w:rsidR="002D7C9B" w:rsidRPr="00C00F77" w:rsidRDefault="002D7C9B" w:rsidP="002D7C9B">
      <w:pPr>
        <w:spacing w:line="480" w:lineRule="auto"/>
        <w:jc w:val="both"/>
        <w:rPr>
          <w:rFonts w:ascii="Times New Roman" w:hAnsi="Times New Roman" w:cs="Times New Roman"/>
          <w:color w:val="000000" w:themeColor="text1"/>
          <w:sz w:val="24"/>
          <w:szCs w:val="24"/>
        </w:rPr>
      </w:pPr>
      <w:r w:rsidRPr="00C00F77">
        <w:rPr>
          <w:rFonts w:ascii="Times New Roman" w:hAnsi="Times New Roman" w:cs="Times New Roman"/>
          <w:color w:val="000000" w:themeColor="text1"/>
          <w:sz w:val="24"/>
          <w:szCs w:val="24"/>
        </w:rPr>
        <w:t xml:space="preserve"> It is possible that covalently bound accessory wall polymers</w:t>
      </w:r>
      <w:r>
        <w:rPr>
          <w:rFonts w:ascii="Times New Roman" w:hAnsi="Times New Roman" w:cs="Times New Roman"/>
          <w:sz w:val="24"/>
          <w:szCs w:val="24"/>
        </w:rPr>
        <w:t xml:space="preserve"> such as teichoic acids and polysaccharides contribute to the architecture of the cell wall. We therefore began by imaging ovococcal cell walls in the presence of these secondary wall structures. </w:t>
      </w:r>
      <w:r w:rsidRPr="00F85800">
        <w:rPr>
          <w:rFonts w:ascii="Times New Roman" w:hAnsi="Times New Roman" w:cs="Times New Roman"/>
          <w:sz w:val="24"/>
          <w:szCs w:val="24"/>
        </w:rPr>
        <w:t xml:space="preserve">To </w:t>
      </w:r>
      <w:r w:rsidRPr="00C00F77">
        <w:rPr>
          <w:rFonts w:ascii="Times New Roman" w:hAnsi="Times New Roman" w:cs="Times New Roman"/>
          <w:color w:val="000000" w:themeColor="text1"/>
          <w:sz w:val="24"/>
          <w:szCs w:val="24"/>
        </w:rPr>
        <w:lastRenderedPageBreak/>
        <w:t xml:space="preserve">characterize whole </w:t>
      </w:r>
      <w:r>
        <w:rPr>
          <w:rFonts w:ascii="Times New Roman" w:hAnsi="Times New Roman" w:cs="Times New Roman"/>
          <w:color w:val="000000" w:themeColor="text1"/>
          <w:sz w:val="24"/>
          <w:szCs w:val="24"/>
        </w:rPr>
        <w:t>extracted cell walls</w:t>
      </w:r>
      <w:r w:rsidRPr="00C00F77">
        <w:rPr>
          <w:rFonts w:ascii="Times New Roman" w:hAnsi="Times New Roman" w:cs="Times New Roman"/>
          <w:color w:val="000000" w:themeColor="text1"/>
          <w:sz w:val="24"/>
          <w:szCs w:val="24"/>
        </w:rPr>
        <w:t xml:space="preserve"> by AFM, cells were gently broken to release the cytoplasmic contents, facilitating imaging of flattened sacculi (Chapter 2.1</w:t>
      </w:r>
      <w:r>
        <w:rPr>
          <w:rFonts w:ascii="Times New Roman" w:hAnsi="Times New Roman" w:cs="Times New Roman"/>
          <w:color w:val="000000" w:themeColor="text1"/>
          <w:sz w:val="24"/>
          <w:szCs w:val="24"/>
        </w:rPr>
        <w:t>4</w:t>
      </w:r>
      <w:r w:rsidRPr="00C00F77">
        <w:rPr>
          <w:rFonts w:ascii="Times New Roman" w:hAnsi="Times New Roman" w:cs="Times New Roman"/>
          <w:color w:val="000000" w:themeColor="text1"/>
          <w:sz w:val="24"/>
          <w:szCs w:val="24"/>
        </w:rPr>
        <w:t>.1). Non-covalently bound components were then extracted by boiling cells in SDS and covalently bound proteins were removed by protease treatment (Chapter 2.</w:t>
      </w:r>
      <w:r>
        <w:rPr>
          <w:rFonts w:ascii="Times New Roman" w:hAnsi="Times New Roman" w:cs="Times New Roman"/>
          <w:color w:val="000000" w:themeColor="text1"/>
          <w:sz w:val="24"/>
          <w:szCs w:val="24"/>
        </w:rPr>
        <w:t>14</w:t>
      </w:r>
      <w:r w:rsidRPr="00C00F77">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3</w:t>
      </w:r>
      <w:r w:rsidRPr="00C00F7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Extracted cell walls</w:t>
      </w:r>
      <w:r w:rsidRPr="00C00F77">
        <w:rPr>
          <w:rFonts w:ascii="Times New Roman" w:hAnsi="Times New Roman" w:cs="Times New Roman"/>
          <w:color w:val="000000" w:themeColor="text1"/>
          <w:sz w:val="24"/>
          <w:szCs w:val="24"/>
        </w:rPr>
        <w:t xml:space="preserve"> were dried onto a mica sheet and imaged in ‘tapping mode’ under ambient conditions (Chapter 2.</w:t>
      </w:r>
      <w:r>
        <w:rPr>
          <w:rFonts w:ascii="Times New Roman" w:hAnsi="Times New Roman" w:cs="Times New Roman"/>
          <w:color w:val="000000" w:themeColor="text1"/>
          <w:sz w:val="24"/>
          <w:szCs w:val="24"/>
        </w:rPr>
        <w:t xml:space="preserve">14.5 and </w:t>
      </w:r>
      <w:r w:rsidRPr="00C00F77">
        <w:rPr>
          <w:rFonts w:ascii="Times New Roman" w:hAnsi="Times New Roman" w:cs="Times New Roman"/>
          <w:color w:val="000000" w:themeColor="text1"/>
          <w:sz w:val="24"/>
          <w:szCs w:val="24"/>
        </w:rPr>
        <w:t>2.15.</w:t>
      </w:r>
      <w:r>
        <w:rPr>
          <w:rFonts w:ascii="Times New Roman" w:hAnsi="Times New Roman" w:cs="Times New Roman"/>
          <w:color w:val="000000" w:themeColor="text1"/>
          <w:sz w:val="24"/>
          <w:szCs w:val="24"/>
        </w:rPr>
        <w:t>8</w:t>
      </w:r>
      <w:r w:rsidRPr="00C00F77">
        <w:rPr>
          <w:rFonts w:ascii="Times New Roman" w:hAnsi="Times New Roman" w:cs="Times New Roman"/>
          <w:color w:val="000000" w:themeColor="text1"/>
          <w:sz w:val="24"/>
          <w:szCs w:val="24"/>
        </w:rPr>
        <w:t>).</w:t>
      </w:r>
    </w:p>
    <w:p w:rsidR="002D7C9B" w:rsidRPr="00C00F77" w:rsidRDefault="002D7C9B" w:rsidP="002D7C9B">
      <w:pPr>
        <w:spacing w:line="480" w:lineRule="auto"/>
        <w:jc w:val="both"/>
        <w:rPr>
          <w:rFonts w:ascii="Times New Roman" w:eastAsia="Calibri" w:hAnsi="Times New Roman" w:cs="Times New Roman"/>
          <w:color w:val="000000" w:themeColor="text1"/>
          <w:sz w:val="24"/>
          <w:szCs w:val="24"/>
        </w:rPr>
      </w:pPr>
      <w:r>
        <w:rPr>
          <w:rFonts w:ascii="Times New Roman" w:hAnsi="Times New Roman" w:cs="Times New Roman"/>
          <w:color w:val="000000" w:themeColor="text1"/>
          <w:sz w:val="24"/>
          <w:szCs w:val="24"/>
        </w:rPr>
        <w:t>Extracted cell walls</w:t>
      </w:r>
      <w:r w:rsidRPr="00C00F77">
        <w:rPr>
          <w:rFonts w:ascii="Times New Roman" w:hAnsi="Times New Roman" w:cs="Times New Roman"/>
          <w:color w:val="000000" w:themeColor="text1"/>
          <w:sz w:val="24"/>
          <w:szCs w:val="24"/>
        </w:rPr>
        <w:t xml:space="preserve"> retained the overall morphological characteristics of the cell (</w:t>
      </w:r>
      <w:r>
        <w:rPr>
          <w:rFonts w:ascii="Times New Roman" w:hAnsi="Times New Roman" w:cs="Times New Roman"/>
          <w:color w:val="000000" w:themeColor="text1"/>
          <w:sz w:val="24"/>
          <w:szCs w:val="24"/>
        </w:rPr>
        <w:t>Figure 3.7</w:t>
      </w:r>
      <w:r w:rsidRPr="00C00F77">
        <w:rPr>
          <w:rFonts w:ascii="Times New Roman" w:hAnsi="Times New Roman" w:cs="Times New Roman"/>
          <w:color w:val="000000" w:themeColor="text1"/>
          <w:sz w:val="24"/>
          <w:szCs w:val="24"/>
        </w:rPr>
        <w:t xml:space="preserve">). Cell morphology and cell dimensions appeared most similar between </w:t>
      </w:r>
      <w:r w:rsidRPr="00C00F77">
        <w:rPr>
          <w:rFonts w:ascii="Times New Roman" w:hAnsi="Times New Roman" w:cs="Times New Roman"/>
          <w:i/>
          <w:iCs/>
          <w:color w:val="000000" w:themeColor="text1"/>
          <w:sz w:val="24"/>
          <w:szCs w:val="24"/>
        </w:rPr>
        <w:t xml:space="preserve">S. pneumoniae </w:t>
      </w:r>
      <w:r w:rsidRPr="00C00F77">
        <w:rPr>
          <w:rFonts w:ascii="Times New Roman" w:hAnsi="Times New Roman" w:cs="Times New Roman"/>
          <w:color w:val="000000" w:themeColor="text1"/>
          <w:sz w:val="24"/>
          <w:szCs w:val="24"/>
        </w:rPr>
        <w:t xml:space="preserve">and </w:t>
      </w:r>
      <w:r w:rsidRPr="00C00F77">
        <w:rPr>
          <w:rFonts w:ascii="Times New Roman" w:hAnsi="Times New Roman" w:cs="Times New Roman"/>
          <w:i/>
          <w:iCs/>
          <w:color w:val="000000" w:themeColor="text1"/>
          <w:sz w:val="24"/>
          <w:szCs w:val="24"/>
        </w:rPr>
        <w:t>L. lactis</w:t>
      </w:r>
      <w:r w:rsidRPr="00C00F77">
        <w:rPr>
          <w:rFonts w:ascii="Times New Roman" w:hAnsi="Times New Roman" w:cs="Times New Roman"/>
          <w:iCs/>
          <w:color w:val="000000" w:themeColor="text1"/>
          <w:sz w:val="24"/>
          <w:szCs w:val="24"/>
        </w:rPr>
        <w:t xml:space="preserve"> (</w:t>
      </w:r>
      <w:r>
        <w:rPr>
          <w:rFonts w:ascii="Times New Roman" w:hAnsi="Times New Roman" w:cs="Times New Roman"/>
          <w:color w:val="000000" w:themeColor="text1"/>
          <w:sz w:val="24"/>
          <w:szCs w:val="24"/>
        </w:rPr>
        <w:t>Figure 3.8</w:t>
      </w:r>
      <w:r w:rsidRPr="00C00F77">
        <w:rPr>
          <w:rFonts w:ascii="Times New Roman" w:hAnsi="Times New Roman" w:cs="Times New Roman"/>
          <w:color w:val="000000" w:themeColor="text1"/>
          <w:sz w:val="24"/>
          <w:szCs w:val="24"/>
        </w:rPr>
        <w:t>A-C)</w:t>
      </w:r>
      <w:r w:rsidRPr="00C00F77">
        <w:rPr>
          <w:rFonts w:ascii="Times New Roman" w:hAnsi="Times New Roman" w:cs="Times New Roman"/>
          <w:i/>
          <w:iCs/>
          <w:color w:val="000000" w:themeColor="text1"/>
          <w:sz w:val="24"/>
          <w:szCs w:val="24"/>
        </w:rPr>
        <w:t xml:space="preserve">, </w:t>
      </w:r>
      <w:r w:rsidRPr="00C00F77">
        <w:rPr>
          <w:rFonts w:ascii="Times New Roman" w:hAnsi="Times New Roman" w:cs="Times New Roman"/>
          <w:color w:val="000000" w:themeColor="text1"/>
          <w:sz w:val="24"/>
          <w:szCs w:val="24"/>
        </w:rPr>
        <w:t xml:space="preserve">which were more elongated at the peripheral wall than </w:t>
      </w:r>
      <w:r w:rsidRPr="00C00F77">
        <w:rPr>
          <w:rFonts w:ascii="Times New Roman" w:hAnsi="Times New Roman" w:cs="Times New Roman"/>
          <w:i/>
          <w:iCs/>
          <w:color w:val="000000" w:themeColor="text1"/>
          <w:sz w:val="24"/>
          <w:szCs w:val="24"/>
        </w:rPr>
        <w:t xml:space="preserve">E. faecalis </w:t>
      </w:r>
      <w:r w:rsidRPr="00C00F77">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Figure 3.8</w:t>
      </w:r>
      <w:r w:rsidRPr="00C00F77">
        <w:rPr>
          <w:rFonts w:ascii="Times New Roman" w:hAnsi="Times New Roman" w:cs="Times New Roman"/>
          <w:color w:val="000000" w:themeColor="text1"/>
          <w:sz w:val="24"/>
          <w:szCs w:val="24"/>
        </w:rPr>
        <w:t xml:space="preserve">D). </w:t>
      </w:r>
      <w:r>
        <w:rPr>
          <w:rFonts w:ascii="Times New Roman" w:eastAsia="Calibri" w:hAnsi="Times New Roman" w:cs="Times New Roman"/>
          <w:color w:val="000000" w:themeColor="text1"/>
          <w:sz w:val="24"/>
          <w:szCs w:val="24"/>
        </w:rPr>
        <w:t>Extracted cell walls</w:t>
      </w:r>
      <w:r w:rsidRPr="00C00F77">
        <w:rPr>
          <w:rFonts w:ascii="Times New Roman" w:eastAsia="Calibri" w:hAnsi="Times New Roman" w:cs="Times New Roman"/>
          <w:color w:val="000000" w:themeColor="text1"/>
          <w:sz w:val="24"/>
          <w:szCs w:val="24"/>
        </w:rPr>
        <w:t xml:space="preserve"> of all the ovococci appeared extremely smooth suggesting either the absence of order to the nanoscale architecture, or that the peptidoglycan architecture is obscured by the presence of covalently bound wall polymers (</w:t>
      </w:r>
      <w:r>
        <w:rPr>
          <w:rFonts w:ascii="Times New Roman" w:eastAsia="Calibri" w:hAnsi="Times New Roman" w:cs="Times New Roman"/>
          <w:color w:val="000000" w:themeColor="text1"/>
          <w:sz w:val="24"/>
          <w:szCs w:val="24"/>
        </w:rPr>
        <w:t>Figure 3.8</w:t>
      </w:r>
      <w:r w:rsidRPr="00C00F77">
        <w:rPr>
          <w:rFonts w:ascii="Times New Roman" w:eastAsia="Calibri" w:hAnsi="Times New Roman" w:cs="Times New Roman"/>
          <w:color w:val="000000" w:themeColor="text1"/>
          <w:sz w:val="24"/>
          <w:szCs w:val="24"/>
        </w:rPr>
        <w:t>). In all cases annular features associated with growth and division, namely septa and equatorial rings, were observed. These are discussed in more detail in Chapter 3.2.4.</w:t>
      </w:r>
    </w:p>
    <w:p w:rsidR="002D7C9B" w:rsidRDefault="002D7C9B" w:rsidP="002D7C9B">
      <w:pPr>
        <w:autoSpaceDE w:val="0"/>
        <w:autoSpaceDN w:val="0"/>
        <w:adjustRightInd w:val="0"/>
        <w:spacing w:after="120" w:line="480" w:lineRule="auto"/>
        <w:jc w:val="both"/>
        <w:rPr>
          <w:rFonts w:ascii="Times New Roman" w:hAnsi="Times New Roman" w:cs="Times New Roman"/>
          <w:sz w:val="24"/>
          <w:szCs w:val="24"/>
          <w:lang w:val="en-US"/>
        </w:rPr>
      </w:pPr>
      <w:r w:rsidRPr="00C00F77">
        <w:rPr>
          <w:rFonts w:ascii="Times New Roman" w:hAnsi="Times New Roman" w:cs="Times New Roman"/>
          <w:color w:val="000000" w:themeColor="text1"/>
          <w:sz w:val="24"/>
          <w:szCs w:val="24"/>
          <w:lang w:val="en-US"/>
        </w:rPr>
        <w:t xml:space="preserve">Thickness measurements of dried </w:t>
      </w:r>
      <w:r>
        <w:rPr>
          <w:rFonts w:ascii="Times New Roman" w:hAnsi="Times New Roman" w:cs="Times New Roman"/>
          <w:color w:val="000000" w:themeColor="text1"/>
          <w:sz w:val="24"/>
          <w:szCs w:val="24"/>
          <w:lang w:val="en-US"/>
        </w:rPr>
        <w:t>extracted cell walls</w:t>
      </w:r>
      <w:r w:rsidRPr="00C00F77">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Figure 3.9</w:t>
      </w:r>
      <w:r w:rsidRPr="00C00F77">
        <w:rPr>
          <w:rFonts w:ascii="Times New Roman" w:hAnsi="Times New Roman" w:cs="Times New Roman"/>
          <w:color w:val="000000" w:themeColor="text1"/>
          <w:sz w:val="24"/>
          <w:szCs w:val="24"/>
          <w:lang w:val="en-US"/>
        </w:rPr>
        <w:t xml:space="preserve">, blue bars) revealed that the average single leaf thickness was similar between </w:t>
      </w:r>
      <w:r w:rsidRPr="00C00F77">
        <w:rPr>
          <w:rFonts w:ascii="Times New Roman" w:hAnsi="Times New Roman" w:cs="Times New Roman"/>
          <w:i/>
          <w:color w:val="000000" w:themeColor="text1"/>
          <w:sz w:val="24"/>
          <w:szCs w:val="24"/>
          <w:lang w:val="en-US"/>
        </w:rPr>
        <w:t>E. faecalis</w:t>
      </w:r>
      <w:r w:rsidRPr="00C00F77">
        <w:rPr>
          <w:rFonts w:ascii="Times New Roman" w:hAnsi="Times New Roman" w:cs="Times New Roman"/>
          <w:color w:val="000000" w:themeColor="text1"/>
          <w:sz w:val="24"/>
          <w:szCs w:val="24"/>
          <w:lang w:val="en-US"/>
        </w:rPr>
        <w:t xml:space="preserve"> JH2-2 (14.2 nm ± 1.5 nm, n=22) and </w:t>
      </w:r>
      <w:r w:rsidRPr="00C00F77">
        <w:rPr>
          <w:rFonts w:ascii="Times New Roman" w:hAnsi="Times New Roman" w:cs="Times New Roman"/>
          <w:i/>
          <w:color w:val="000000" w:themeColor="text1"/>
          <w:sz w:val="24"/>
          <w:szCs w:val="24"/>
          <w:lang w:val="en-US"/>
        </w:rPr>
        <w:t>L. lactis</w:t>
      </w:r>
      <w:r w:rsidRPr="00C00F77">
        <w:rPr>
          <w:rFonts w:ascii="Times New Roman" w:hAnsi="Times New Roman" w:cs="Times New Roman"/>
          <w:color w:val="000000" w:themeColor="text1"/>
          <w:sz w:val="24"/>
          <w:szCs w:val="24"/>
          <w:lang w:val="en-US"/>
        </w:rPr>
        <w:t xml:space="preserve"> MG1363 (13.5 nm ± 1.5 nm, n=37). </w:t>
      </w:r>
      <w:r w:rsidRPr="00C00F77">
        <w:rPr>
          <w:rFonts w:ascii="Times New Roman" w:hAnsi="Times New Roman" w:cs="Times New Roman"/>
          <w:i/>
          <w:color w:val="000000" w:themeColor="text1"/>
          <w:sz w:val="24"/>
          <w:szCs w:val="24"/>
          <w:lang w:val="en-US"/>
        </w:rPr>
        <w:t>L. lactis</w:t>
      </w:r>
      <w:r w:rsidRPr="00C00F77">
        <w:rPr>
          <w:rFonts w:ascii="Times New Roman" w:hAnsi="Times New Roman" w:cs="Times New Roman"/>
          <w:color w:val="000000" w:themeColor="text1"/>
          <w:sz w:val="24"/>
          <w:szCs w:val="24"/>
          <w:lang w:val="en-US"/>
        </w:rPr>
        <w:t xml:space="preserve"> VES5751, </w:t>
      </w:r>
      <w:r w:rsidRPr="00C00F77">
        <w:rPr>
          <w:rFonts w:ascii="Times New Roman" w:eastAsia="+mn-ea" w:hAnsi="Times New Roman" w:cs="Times New Roman"/>
          <w:bCs/>
          <w:color w:val="000000" w:themeColor="text1"/>
          <w:sz w:val="24"/>
          <w:szCs w:val="24"/>
        </w:rPr>
        <w:t>a wall polysaccharide mutant derivative of MG1363</w:t>
      </w:r>
      <w:r w:rsidRPr="00E47CEB">
        <w:rPr>
          <w:rFonts w:ascii="Times New Roman" w:eastAsia="+mn-ea" w:hAnsi="Times New Roman" w:cs="Times New Roman"/>
          <w:bCs/>
          <w:sz w:val="24"/>
          <w:szCs w:val="24"/>
        </w:rPr>
        <w:t xml:space="preserve"> </w:t>
      </w:r>
      <w:r>
        <w:rPr>
          <w:rFonts w:ascii="Times New Roman" w:eastAsia="+mn-ea" w:hAnsi="Times New Roman" w:cs="Times New Roman"/>
          <w:bCs/>
          <w:sz w:val="24"/>
          <w:szCs w:val="24"/>
        </w:rPr>
        <w:fldChar w:fldCharType="begin"/>
      </w:r>
      <w:r>
        <w:rPr>
          <w:rFonts w:ascii="Times New Roman" w:eastAsia="+mn-ea" w:hAnsi="Times New Roman" w:cs="Times New Roman"/>
          <w:bCs/>
          <w:sz w:val="24"/>
          <w:szCs w:val="24"/>
        </w:rPr>
        <w:instrText xml:space="preserve"> ADDIN ZOTERO_ITEM CSL_CITATION {"citationID":"2q3qg4c8uc","properties":{"formattedCitation":"(Chapot-Chartier et al., 2010)","plainCitation":"(Chapot-Chartier et al., 2010)"},"citationItems":[{"id":100,"uris":["http://zotero.org/users/944474/items/29C2CKP4"],"uri":["http://zotero.org/users/944474/items/29C2CKP4"],"itemData":{"id":100,"type":"article-journal","title":"Cell surface of Lactococcus lactis is covered by a protective polysaccharide pellicle","container-title":"The Journal of Biological Chemistry","page":"10464-10471","volume":"285","issue":"14","abstract":"In Gram-positive bacteria, the functional role of surface polysaccharides (PS) that are not of capsular nature remains poorly understood. Here, we report the presence of a novel cell wall PS pellicle on the surface of Lactococcus lactis. Spontaneous PS-negative mutants were selected using semi-liquid growth conditions, and all mutations were mapped in a single chromosomal locus coding for PS biosynthesis. PS molecules were shown to be composed of hexasaccharide phosphate repeating units that are distinct from other bacterial PS. Using complementary atomic force and transmission electron microscopy techniques, we showed that the PS layer forms an outer pellicle surrounding the cell. Notably, we found that this cell wall layer confers a protective barrier against host phagocytosis by murine macrophages. Altogether, our results suggest that the PS pellicle could represent a new cell envelope structural component of Gram-positive bacteria.","DOI":"10.1074/jbc.M109.082958","note":"PMID: 20106971","journalAbbreviation":"J. Biol. Chem.","author":[{"family":"Chapot-Chartier","given":"Marie-Pierre"},{"family":"Vinogradov","given":"Evgeny"},{"family":"Sadovskaya","given":"Irina"},{"family":"Andre","given":"Guillaume"},{"family":"Mistou","given":"Michel-Yves"},{"family":"Trieu-Cuot","given":"Patrick"},{"family":"Furlan","given":"Sylviane"},{"family":"Bidnenko","given":"Elena"},{"family":"Courtin","given":"Pascal"},{"family":"Péchoux","given":"Christine"},{"family":"Hols","given":"Pascal"},{"family":"Dufrêne","given":"Yves F"},{"family":"Kulakauskas","given":"Saulius"}],"issued":{"year":2010,"month":4,"day":2},"accessed":{"year":2012,"month":4,"day":2}}}],"schema":"https://github.com/citation-style-language/schema/raw/master/csl-citation.json"} </w:instrText>
      </w:r>
      <w:r>
        <w:rPr>
          <w:rFonts w:ascii="Times New Roman" w:eastAsia="+mn-ea" w:hAnsi="Times New Roman" w:cs="Times New Roman"/>
          <w:bCs/>
          <w:sz w:val="24"/>
          <w:szCs w:val="24"/>
        </w:rPr>
        <w:fldChar w:fldCharType="separate"/>
      </w:r>
      <w:r w:rsidRPr="009E4471">
        <w:rPr>
          <w:rFonts w:ascii="Times New Roman" w:hAnsi="Times New Roman" w:cs="Times New Roman"/>
          <w:sz w:val="24"/>
          <w:szCs w:val="21"/>
        </w:rPr>
        <w:t xml:space="preserve">(Chapot-Chartier </w:t>
      </w:r>
      <w:r w:rsidRPr="00294AE4">
        <w:rPr>
          <w:rFonts w:ascii="Times New Roman" w:hAnsi="Times New Roman" w:cs="Times New Roman"/>
          <w:i/>
          <w:sz w:val="24"/>
          <w:szCs w:val="21"/>
        </w:rPr>
        <w:t>et al</w:t>
      </w:r>
      <w:r w:rsidRPr="009E4471">
        <w:rPr>
          <w:rFonts w:ascii="Times New Roman" w:hAnsi="Times New Roman" w:cs="Times New Roman"/>
          <w:sz w:val="24"/>
          <w:szCs w:val="21"/>
        </w:rPr>
        <w:t>., 2010)</w:t>
      </w:r>
      <w:r>
        <w:rPr>
          <w:rFonts w:ascii="Times New Roman" w:eastAsia="+mn-ea" w:hAnsi="Times New Roman" w:cs="Times New Roman"/>
          <w:bCs/>
          <w:sz w:val="24"/>
          <w:szCs w:val="24"/>
        </w:rPr>
        <w:fldChar w:fldCharType="end"/>
      </w:r>
      <w:r w:rsidRPr="00E47CEB">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was included in the study to ensure that the observed cell wall architecture was not due to the retention of capsular material. VES5751 </w:t>
      </w:r>
      <w:r w:rsidRPr="00E47CEB">
        <w:rPr>
          <w:rFonts w:ascii="Times New Roman" w:hAnsi="Times New Roman" w:cs="Times New Roman"/>
          <w:sz w:val="24"/>
          <w:szCs w:val="24"/>
          <w:lang w:val="en-US"/>
        </w:rPr>
        <w:t>was not significantly thinner than the parental strain (12.6 nm ± 1.2 nm, n=19), suggesting a minor contribution to average wall thickness by the polysaccharide layer. The average leaf thickness</w:t>
      </w:r>
      <w:r w:rsidRPr="00E47CEB">
        <w:rPr>
          <w:rFonts w:ascii="Times New Roman" w:hAnsi="Times New Roman" w:cs="Times New Roman"/>
          <w:i/>
          <w:sz w:val="24"/>
          <w:szCs w:val="24"/>
          <w:lang w:val="en-US"/>
        </w:rPr>
        <w:t xml:space="preserve"> </w:t>
      </w:r>
      <w:r w:rsidRPr="00E47CEB">
        <w:rPr>
          <w:rFonts w:ascii="Times New Roman" w:hAnsi="Times New Roman" w:cs="Times New Roman"/>
          <w:sz w:val="24"/>
          <w:szCs w:val="24"/>
          <w:lang w:val="en-US"/>
        </w:rPr>
        <w:t xml:space="preserve">of </w:t>
      </w:r>
      <w:r w:rsidRPr="00E47CEB">
        <w:rPr>
          <w:rFonts w:ascii="Times New Roman" w:hAnsi="Times New Roman" w:cs="Times New Roman"/>
          <w:i/>
          <w:sz w:val="24"/>
          <w:szCs w:val="24"/>
          <w:lang w:val="en-US"/>
        </w:rPr>
        <w:t xml:space="preserve">S. pneumoniae </w:t>
      </w:r>
      <w:r w:rsidRPr="00E47CEB">
        <w:rPr>
          <w:rFonts w:ascii="Times New Roman" w:hAnsi="Times New Roman" w:cs="Times New Roman"/>
          <w:sz w:val="24"/>
          <w:szCs w:val="24"/>
          <w:lang w:val="en-US"/>
        </w:rPr>
        <w:t>R6</w:t>
      </w:r>
      <w:r w:rsidRPr="00E47CEB">
        <w:rPr>
          <w:rFonts w:ascii="Times New Roman" w:hAnsi="Times New Roman" w:cs="Times New Roman"/>
          <w:i/>
          <w:sz w:val="24"/>
          <w:szCs w:val="24"/>
          <w:lang w:val="en-US"/>
        </w:rPr>
        <w:t xml:space="preserve"> </w:t>
      </w:r>
      <w:r w:rsidRPr="00E47CEB">
        <w:rPr>
          <w:rFonts w:ascii="Times New Roman" w:hAnsi="Times New Roman" w:cs="Times New Roman"/>
          <w:sz w:val="24"/>
          <w:szCs w:val="24"/>
          <w:lang w:val="en-US"/>
        </w:rPr>
        <w:t>was surprisingly thin at just 7.1 nm ± 0.7 nm (n=22)</w:t>
      </w:r>
    </w:p>
    <w:p w:rsidR="002D7C9B" w:rsidRDefault="002D7C9B" w:rsidP="002D7C9B">
      <w:pPr>
        <w:spacing w:line="360" w:lineRule="auto"/>
        <w:ind w:left="1418" w:hanging="1418"/>
        <w:jc w:val="both"/>
        <w:rPr>
          <w:rFonts w:ascii="Times New Roman" w:hAnsi="Times New Roman" w:cs="Times New Roman"/>
          <w:sz w:val="28"/>
          <w:szCs w:val="28"/>
        </w:rPr>
      </w:pPr>
      <w:r>
        <w:rPr>
          <w:rFonts w:ascii="Times New Roman" w:hAnsi="Times New Roman" w:cs="Times New Roman"/>
          <w:sz w:val="28"/>
          <w:szCs w:val="28"/>
        </w:rPr>
        <w:lastRenderedPageBreak/>
        <w:t>3.2.4</w:t>
      </w:r>
      <w:r>
        <w:rPr>
          <w:rFonts w:ascii="Times New Roman" w:hAnsi="Times New Roman" w:cs="Times New Roman"/>
          <w:sz w:val="28"/>
          <w:szCs w:val="28"/>
        </w:rPr>
        <w:tab/>
      </w:r>
      <w:r>
        <w:rPr>
          <w:rFonts w:ascii="Times New Roman" w:hAnsi="Times New Roman" w:cs="Times New Roman"/>
          <w:sz w:val="28"/>
          <w:szCs w:val="28"/>
        </w:rPr>
        <w:tab/>
        <w:t>Characterisation of ovococcal peptidoglycan architecture by AFM</w:t>
      </w:r>
    </w:p>
    <w:p w:rsidR="002D7C9B" w:rsidRPr="00C00F77" w:rsidRDefault="002D7C9B" w:rsidP="002D7C9B">
      <w:pPr>
        <w:spacing w:before="120" w:after="120" w:line="480" w:lineRule="auto"/>
        <w:jc w:val="both"/>
        <w:rPr>
          <w:rFonts w:ascii="Times New Roman" w:hAnsi="Times New Roman" w:cs="Times New Roman"/>
          <w:color w:val="000000" w:themeColor="text1"/>
          <w:sz w:val="24"/>
          <w:szCs w:val="24"/>
          <w:lang w:val="en-US"/>
        </w:rPr>
      </w:pPr>
      <w:r w:rsidRPr="00D95C4C">
        <w:rPr>
          <w:rFonts w:ascii="Times New Roman" w:hAnsi="Times New Roman" w:cs="Times New Roman"/>
          <w:sz w:val="24"/>
          <w:szCs w:val="24"/>
          <w:lang w:val="en-US"/>
        </w:rPr>
        <w:t xml:space="preserve">Since peptidoglycan is the major structural component of the cell wall, sacculi were further purified to remove all accessory wall polymers covalently anchored to the C6 </w:t>
      </w:r>
      <w:r w:rsidRPr="00C00F77">
        <w:rPr>
          <w:rFonts w:ascii="Times New Roman" w:hAnsi="Times New Roman" w:cs="Times New Roman"/>
          <w:color w:val="000000" w:themeColor="text1"/>
          <w:sz w:val="24"/>
          <w:szCs w:val="24"/>
          <w:lang w:val="en-US"/>
        </w:rPr>
        <w:t>group of MurNAc, including techoic acids. This was achieved by weak acid treatment with hydrofluoric acid (HF), a compound used to hydrolyse the phosphodiester linkage whilst leaving the peptidoglycan structure unaffected (Chapter 2.</w:t>
      </w:r>
      <w:r>
        <w:rPr>
          <w:rFonts w:ascii="Times New Roman" w:hAnsi="Times New Roman" w:cs="Times New Roman"/>
          <w:color w:val="000000" w:themeColor="text1"/>
          <w:sz w:val="24"/>
          <w:szCs w:val="24"/>
          <w:lang w:val="en-US"/>
        </w:rPr>
        <w:t>14</w:t>
      </w:r>
      <w:r w:rsidRPr="00C00F77">
        <w:rPr>
          <w:rFonts w:ascii="Times New Roman" w:hAnsi="Times New Roman" w:cs="Times New Roman"/>
          <w:color w:val="000000" w:themeColor="text1"/>
          <w:sz w:val="24"/>
          <w:szCs w:val="24"/>
          <w:lang w:val="en-US"/>
        </w:rPr>
        <w:t>.</w:t>
      </w:r>
      <w:r>
        <w:rPr>
          <w:rFonts w:ascii="Times New Roman" w:hAnsi="Times New Roman" w:cs="Times New Roman"/>
          <w:color w:val="000000" w:themeColor="text1"/>
          <w:sz w:val="24"/>
          <w:szCs w:val="24"/>
          <w:lang w:val="en-US"/>
        </w:rPr>
        <w:t>4</w:t>
      </w:r>
      <w:r w:rsidRPr="00C00F77">
        <w:rPr>
          <w:rFonts w:ascii="Times New Roman" w:hAnsi="Times New Roman" w:cs="Times New Roman"/>
          <w:color w:val="000000" w:themeColor="text1"/>
          <w:sz w:val="24"/>
          <w:szCs w:val="24"/>
          <w:lang w:val="en-US"/>
        </w:rPr>
        <w:t xml:space="preserve">; </w:t>
      </w:r>
      <w:r w:rsidRPr="00C00F77">
        <w:rPr>
          <w:rFonts w:ascii="Times New Roman" w:hAnsi="Times New Roman" w:cs="Times New Roman"/>
          <w:color w:val="000000" w:themeColor="text1"/>
          <w:sz w:val="24"/>
          <w:szCs w:val="24"/>
          <w:lang w:val="en-US"/>
        </w:rPr>
        <w:fldChar w:fldCharType="begin"/>
      </w:r>
      <w:r w:rsidRPr="00C00F77">
        <w:rPr>
          <w:rFonts w:ascii="Times New Roman" w:hAnsi="Times New Roman" w:cs="Times New Roman"/>
          <w:color w:val="000000" w:themeColor="text1"/>
          <w:sz w:val="24"/>
          <w:szCs w:val="24"/>
          <w:lang w:val="en-US"/>
        </w:rPr>
        <w:instrText xml:space="preserve"> ADDIN ZOTERO_ITEM CSL_CITATION {"citationID":"p8m4oqiau","properties":{"formattedCitation":"(Atrih et al., 1999)","plainCitation":"(Atrih et al., 1999)"},"citationItems":[{"id":106,"uris":["http://zotero.org/users/944474/items/E6ABDSW8"],"uri":["http://zotero.org/users/944474/items/E6ABDSW8"],"itemData":{"id":106,"type":"article-journal","title":"Analysis of peptidoglycan structure from vegetative cells of Bacillus subtilis 168 and role of PBP 5 in peptidoglycan maturation","container-title":"Journal of Bacteriology","page":"3956-3966","volume":"181","issue":"13","abstract":"The composition and fine structure of the vegetative cell wall peptidoglycan from Bacillus subtilis were determined by analysis of its constituent muropeptides. The structures of 39 muropeptides, representing 97% of the total peptidoglycan, were elucidated. About 99% analyzed muropeptides in B. subtilis vegetative cell peptidoglycan have the free carboxylic group of diaminopimelic acid amidated. Anhydromuropeptides and products missing a glucosamine at the nonreducing terminus account for 0.4 and 1.5%, respectively, of the total muropeptides. These two types of muropeptides are suggested to end glycan strands. An unexpected feature of B. subtilis muropeptides was the occurrence of a glycine residue in position 5 of the peptide side chain on monomers or oligomers, which account for 2.7% of the total muropeptides. This amount is, however, dependent on the composition of the growth media. Potential attachment sites for anionic polymers to peptidoglycan occur on dominant muropeptides and account for 2.1% of the total. B. subtilis peptidoglycan is incompletely digested by lysozyme due to de-N-acetylation of glucosamine, which occurs on 17.3% of muropeptides. The cross-linking index of the polymer changes with the growth phase. It is highest in late stationary phase, with a value of 33.2 or 44% per muramic acid residue, as determined by reverse-phase high-pressure liquid chromatography or gel filtration, respectively. Analysis of the muropeptide composition of a dacA (PBP 5) mutant shows a dramatic decrease of muropeptides with tripeptide side chains and an increase or appearance of muropeptides with pentapeptide side chains in monomers or oligomers. The total muropeptides with pentapeptide side chains accounts for almost 82% in the dacA mutant. This major low-molecular-weight PBP (DD-carboxypeptidase) is suggested to play a role in peptidoglycan maturation.","note":"PMID: 10383963","journalAbbreviation":"J. Bacteriol.","author":[{"family":"Atrih","given":"A"},{"family":"Bacher","given":"G"},{"family":"Allmaier","given":"G"},{"family":"Williamson","given":"M P"},{"family":"Foster","given":"S J"}],"issued":{"year":1999,"month":7},"accessed":{"year":2012,"month":4,"day":2}}}],"schema":"https://github.com/citation-style-language/schema/raw/master/csl-citation.json"} </w:instrText>
      </w:r>
      <w:r w:rsidRPr="00C00F77">
        <w:rPr>
          <w:rFonts w:ascii="Times New Roman" w:hAnsi="Times New Roman" w:cs="Times New Roman"/>
          <w:color w:val="000000" w:themeColor="text1"/>
          <w:sz w:val="24"/>
          <w:szCs w:val="24"/>
          <w:lang w:val="en-US"/>
        </w:rPr>
        <w:fldChar w:fldCharType="separate"/>
      </w:r>
      <w:r w:rsidRPr="00C00F77">
        <w:rPr>
          <w:rFonts w:ascii="Times New Roman" w:hAnsi="Times New Roman" w:cs="Times New Roman"/>
          <w:color w:val="000000" w:themeColor="text1"/>
          <w:sz w:val="24"/>
          <w:szCs w:val="21"/>
        </w:rPr>
        <w:t xml:space="preserve">Atrih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1999)</w:t>
      </w:r>
      <w:r w:rsidRPr="00C00F77">
        <w:rPr>
          <w:rFonts w:ascii="Times New Roman" w:hAnsi="Times New Roman" w:cs="Times New Roman"/>
          <w:color w:val="000000" w:themeColor="text1"/>
          <w:sz w:val="24"/>
          <w:szCs w:val="24"/>
          <w:lang w:val="en-US"/>
        </w:rPr>
        <w:fldChar w:fldCharType="end"/>
      </w:r>
      <w:r w:rsidRPr="00C00F77">
        <w:rPr>
          <w:rFonts w:ascii="Times New Roman" w:hAnsi="Times New Roman" w:cs="Times New Roman"/>
          <w:color w:val="000000" w:themeColor="text1"/>
          <w:sz w:val="24"/>
          <w:szCs w:val="24"/>
          <w:lang w:val="en-US"/>
        </w:rPr>
        <w:t>. There was a 28-46% decrease in the average single leaf thickness upon removal of secondary wall polymers by treatment of sacculi with HF (</w:t>
      </w:r>
      <w:r>
        <w:rPr>
          <w:rFonts w:ascii="Times New Roman" w:hAnsi="Times New Roman" w:cs="Times New Roman"/>
          <w:color w:val="000000" w:themeColor="text1"/>
          <w:sz w:val="24"/>
          <w:szCs w:val="24"/>
          <w:lang w:val="en-US"/>
        </w:rPr>
        <w:t>Figure 3.9</w:t>
      </w:r>
      <w:r w:rsidRPr="00C00F77">
        <w:rPr>
          <w:rFonts w:ascii="Times New Roman" w:hAnsi="Times New Roman" w:cs="Times New Roman"/>
          <w:color w:val="000000" w:themeColor="text1"/>
          <w:sz w:val="24"/>
          <w:szCs w:val="24"/>
          <w:lang w:val="en-US"/>
        </w:rPr>
        <w:t>). The average single leaf thickness for HF treated ovococcal cells was found to be 9.4 nm ± 1.0 nm</w:t>
      </w:r>
      <w:r w:rsidRPr="00C00F77">
        <w:rPr>
          <w:rFonts w:ascii="Times New Roman" w:hAnsi="Times New Roman" w:cs="Times New Roman"/>
          <w:i/>
          <w:color w:val="000000" w:themeColor="text1"/>
          <w:sz w:val="24"/>
          <w:szCs w:val="24"/>
          <w:lang w:val="en-US"/>
        </w:rPr>
        <w:t xml:space="preserve"> </w:t>
      </w:r>
      <w:r w:rsidRPr="00C00F77">
        <w:rPr>
          <w:rFonts w:ascii="Times New Roman" w:hAnsi="Times New Roman" w:cs="Times New Roman"/>
          <w:color w:val="000000" w:themeColor="text1"/>
          <w:sz w:val="24"/>
          <w:szCs w:val="24"/>
          <w:lang w:val="en-US"/>
        </w:rPr>
        <w:t xml:space="preserve">for </w:t>
      </w:r>
      <w:r w:rsidRPr="00C00F77">
        <w:rPr>
          <w:rFonts w:ascii="Times New Roman" w:hAnsi="Times New Roman" w:cs="Times New Roman"/>
          <w:i/>
          <w:color w:val="000000" w:themeColor="text1"/>
          <w:sz w:val="24"/>
          <w:szCs w:val="24"/>
          <w:lang w:val="en-US"/>
        </w:rPr>
        <w:t xml:space="preserve">E. faecalis </w:t>
      </w:r>
      <w:r w:rsidRPr="00C00F77">
        <w:rPr>
          <w:rFonts w:ascii="Times New Roman" w:hAnsi="Times New Roman" w:cs="Times New Roman"/>
          <w:color w:val="000000" w:themeColor="text1"/>
          <w:sz w:val="24"/>
          <w:szCs w:val="24"/>
          <w:lang w:val="en-US"/>
        </w:rPr>
        <w:t>JH2-2 (n=41), 9.5 nm ± 1.5 nm</w:t>
      </w:r>
      <w:r w:rsidRPr="00C00F77">
        <w:rPr>
          <w:rFonts w:ascii="Times New Roman" w:hAnsi="Times New Roman" w:cs="Times New Roman"/>
          <w:i/>
          <w:color w:val="000000" w:themeColor="text1"/>
          <w:sz w:val="24"/>
          <w:szCs w:val="24"/>
          <w:lang w:val="en-US"/>
        </w:rPr>
        <w:t xml:space="preserve"> </w:t>
      </w:r>
      <w:r w:rsidRPr="00C00F77">
        <w:rPr>
          <w:rFonts w:ascii="Times New Roman" w:hAnsi="Times New Roman" w:cs="Times New Roman"/>
          <w:color w:val="000000" w:themeColor="text1"/>
          <w:sz w:val="24"/>
          <w:szCs w:val="24"/>
          <w:lang w:val="en-US"/>
        </w:rPr>
        <w:t xml:space="preserve">for </w:t>
      </w:r>
      <w:r w:rsidRPr="00C00F77">
        <w:rPr>
          <w:rFonts w:ascii="Times New Roman" w:hAnsi="Times New Roman" w:cs="Times New Roman"/>
          <w:i/>
          <w:color w:val="000000" w:themeColor="text1"/>
          <w:sz w:val="24"/>
          <w:szCs w:val="24"/>
          <w:lang w:val="en-US"/>
        </w:rPr>
        <w:t xml:space="preserve">L. lactis </w:t>
      </w:r>
      <w:r w:rsidRPr="00C00F77">
        <w:rPr>
          <w:rFonts w:ascii="Times New Roman" w:hAnsi="Times New Roman" w:cs="Times New Roman"/>
          <w:color w:val="000000" w:themeColor="text1"/>
          <w:sz w:val="24"/>
          <w:szCs w:val="24"/>
          <w:lang w:val="en-US"/>
        </w:rPr>
        <w:t>MG1363 (n=75), 6.8 nm ± 2 nm</w:t>
      </w:r>
      <w:r w:rsidRPr="00C00F77">
        <w:rPr>
          <w:rFonts w:ascii="Times New Roman" w:hAnsi="Times New Roman" w:cs="Times New Roman"/>
          <w:i/>
          <w:color w:val="000000" w:themeColor="text1"/>
          <w:sz w:val="24"/>
          <w:szCs w:val="24"/>
          <w:lang w:val="en-US"/>
        </w:rPr>
        <w:t xml:space="preserve"> </w:t>
      </w:r>
      <w:r w:rsidRPr="00C00F77">
        <w:rPr>
          <w:rFonts w:ascii="Times New Roman" w:hAnsi="Times New Roman" w:cs="Times New Roman"/>
          <w:color w:val="000000" w:themeColor="text1"/>
          <w:sz w:val="24"/>
          <w:szCs w:val="24"/>
          <w:lang w:val="en-US"/>
        </w:rPr>
        <w:t xml:space="preserve">for </w:t>
      </w:r>
      <w:r w:rsidRPr="00C00F77">
        <w:rPr>
          <w:rFonts w:ascii="Times New Roman" w:hAnsi="Times New Roman" w:cs="Times New Roman"/>
          <w:i/>
          <w:color w:val="000000" w:themeColor="text1"/>
          <w:sz w:val="24"/>
          <w:szCs w:val="24"/>
          <w:lang w:val="en-US"/>
        </w:rPr>
        <w:t xml:space="preserve">L. lactis </w:t>
      </w:r>
      <w:r w:rsidRPr="00C00F77">
        <w:rPr>
          <w:rFonts w:ascii="Times New Roman" w:hAnsi="Times New Roman" w:cs="Times New Roman"/>
          <w:color w:val="000000" w:themeColor="text1"/>
          <w:sz w:val="24"/>
          <w:szCs w:val="24"/>
          <w:lang w:val="en-US"/>
        </w:rPr>
        <w:t>VES5751 (n=18) and just 4.3 nm ± 0.8 nm</w:t>
      </w:r>
      <w:r w:rsidRPr="00C00F77">
        <w:rPr>
          <w:rFonts w:ascii="Times New Roman" w:hAnsi="Times New Roman" w:cs="Times New Roman"/>
          <w:i/>
          <w:color w:val="000000" w:themeColor="text1"/>
          <w:sz w:val="24"/>
          <w:szCs w:val="24"/>
          <w:lang w:val="en-US"/>
        </w:rPr>
        <w:t xml:space="preserve"> </w:t>
      </w:r>
      <w:r w:rsidRPr="00C00F77">
        <w:rPr>
          <w:rFonts w:ascii="Times New Roman" w:hAnsi="Times New Roman" w:cs="Times New Roman"/>
          <w:color w:val="000000" w:themeColor="text1"/>
          <w:sz w:val="24"/>
          <w:szCs w:val="24"/>
          <w:lang w:val="en-US"/>
        </w:rPr>
        <w:t xml:space="preserve">for </w:t>
      </w:r>
      <w:r w:rsidRPr="00C00F77">
        <w:rPr>
          <w:rFonts w:ascii="Times New Roman" w:hAnsi="Times New Roman" w:cs="Times New Roman"/>
          <w:i/>
          <w:color w:val="000000" w:themeColor="text1"/>
          <w:sz w:val="24"/>
          <w:szCs w:val="24"/>
          <w:lang w:val="en-US"/>
        </w:rPr>
        <w:t>S. pneumoniae</w:t>
      </w:r>
      <w:r w:rsidRPr="00C00F77">
        <w:rPr>
          <w:rFonts w:ascii="Times New Roman" w:hAnsi="Times New Roman" w:cs="Times New Roman"/>
          <w:color w:val="000000" w:themeColor="text1"/>
          <w:sz w:val="24"/>
          <w:szCs w:val="24"/>
          <w:lang w:val="en-US"/>
        </w:rPr>
        <w:t xml:space="preserve"> R6</w:t>
      </w:r>
      <w:r w:rsidRPr="00C00F77">
        <w:rPr>
          <w:rFonts w:ascii="Times New Roman" w:hAnsi="Times New Roman" w:cs="Times New Roman"/>
          <w:i/>
          <w:color w:val="000000" w:themeColor="text1"/>
          <w:sz w:val="24"/>
          <w:szCs w:val="24"/>
          <w:lang w:val="en-US"/>
        </w:rPr>
        <w:t xml:space="preserve"> </w:t>
      </w:r>
      <w:r w:rsidRPr="00C00F77">
        <w:rPr>
          <w:rFonts w:ascii="Times New Roman" w:hAnsi="Times New Roman" w:cs="Times New Roman"/>
          <w:color w:val="000000" w:themeColor="text1"/>
          <w:sz w:val="24"/>
          <w:szCs w:val="24"/>
          <w:lang w:val="en-US"/>
        </w:rPr>
        <w:t>(n=42).</w:t>
      </w:r>
    </w:p>
    <w:p w:rsidR="002D7C9B" w:rsidRPr="00C00F77" w:rsidRDefault="002D7C9B" w:rsidP="002D7C9B">
      <w:pPr>
        <w:spacing w:before="120" w:after="120" w:line="480" w:lineRule="auto"/>
        <w:jc w:val="both"/>
        <w:rPr>
          <w:rFonts w:ascii="Times New Roman" w:hAnsi="Times New Roman" w:cs="Times New Roman"/>
          <w:color w:val="000000" w:themeColor="text1"/>
          <w:sz w:val="24"/>
          <w:szCs w:val="24"/>
          <w:lang w:val="en-US"/>
        </w:rPr>
      </w:pPr>
    </w:p>
    <w:p w:rsidR="002D7C9B" w:rsidRPr="00C00F77" w:rsidRDefault="002D7C9B" w:rsidP="002D7C9B">
      <w:pPr>
        <w:spacing w:after="120" w:line="480" w:lineRule="auto"/>
        <w:jc w:val="both"/>
        <w:rPr>
          <w:rFonts w:ascii="Times New Roman" w:hAnsi="Times New Roman" w:cs="Times New Roman"/>
          <w:color w:val="000000" w:themeColor="text1"/>
          <w:sz w:val="28"/>
          <w:szCs w:val="28"/>
          <w:lang w:val="en-US"/>
        </w:rPr>
      </w:pPr>
      <w:r w:rsidRPr="00C00F77">
        <w:rPr>
          <w:rFonts w:ascii="Times New Roman" w:hAnsi="Times New Roman" w:cs="Times New Roman"/>
          <w:color w:val="000000" w:themeColor="text1"/>
          <w:sz w:val="28"/>
          <w:szCs w:val="28"/>
          <w:lang w:val="en-US"/>
        </w:rPr>
        <w:t xml:space="preserve">3.2.4.1 </w:t>
      </w:r>
      <w:r w:rsidRPr="00C00F77">
        <w:rPr>
          <w:rFonts w:ascii="Times New Roman" w:hAnsi="Times New Roman" w:cs="Times New Roman"/>
          <w:color w:val="000000" w:themeColor="text1"/>
          <w:sz w:val="28"/>
          <w:szCs w:val="28"/>
          <w:lang w:val="en-US"/>
        </w:rPr>
        <w:tab/>
        <w:t>The exterior architecture of purified ovococcal sacculi</w:t>
      </w:r>
    </w:p>
    <w:p w:rsidR="002D7C9B" w:rsidRPr="00C00F77" w:rsidRDefault="002D7C9B" w:rsidP="002D7C9B">
      <w:pPr>
        <w:spacing w:after="120" w:line="480" w:lineRule="auto"/>
        <w:jc w:val="both"/>
        <w:rPr>
          <w:rFonts w:ascii="Times New Roman" w:hAnsi="Times New Roman" w:cs="Times New Roman"/>
          <w:color w:val="000000" w:themeColor="text1"/>
          <w:sz w:val="24"/>
          <w:szCs w:val="24"/>
          <w:lang w:val="en-US"/>
        </w:rPr>
        <w:sectPr w:rsidR="002D7C9B" w:rsidRPr="00C00F77" w:rsidSect="002D7C9B">
          <w:type w:val="continuous"/>
          <w:pgSz w:w="11906" w:h="16838"/>
          <w:pgMar w:top="1440" w:right="1134" w:bottom="1440" w:left="2268" w:header="709" w:footer="709" w:gutter="0"/>
          <w:cols w:space="708"/>
          <w:docGrid w:linePitch="360"/>
        </w:sectPr>
      </w:pPr>
      <w:r w:rsidRPr="00C00F77">
        <w:rPr>
          <w:rFonts w:ascii="Times New Roman" w:hAnsi="Times New Roman" w:cs="Times New Roman"/>
          <w:color w:val="000000" w:themeColor="text1"/>
          <w:sz w:val="24"/>
          <w:szCs w:val="24"/>
          <w:lang w:val="en-US"/>
        </w:rPr>
        <w:t>Even after HF treatment, the sacculus exterior of all three species of ovococcus appeared smooth (</w:t>
      </w:r>
      <w:r>
        <w:rPr>
          <w:rFonts w:ascii="Times New Roman" w:hAnsi="Times New Roman" w:cs="Times New Roman"/>
          <w:color w:val="000000" w:themeColor="text1"/>
          <w:sz w:val="24"/>
          <w:szCs w:val="24"/>
          <w:lang w:val="en-US"/>
        </w:rPr>
        <w:t>Figure 3.10</w:t>
      </w:r>
      <w:r w:rsidRPr="00C00F77">
        <w:rPr>
          <w:rFonts w:ascii="Times New Roman" w:hAnsi="Times New Roman" w:cs="Times New Roman"/>
          <w:color w:val="000000" w:themeColor="text1"/>
          <w:sz w:val="24"/>
          <w:szCs w:val="24"/>
          <w:lang w:val="en-US"/>
        </w:rPr>
        <w:t xml:space="preserve"> and 3.1</w:t>
      </w:r>
      <w:r>
        <w:rPr>
          <w:rFonts w:ascii="Times New Roman" w:hAnsi="Times New Roman" w:cs="Times New Roman"/>
          <w:color w:val="000000" w:themeColor="text1"/>
          <w:sz w:val="24"/>
          <w:szCs w:val="24"/>
          <w:lang w:val="en-US"/>
        </w:rPr>
        <w:t>1</w:t>
      </w:r>
      <w:r w:rsidRPr="00C00F77">
        <w:rPr>
          <w:rFonts w:ascii="Times New Roman" w:hAnsi="Times New Roman" w:cs="Times New Roman"/>
          <w:color w:val="000000" w:themeColor="text1"/>
          <w:sz w:val="24"/>
          <w:szCs w:val="24"/>
          <w:lang w:val="en-US"/>
        </w:rPr>
        <w:t>). However, annular features associated with growth and division (septa and equatorial rings) were more distinct upon HF treatment (</w:t>
      </w:r>
      <w:r>
        <w:rPr>
          <w:rFonts w:ascii="Times New Roman" w:hAnsi="Times New Roman" w:cs="Times New Roman"/>
          <w:color w:val="000000" w:themeColor="text1"/>
          <w:sz w:val="24"/>
          <w:szCs w:val="24"/>
          <w:lang w:val="en-US"/>
        </w:rPr>
        <w:t>Figure 3.11</w:t>
      </w:r>
      <w:r w:rsidRPr="00C00F77">
        <w:rPr>
          <w:rFonts w:ascii="Times New Roman" w:hAnsi="Times New Roman" w:cs="Times New Roman"/>
          <w:color w:val="000000" w:themeColor="text1"/>
          <w:sz w:val="24"/>
          <w:szCs w:val="24"/>
          <w:lang w:val="en-US"/>
        </w:rPr>
        <w:t xml:space="preserve">). In </w:t>
      </w:r>
      <w:r w:rsidRPr="00C00F77">
        <w:rPr>
          <w:rFonts w:ascii="Times New Roman" w:hAnsi="Times New Roman" w:cs="Times New Roman"/>
          <w:i/>
          <w:color w:val="000000" w:themeColor="text1"/>
          <w:sz w:val="24"/>
          <w:szCs w:val="24"/>
          <w:lang w:val="en-US"/>
        </w:rPr>
        <w:t>S. pneumoniae</w:t>
      </w:r>
      <w:r w:rsidRPr="00C00F77">
        <w:rPr>
          <w:rFonts w:ascii="Times New Roman" w:hAnsi="Times New Roman" w:cs="Times New Roman"/>
          <w:color w:val="000000" w:themeColor="text1"/>
          <w:sz w:val="24"/>
          <w:szCs w:val="24"/>
          <w:lang w:val="en-US"/>
        </w:rPr>
        <w:t xml:space="preserve"> a thick rib of peptidoglycan parallel to the short axis of the mid-cell was attributed to the septal cross-wall on the sacculus interior which runs around the upper and lower leaflets as a single continuous ring (</w:t>
      </w:r>
      <w:r>
        <w:rPr>
          <w:rFonts w:ascii="Times New Roman" w:hAnsi="Times New Roman" w:cs="Times New Roman"/>
          <w:color w:val="000000" w:themeColor="text1"/>
          <w:sz w:val="24"/>
          <w:szCs w:val="24"/>
          <w:lang w:val="en-US"/>
        </w:rPr>
        <w:t>Figure 3.11</w:t>
      </w:r>
      <w:r w:rsidRPr="00C00F77">
        <w:rPr>
          <w:rFonts w:ascii="Times New Roman" w:hAnsi="Times New Roman" w:cs="Times New Roman"/>
          <w:color w:val="000000" w:themeColor="text1"/>
          <w:sz w:val="24"/>
          <w:szCs w:val="24"/>
          <w:lang w:val="en-US"/>
        </w:rPr>
        <w:t xml:space="preserve">A). Although such bands were observed in </w:t>
      </w:r>
      <w:r w:rsidRPr="00C00F77">
        <w:rPr>
          <w:rFonts w:ascii="Times New Roman" w:hAnsi="Times New Roman" w:cs="Times New Roman"/>
          <w:i/>
          <w:color w:val="000000" w:themeColor="text1"/>
          <w:sz w:val="24"/>
          <w:szCs w:val="24"/>
          <w:lang w:val="en-US"/>
        </w:rPr>
        <w:t>E. faecalis</w:t>
      </w:r>
      <w:r w:rsidRPr="00C00F77">
        <w:rPr>
          <w:rFonts w:ascii="Times New Roman" w:hAnsi="Times New Roman" w:cs="Times New Roman"/>
          <w:color w:val="000000" w:themeColor="text1"/>
          <w:sz w:val="24"/>
          <w:szCs w:val="24"/>
          <w:lang w:val="en-US"/>
        </w:rPr>
        <w:t xml:space="preserve"> sacculi (</w:t>
      </w:r>
      <w:r>
        <w:rPr>
          <w:rFonts w:ascii="Times New Roman" w:hAnsi="Times New Roman" w:cs="Times New Roman"/>
          <w:color w:val="000000" w:themeColor="text1"/>
          <w:sz w:val="24"/>
          <w:szCs w:val="24"/>
          <w:lang w:val="en-US"/>
        </w:rPr>
        <w:t>Figure 3.11</w:t>
      </w:r>
      <w:r w:rsidRPr="00C00F77">
        <w:rPr>
          <w:rFonts w:ascii="Times New Roman" w:hAnsi="Times New Roman" w:cs="Times New Roman"/>
          <w:color w:val="000000" w:themeColor="text1"/>
          <w:sz w:val="24"/>
          <w:szCs w:val="24"/>
          <w:lang w:val="en-US"/>
        </w:rPr>
        <w:t>D), folds observed across the mid-cell suggested that characteristic flattening of the sacculus was altered to accommodate a more deeply penetrating septal annulus (</w:t>
      </w:r>
      <w:r>
        <w:rPr>
          <w:rFonts w:ascii="Times New Roman" w:hAnsi="Times New Roman" w:cs="Times New Roman"/>
          <w:color w:val="000000" w:themeColor="text1"/>
          <w:sz w:val="24"/>
          <w:szCs w:val="24"/>
          <w:lang w:val="en-US"/>
        </w:rPr>
        <w:t>Figure 3.8</w:t>
      </w:r>
      <w:r w:rsidRPr="00C00F77">
        <w:rPr>
          <w:rFonts w:ascii="Times New Roman" w:hAnsi="Times New Roman" w:cs="Times New Roman"/>
          <w:color w:val="000000" w:themeColor="text1"/>
          <w:sz w:val="24"/>
          <w:szCs w:val="24"/>
          <w:lang w:val="en-US"/>
        </w:rPr>
        <w:t>D)</w:t>
      </w:r>
      <w:r w:rsidRPr="00C00F77">
        <w:rPr>
          <w:rFonts w:ascii="Times New Roman" w:hAnsi="Times New Roman" w:cs="Times New Roman"/>
          <w:color w:val="000000" w:themeColor="text1"/>
          <w:sz w:val="24"/>
          <w:szCs w:val="24"/>
        </w:rPr>
        <w:t xml:space="preserve">. </w:t>
      </w:r>
      <w:r w:rsidRPr="00C00F77">
        <w:rPr>
          <w:rFonts w:ascii="Times New Roman" w:hAnsi="Times New Roman" w:cs="Times New Roman"/>
          <w:color w:val="000000" w:themeColor="text1"/>
          <w:sz w:val="24"/>
          <w:szCs w:val="24"/>
          <w:lang w:val="en-US"/>
        </w:rPr>
        <w:t xml:space="preserve">Sacculi </w:t>
      </w:r>
    </w:p>
    <w:p w:rsidR="002D7C9B" w:rsidRDefault="002D7C9B" w:rsidP="002D7C9B">
      <w:pPr>
        <w:spacing w:before="120" w:after="120" w:line="480" w:lineRule="auto"/>
        <w:jc w:val="both"/>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5277600" cy="7242040"/>
            <wp:effectExtent l="19050" t="0" r="0" b="0"/>
            <wp:docPr id="20" name="Picture 11" descr="Figure 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5.png"/>
                    <pic:cNvPicPr/>
                  </pic:nvPicPr>
                  <pic:blipFill>
                    <a:blip r:embed="rId40" cstate="print"/>
                    <a:srcRect l="2584" t="1068"/>
                    <a:stretch>
                      <a:fillRect/>
                    </a:stretch>
                  </pic:blipFill>
                  <pic:spPr>
                    <a:xfrm>
                      <a:off x="0" y="0"/>
                      <a:ext cx="5277600" cy="7242040"/>
                    </a:xfrm>
                    <a:prstGeom prst="rect">
                      <a:avLst/>
                    </a:prstGeom>
                  </pic:spPr>
                </pic:pic>
              </a:graphicData>
            </a:graphic>
          </wp:inline>
        </w:drawing>
      </w:r>
    </w:p>
    <w:p w:rsidR="002D7C9B" w:rsidRDefault="002D7C9B" w:rsidP="002D7C9B">
      <w:pPr>
        <w:rPr>
          <w:rFonts w:ascii="Times New Roman" w:hAnsi="Times New Roman" w:cs="Times New Roman"/>
          <w:sz w:val="24"/>
          <w:szCs w:val="24"/>
        </w:rPr>
      </w:pPr>
      <w:r>
        <w:rPr>
          <w:rFonts w:ascii="Times New Roman" w:hAnsi="Times New Roman" w:cs="Times New Roman"/>
          <w:sz w:val="24"/>
          <w:szCs w:val="24"/>
        </w:rPr>
        <w:br w:type="page"/>
      </w:r>
    </w:p>
    <w:p w:rsidR="002D7C9B" w:rsidRDefault="002D7C9B" w:rsidP="002D7C9B">
      <w:pPr>
        <w:spacing w:before="120" w:after="120" w:line="480" w:lineRule="auto"/>
        <w:jc w:val="both"/>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5277600" cy="7553442"/>
            <wp:effectExtent l="19050" t="0" r="0" b="0"/>
            <wp:docPr id="21" name="Picture 17" descr="Figure 3.5 C and 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5 C and D.png"/>
                    <pic:cNvPicPr/>
                  </pic:nvPicPr>
                  <pic:blipFill>
                    <a:blip r:embed="rId41" cstate="print"/>
                    <a:srcRect l="2888" t="1155"/>
                    <a:stretch>
                      <a:fillRect/>
                    </a:stretch>
                  </pic:blipFill>
                  <pic:spPr>
                    <a:xfrm>
                      <a:off x="0" y="0"/>
                      <a:ext cx="5277600" cy="7553442"/>
                    </a:xfrm>
                    <a:prstGeom prst="rect">
                      <a:avLst/>
                    </a:prstGeom>
                  </pic:spPr>
                </pic:pic>
              </a:graphicData>
            </a:graphic>
          </wp:inline>
        </w:drawing>
      </w:r>
    </w:p>
    <w:p w:rsidR="002D7C9B" w:rsidRDefault="002D7C9B" w:rsidP="002D7C9B">
      <w:pPr>
        <w:rPr>
          <w:rFonts w:ascii="Times New Roman" w:hAnsi="Times New Roman" w:cs="Times New Roman"/>
          <w:sz w:val="24"/>
          <w:szCs w:val="24"/>
        </w:rPr>
      </w:pPr>
      <w:r>
        <w:rPr>
          <w:rFonts w:ascii="Times New Roman" w:hAnsi="Times New Roman" w:cs="Times New Roman"/>
          <w:sz w:val="24"/>
          <w:szCs w:val="24"/>
        </w:rPr>
        <w:br w:type="page"/>
      </w:r>
    </w:p>
    <w:p w:rsidR="002D7C9B" w:rsidRDefault="002D7C9B" w:rsidP="002D7C9B">
      <w:pPr>
        <w:autoSpaceDE w:val="0"/>
        <w:autoSpaceDN w:val="0"/>
        <w:adjustRightInd w:val="0"/>
        <w:spacing w:after="120" w:line="360" w:lineRule="auto"/>
        <w:jc w:val="both"/>
        <w:rPr>
          <w:rFonts w:ascii="Times New Roman" w:hAnsi="Times New Roman" w:cs="Times New Roman"/>
          <w:sz w:val="24"/>
          <w:szCs w:val="24"/>
        </w:rPr>
      </w:pPr>
      <w:proofErr w:type="gramStart"/>
      <w:r w:rsidRPr="009E0D1B">
        <w:rPr>
          <w:rFonts w:ascii="Times New Roman" w:hAnsi="Times New Roman" w:cs="Times New Roman"/>
          <w:b/>
          <w:sz w:val="24"/>
          <w:szCs w:val="24"/>
        </w:rPr>
        <w:lastRenderedPageBreak/>
        <w:t>Figure 3.</w:t>
      </w:r>
      <w:r>
        <w:rPr>
          <w:rFonts w:ascii="Times New Roman" w:hAnsi="Times New Roman" w:cs="Times New Roman"/>
          <w:b/>
          <w:sz w:val="24"/>
          <w:szCs w:val="24"/>
        </w:rPr>
        <w:t>6</w:t>
      </w:r>
      <w:r w:rsidRPr="009E0D1B">
        <w:rPr>
          <w:rFonts w:ascii="Times New Roman" w:hAnsi="Times New Roman" w:cs="Times New Roman"/>
          <w:b/>
          <w:sz w:val="24"/>
          <w:szCs w:val="24"/>
        </w:rPr>
        <w:t>.</w:t>
      </w:r>
      <w:proofErr w:type="gramEnd"/>
      <w:r w:rsidRPr="009E0D1B">
        <w:rPr>
          <w:rFonts w:ascii="Times New Roman" w:hAnsi="Times New Roman" w:cs="Times New Roman"/>
          <w:b/>
          <w:bCs/>
          <w:sz w:val="24"/>
          <w:szCs w:val="24"/>
        </w:rPr>
        <w:t xml:space="preserve"> </w:t>
      </w:r>
      <w:proofErr w:type="gramStart"/>
      <w:r w:rsidRPr="009E0D1B">
        <w:rPr>
          <w:rFonts w:ascii="Times New Roman" w:hAnsi="Times New Roman" w:cs="Times New Roman"/>
          <w:b/>
          <w:bCs/>
          <w:sz w:val="24"/>
          <w:szCs w:val="24"/>
        </w:rPr>
        <w:t>Differential lectin labelling of the ovococci</w:t>
      </w:r>
      <w:r>
        <w:rPr>
          <w:rFonts w:ascii="Times New Roman" w:hAnsi="Times New Roman" w:cs="Times New Roman"/>
          <w:b/>
          <w:bCs/>
          <w:sz w:val="24"/>
          <w:szCs w:val="24"/>
        </w:rPr>
        <w:t>.</w:t>
      </w:r>
      <w:proofErr w:type="gramEnd"/>
      <w:r>
        <w:rPr>
          <w:rFonts w:ascii="Arial" w:hAnsi="Arial" w:cs="Arial"/>
          <w:sz w:val="24"/>
          <w:szCs w:val="24"/>
        </w:rPr>
        <w:t xml:space="preserve"> </w:t>
      </w:r>
      <w:r>
        <w:rPr>
          <w:rFonts w:ascii="Times New Roman" w:hAnsi="Times New Roman" w:cs="Times New Roman"/>
          <w:i/>
          <w:iCs/>
          <w:sz w:val="24"/>
          <w:szCs w:val="24"/>
        </w:rPr>
        <w:t xml:space="preserve">E. faecalis </w:t>
      </w:r>
      <w:r>
        <w:rPr>
          <w:rFonts w:ascii="Times New Roman" w:hAnsi="Times New Roman" w:cs="Times New Roman"/>
          <w:sz w:val="24"/>
          <w:szCs w:val="24"/>
        </w:rPr>
        <w:t>JH2-2</w:t>
      </w:r>
      <w:r>
        <w:rPr>
          <w:rFonts w:ascii="Arial" w:hAnsi="Arial" w:cs="Arial"/>
          <w:sz w:val="24"/>
          <w:szCs w:val="24"/>
        </w:rPr>
        <w:t xml:space="preserve"> </w:t>
      </w:r>
      <w:r w:rsidRPr="00DF1CEB">
        <w:rPr>
          <w:rFonts w:ascii="Times New Roman" w:hAnsi="Times New Roman" w:cs="Times New Roman"/>
          <w:sz w:val="24"/>
          <w:szCs w:val="24"/>
        </w:rPr>
        <w:t>(</w:t>
      </w:r>
      <w:r w:rsidRPr="00DF1CEB">
        <w:rPr>
          <w:rFonts w:ascii="Times New Roman" w:hAnsi="Times New Roman" w:cs="Times New Roman"/>
          <w:bCs/>
          <w:sz w:val="24"/>
          <w:szCs w:val="24"/>
        </w:rPr>
        <w:t>A</w:t>
      </w:r>
      <w:r w:rsidRPr="00DF1CEB">
        <w:rPr>
          <w:rFonts w:ascii="Times New Roman" w:hAnsi="Times New Roman" w:cs="Times New Roman"/>
          <w:sz w:val="24"/>
          <w:szCs w:val="24"/>
        </w:rPr>
        <w:t xml:space="preserve">), </w:t>
      </w:r>
      <w:r>
        <w:rPr>
          <w:rFonts w:ascii="Times New Roman" w:hAnsi="Times New Roman" w:cs="Times New Roman"/>
          <w:i/>
          <w:iCs/>
          <w:sz w:val="24"/>
          <w:szCs w:val="24"/>
        </w:rPr>
        <w:t xml:space="preserve">L. lactis </w:t>
      </w:r>
      <w:r>
        <w:rPr>
          <w:rFonts w:ascii="Times New Roman" w:hAnsi="Times New Roman" w:cs="Times New Roman"/>
          <w:sz w:val="24"/>
          <w:szCs w:val="24"/>
        </w:rPr>
        <w:t xml:space="preserve">MG1363 </w:t>
      </w:r>
      <w:r w:rsidRPr="00DF1CEB">
        <w:rPr>
          <w:rFonts w:ascii="Times New Roman" w:hAnsi="Times New Roman" w:cs="Times New Roman"/>
          <w:sz w:val="24"/>
          <w:szCs w:val="24"/>
        </w:rPr>
        <w:t>(</w:t>
      </w:r>
      <w:r w:rsidRPr="00DF1CEB">
        <w:rPr>
          <w:rFonts w:ascii="Times New Roman" w:hAnsi="Times New Roman" w:cs="Times New Roman"/>
          <w:bCs/>
          <w:sz w:val="24"/>
          <w:szCs w:val="24"/>
        </w:rPr>
        <w:t>B</w:t>
      </w:r>
      <w:r w:rsidRPr="00DF1CEB">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i/>
          <w:iCs/>
          <w:sz w:val="24"/>
          <w:szCs w:val="24"/>
        </w:rPr>
        <w:t xml:space="preserve">S. pneumoniae </w:t>
      </w:r>
      <w:r>
        <w:rPr>
          <w:rFonts w:ascii="Times New Roman" w:hAnsi="Times New Roman" w:cs="Times New Roman"/>
          <w:sz w:val="24"/>
          <w:szCs w:val="24"/>
        </w:rPr>
        <w:t xml:space="preserve">R6 </w:t>
      </w:r>
      <w:r w:rsidRPr="00DF1CEB">
        <w:rPr>
          <w:rFonts w:ascii="Times New Roman" w:hAnsi="Times New Roman" w:cs="Times New Roman"/>
          <w:sz w:val="24"/>
          <w:szCs w:val="24"/>
        </w:rPr>
        <w:t>(</w:t>
      </w:r>
      <w:r w:rsidRPr="00DF1CEB">
        <w:rPr>
          <w:rFonts w:ascii="Times New Roman" w:hAnsi="Times New Roman" w:cs="Times New Roman"/>
          <w:bCs/>
          <w:sz w:val="24"/>
          <w:szCs w:val="24"/>
        </w:rPr>
        <w:t>C</w:t>
      </w:r>
      <w:r w:rsidRPr="00DF1CEB">
        <w:rPr>
          <w:rFonts w:ascii="Times New Roman" w:hAnsi="Times New Roman" w:cs="Times New Roman"/>
          <w:sz w:val="24"/>
          <w:szCs w:val="24"/>
        </w:rPr>
        <w:t>)</w:t>
      </w:r>
      <w:r>
        <w:rPr>
          <w:rFonts w:ascii="Times New Roman" w:hAnsi="Times New Roman" w:cs="Times New Roman"/>
          <w:sz w:val="24"/>
          <w:szCs w:val="24"/>
        </w:rPr>
        <w:t xml:space="preserve"> and </w:t>
      </w:r>
      <w:r>
        <w:rPr>
          <w:rFonts w:ascii="Times New Roman" w:hAnsi="Times New Roman" w:cs="Times New Roman"/>
          <w:i/>
          <w:iCs/>
          <w:sz w:val="24"/>
          <w:szCs w:val="24"/>
        </w:rPr>
        <w:t xml:space="preserve">S. aureus </w:t>
      </w:r>
      <w:r>
        <w:rPr>
          <w:rFonts w:ascii="Times New Roman" w:hAnsi="Times New Roman" w:cs="Times New Roman"/>
          <w:sz w:val="24"/>
          <w:szCs w:val="24"/>
        </w:rPr>
        <w:t xml:space="preserve">SH1000 </w:t>
      </w:r>
      <w:r w:rsidRPr="00DF1CEB">
        <w:rPr>
          <w:rFonts w:ascii="Times New Roman" w:hAnsi="Times New Roman" w:cs="Times New Roman"/>
          <w:sz w:val="24"/>
          <w:szCs w:val="24"/>
        </w:rPr>
        <w:t>(</w:t>
      </w:r>
      <w:r w:rsidRPr="00DF1CEB">
        <w:rPr>
          <w:rFonts w:ascii="Times New Roman" w:hAnsi="Times New Roman" w:cs="Times New Roman"/>
          <w:bCs/>
          <w:sz w:val="24"/>
          <w:szCs w:val="24"/>
        </w:rPr>
        <w:t>D</w:t>
      </w:r>
      <w:r w:rsidRPr="00DF1CEB">
        <w:rPr>
          <w:rFonts w:ascii="Times New Roman" w:hAnsi="Times New Roman" w:cs="Times New Roman"/>
          <w:sz w:val="24"/>
          <w:szCs w:val="24"/>
        </w:rPr>
        <w:t>)</w:t>
      </w:r>
      <w:r>
        <w:rPr>
          <w:rFonts w:ascii="Times New Roman" w:hAnsi="Times New Roman" w:cs="Times New Roman"/>
          <w:sz w:val="24"/>
          <w:szCs w:val="24"/>
        </w:rPr>
        <w:t xml:space="preserve"> extracted cells were labelled</w:t>
      </w:r>
      <w:r>
        <w:rPr>
          <w:rFonts w:ascii="Arial" w:hAnsi="Arial" w:cs="Arial"/>
          <w:sz w:val="24"/>
          <w:szCs w:val="24"/>
        </w:rPr>
        <w:t xml:space="preserve"> </w:t>
      </w:r>
      <w:r>
        <w:rPr>
          <w:rFonts w:ascii="Times New Roman" w:hAnsi="Times New Roman" w:cs="Times New Roman"/>
          <w:sz w:val="24"/>
          <w:szCs w:val="24"/>
        </w:rPr>
        <w:t xml:space="preserve">with Wheat Germ Agglutinin (WGA) or </w:t>
      </w:r>
      <w:r>
        <w:rPr>
          <w:rFonts w:ascii="Times New Roman" w:hAnsi="Times New Roman" w:cs="Times New Roman"/>
          <w:i/>
          <w:iCs/>
          <w:sz w:val="24"/>
          <w:szCs w:val="24"/>
        </w:rPr>
        <w:t xml:space="preserve">Griffonia simplicifolia </w:t>
      </w:r>
      <w:r>
        <w:rPr>
          <w:rFonts w:ascii="Times New Roman" w:hAnsi="Times New Roman" w:cs="Times New Roman"/>
          <w:sz w:val="24"/>
          <w:szCs w:val="24"/>
        </w:rPr>
        <w:t>lectin II (GSII) fluorescent</w:t>
      </w:r>
      <w:r>
        <w:rPr>
          <w:rFonts w:ascii="Arial" w:hAnsi="Arial" w:cs="Arial"/>
          <w:sz w:val="24"/>
          <w:szCs w:val="24"/>
        </w:rPr>
        <w:t xml:space="preserve"> </w:t>
      </w:r>
      <w:r w:rsidRPr="009E0D1B">
        <w:rPr>
          <w:rFonts w:ascii="Times New Roman" w:hAnsi="Times New Roman" w:cs="Times New Roman"/>
          <w:sz w:val="24"/>
          <w:szCs w:val="24"/>
        </w:rPr>
        <w:t>conjugates.</w:t>
      </w:r>
      <w:r>
        <w:rPr>
          <w:rFonts w:ascii="Times New Roman" w:hAnsi="Times New Roman" w:cs="Times New Roman"/>
          <w:sz w:val="24"/>
          <w:szCs w:val="24"/>
        </w:rPr>
        <w:t xml:space="preserve"> Brightfield and fluorescence images show that whilst all the ovococci are</w:t>
      </w:r>
      <w:r>
        <w:rPr>
          <w:rFonts w:ascii="Arial" w:hAnsi="Arial" w:cs="Arial"/>
          <w:sz w:val="24"/>
          <w:szCs w:val="24"/>
        </w:rPr>
        <w:t xml:space="preserve"> </w:t>
      </w:r>
      <w:r>
        <w:rPr>
          <w:rFonts w:ascii="Times New Roman" w:hAnsi="Times New Roman" w:cs="Times New Roman"/>
          <w:sz w:val="24"/>
          <w:szCs w:val="24"/>
        </w:rPr>
        <w:t xml:space="preserve">strongly labelled with WGA, labelling with GSII is absent </w:t>
      </w:r>
      <w:r w:rsidRPr="00DF1CEB">
        <w:rPr>
          <w:rFonts w:ascii="Times New Roman" w:hAnsi="Times New Roman" w:cs="Times New Roman"/>
          <w:sz w:val="24"/>
          <w:szCs w:val="24"/>
        </w:rPr>
        <w:t>(</w:t>
      </w:r>
      <w:r w:rsidRPr="00DF1CEB">
        <w:rPr>
          <w:rFonts w:ascii="Times New Roman" w:hAnsi="Times New Roman" w:cs="Times New Roman"/>
          <w:bCs/>
          <w:sz w:val="24"/>
          <w:szCs w:val="24"/>
        </w:rPr>
        <w:t>A</w:t>
      </w:r>
      <w:r w:rsidRPr="00DF1CEB">
        <w:rPr>
          <w:rFonts w:ascii="Times New Roman" w:hAnsi="Times New Roman" w:cs="Times New Roman"/>
          <w:sz w:val="24"/>
          <w:szCs w:val="24"/>
        </w:rPr>
        <w:t>), (</w:t>
      </w:r>
      <w:r w:rsidRPr="00DF1CEB">
        <w:rPr>
          <w:rFonts w:ascii="Times New Roman" w:hAnsi="Times New Roman" w:cs="Times New Roman"/>
          <w:bCs/>
          <w:sz w:val="24"/>
          <w:szCs w:val="24"/>
        </w:rPr>
        <w:t>B</w:t>
      </w:r>
      <w:r w:rsidRPr="00DF1CEB">
        <w:rPr>
          <w:rFonts w:ascii="Times New Roman" w:hAnsi="Times New Roman" w:cs="Times New Roman"/>
          <w:sz w:val="24"/>
          <w:szCs w:val="24"/>
        </w:rPr>
        <w:t>)</w:t>
      </w:r>
      <w:r>
        <w:rPr>
          <w:rFonts w:ascii="Times New Roman" w:hAnsi="Times New Roman" w:cs="Times New Roman"/>
          <w:sz w:val="24"/>
          <w:szCs w:val="24"/>
        </w:rPr>
        <w:t xml:space="preserve"> or very </w:t>
      </w:r>
      <w:r w:rsidRPr="00DF1CEB">
        <w:rPr>
          <w:rFonts w:ascii="Times New Roman" w:hAnsi="Times New Roman" w:cs="Times New Roman"/>
          <w:sz w:val="24"/>
          <w:szCs w:val="24"/>
        </w:rPr>
        <w:t>weak (</w:t>
      </w:r>
      <w:r w:rsidRPr="00DF1CEB">
        <w:rPr>
          <w:rFonts w:ascii="Times New Roman" w:hAnsi="Times New Roman" w:cs="Times New Roman"/>
          <w:bCs/>
          <w:sz w:val="24"/>
          <w:szCs w:val="24"/>
        </w:rPr>
        <w:t>C</w:t>
      </w:r>
      <w:r w:rsidRPr="00DF1CEB">
        <w:rPr>
          <w:rFonts w:ascii="Times New Roman" w:hAnsi="Times New Roman" w:cs="Times New Roman"/>
          <w:sz w:val="24"/>
          <w:szCs w:val="24"/>
        </w:rPr>
        <w:t>)</w:t>
      </w:r>
      <w:r w:rsidRPr="00DF1CEB">
        <w:rPr>
          <w:rFonts w:ascii="Arial" w:hAnsi="Arial" w:cs="Arial"/>
          <w:sz w:val="24"/>
          <w:szCs w:val="24"/>
        </w:rPr>
        <w:t xml:space="preserve"> </w:t>
      </w:r>
      <w:r w:rsidRPr="00DF1CEB">
        <w:rPr>
          <w:rFonts w:ascii="Times New Roman" w:hAnsi="Times New Roman" w:cs="Times New Roman"/>
          <w:sz w:val="24"/>
          <w:szCs w:val="24"/>
        </w:rPr>
        <w:t>suggesting</w:t>
      </w:r>
      <w:r>
        <w:rPr>
          <w:rFonts w:ascii="Times New Roman" w:hAnsi="Times New Roman" w:cs="Times New Roman"/>
          <w:sz w:val="24"/>
          <w:szCs w:val="24"/>
        </w:rPr>
        <w:t xml:space="preserve"> that glycan strands in ovococci are relatively long and heterogeneously</w:t>
      </w:r>
      <w:r>
        <w:rPr>
          <w:rFonts w:ascii="Arial" w:hAnsi="Arial" w:cs="Arial"/>
          <w:sz w:val="24"/>
          <w:szCs w:val="24"/>
        </w:rPr>
        <w:t xml:space="preserve"> </w:t>
      </w:r>
      <w:r>
        <w:rPr>
          <w:rFonts w:ascii="Times New Roman" w:hAnsi="Times New Roman" w:cs="Times New Roman"/>
          <w:sz w:val="24"/>
          <w:szCs w:val="24"/>
        </w:rPr>
        <w:t xml:space="preserve">distributed. This labelling pattern contrasts with </w:t>
      </w:r>
      <w:r>
        <w:rPr>
          <w:rFonts w:ascii="Times New Roman" w:hAnsi="Times New Roman" w:cs="Times New Roman"/>
          <w:i/>
          <w:iCs/>
          <w:sz w:val="24"/>
          <w:szCs w:val="24"/>
        </w:rPr>
        <w:t>S. aureus</w:t>
      </w:r>
      <w:r>
        <w:rPr>
          <w:rFonts w:ascii="Times New Roman" w:hAnsi="Times New Roman" w:cs="Times New Roman"/>
          <w:sz w:val="24"/>
          <w:szCs w:val="24"/>
        </w:rPr>
        <w:t>, where uniform strong labelling is</w:t>
      </w:r>
      <w:r>
        <w:rPr>
          <w:rFonts w:ascii="Arial" w:hAnsi="Arial" w:cs="Arial"/>
          <w:sz w:val="24"/>
          <w:szCs w:val="24"/>
        </w:rPr>
        <w:t xml:space="preserve"> </w:t>
      </w:r>
      <w:r>
        <w:rPr>
          <w:rFonts w:ascii="Times New Roman" w:hAnsi="Times New Roman" w:cs="Times New Roman"/>
          <w:sz w:val="24"/>
          <w:szCs w:val="24"/>
        </w:rPr>
        <w:t xml:space="preserve">detected with both WGA and GSII </w:t>
      </w:r>
      <w:r w:rsidRPr="00DF1CEB">
        <w:rPr>
          <w:rFonts w:ascii="Times New Roman" w:hAnsi="Times New Roman" w:cs="Times New Roman"/>
          <w:sz w:val="24"/>
          <w:szCs w:val="24"/>
        </w:rPr>
        <w:t>(</w:t>
      </w:r>
      <w:r w:rsidRPr="00DF1CEB">
        <w:rPr>
          <w:rFonts w:ascii="Times New Roman" w:hAnsi="Times New Roman" w:cs="Times New Roman"/>
          <w:bCs/>
          <w:sz w:val="24"/>
          <w:szCs w:val="24"/>
        </w:rPr>
        <w:t>D</w:t>
      </w:r>
      <w:r w:rsidRPr="00DF1CEB">
        <w:rPr>
          <w:rFonts w:ascii="Times New Roman" w:hAnsi="Times New Roman" w:cs="Times New Roman"/>
          <w:sz w:val="24"/>
          <w:szCs w:val="24"/>
        </w:rPr>
        <w:t>)</w:t>
      </w:r>
      <w:r>
        <w:rPr>
          <w:rFonts w:ascii="Times New Roman" w:hAnsi="Times New Roman" w:cs="Times New Roman"/>
          <w:sz w:val="24"/>
          <w:szCs w:val="24"/>
        </w:rPr>
        <w:t>.</w:t>
      </w:r>
    </w:p>
    <w:p w:rsidR="002D7C9B" w:rsidRDefault="002D7C9B" w:rsidP="002D7C9B">
      <w:pPr>
        <w:rPr>
          <w:rFonts w:ascii="Times New Roman" w:hAnsi="Times New Roman" w:cs="Times New Roman"/>
          <w:sz w:val="24"/>
          <w:szCs w:val="24"/>
        </w:rPr>
      </w:pPr>
      <w:r>
        <w:rPr>
          <w:rFonts w:ascii="Times New Roman" w:hAnsi="Times New Roman" w:cs="Times New Roman"/>
          <w:sz w:val="24"/>
          <w:szCs w:val="24"/>
        </w:rPr>
        <w:br w:type="page"/>
      </w:r>
    </w:p>
    <w:p w:rsidR="002D7C9B" w:rsidRDefault="002D7C9B" w:rsidP="002D7C9B">
      <w:pPr>
        <w:spacing w:after="120" w:line="480" w:lineRule="auto"/>
        <w:jc w:val="both"/>
        <w:rPr>
          <w:rFonts w:ascii="Times New Roman" w:hAnsi="Times New Roman" w:cs="Times New Roman"/>
          <w:sz w:val="24"/>
          <w:szCs w:val="24"/>
        </w:rPr>
      </w:pPr>
      <w:r w:rsidRPr="006634E9">
        <w:rPr>
          <w:noProof/>
          <w:lang w:eastAsia="en-GB"/>
        </w:rPr>
        <w:lastRenderedPageBreak/>
        <w:drawing>
          <wp:inline distT="0" distB="0" distL="0" distR="0">
            <wp:extent cx="5278120" cy="2489407"/>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a:stretch>
                      <a:fillRect/>
                    </a:stretch>
                  </pic:blipFill>
                  <pic:spPr bwMode="auto">
                    <a:xfrm>
                      <a:off x="0" y="0"/>
                      <a:ext cx="5278120" cy="2489407"/>
                    </a:xfrm>
                    <a:prstGeom prst="rect">
                      <a:avLst/>
                    </a:prstGeom>
                    <a:noFill/>
                    <a:ln w="9525">
                      <a:noFill/>
                      <a:miter lim="800000"/>
                      <a:headEnd/>
                      <a:tailEnd/>
                    </a:ln>
                  </pic:spPr>
                </pic:pic>
              </a:graphicData>
            </a:graphic>
          </wp:inline>
        </w:drawing>
      </w:r>
    </w:p>
    <w:p w:rsidR="002D7C9B" w:rsidRPr="007F4C56" w:rsidRDefault="002D7C9B" w:rsidP="002D7C9B">
      <w:pPr>
        <w:spacing w:after="120" w:line="360" w:lineRule="auto"/>
        <w:jc w:val="both"/>
        <w:rPr>
          <w:rFonts w:ascii="Times New Roman" w:hAnsi="Times New Roman" w:cs="Times New Roman"/>
          <w:sz w:val="24"/>
          <w:szCs w:val="24"/>
        </w:rPr>
      </w:pPr>
      <w:proofErr w:type="gramStart"/>
      <w:r w:rsidRPr="007F4C56">
        <w:rPr>
          <w:rFonts w:ascii="Times New Roman" w:hAnsi="Times New Roman" w:cs="Times New Roman"/>
          <w:b/>
          <w:sz w:val="24"/>
          <w:szCs w:val="24"/>
        </w:rPr>
        <w:t>Figure 3.</w:t>
      </w:r>
      <w:r>
        <w:rPr>
          <w:rFonts w:ascii="Times New Roman" w:hAnsi="Times New Roman" w:cs="Times New Roman"/>
          <w:b/>
          <w:sz w:val="24"/>
          <w:szCs w:val="24"/>
        </w:rPr>
        <w:t>7</w:t>
      </w:r>
      <w:r w:rsidRPr="007F4C56">
        <w:rPr>
          <w:rFonts w:ascii="Times New Roman" w:hAnsi="Times New Roman" w:cs="Times New Roman"/>
          <w:b/>
          <w:sz w:val="24"/>
          <w:szCs w:val="24"/>
        </w:rPr>
        <w:t>.</w:t>
      </w:r>
      <w:proofErr w:type="gramEnd"/>
      <w:r w:rsidRPr="007F4C56">
        <w:rPr>
          <w:rFonts w:ascii="Times New Roman" w:eastAsia="+mn-ea" w:hAnsi="Times New Roman" w:cs="Times New Roman"/>
          <w:b/>
          <w:bCs/>
          <w:sz w:val="24"/>
          <w:szCs w:val="24"/>
        </w:rPr>
        <w:t xml:space="preserve"> </w:t>
      </w:r>
      <w:r>
        <w:rPr>
          <w:rFonts w:ascii="Times New Roman" w:eastAsia="+mn-ea" w:hAnsi="Times New Roman" w:cs="Times New Roman"/>
          <w:b/>
          <w:bCs/>
          <w:sz w:val="24"/>
          <w:szCs w:val="24"/>
        </w:rPr>
        <w:t xml:space="preserve">Field </w:t>
      </w:r>
      <w:r w:rsidRPr="007F4C56">
        <w:rPr>
          <w:rFonts w:ascii="Times New Roman" w:eastAsia="+mn-ea" w:hAnsi="Times New Roman" w:cs="Times New Roman"/>
          <w:b/>
          <w:bCs/>
          <w:sz w:val="24"/>
          <w:szCs w:val="24"/>
        </w:rPr>
        <w:t xml:space="preserve">of </w:t>
      </w:r>
      <w:r>
        <w:rPr>
          <w:rFonts w:ascii="Times New Roman" w:eastAsia="+mn-ea" w:hAnsi="Times New Roman" w:cs="Times New Roman"/>
          <w:b/>
          <w:bCs/>
          <w:i/>
          <w:sz w:val="24"/>
          <w:szCs w:val="24"/>
        </w:rPr>
        <w:t>S. pneumoniae</w:t>
      </w:r>
      <w:r w:rsidRPr="007F4C56">
        <w:rPr>
          <w:rFonts w:ascii="Times New Roman" w:eastAsia="+mn-ea" w:hAnsi="Times New Roman" w:cs="Times New Roman"/>
          <w:b/>
          <w:bCs/>
          <w:sz w:val="24"/>
          <w:szCs w:val="24"/>
        </w:rPr>
        <w:t xml:space="preserve"> </w:t>
      </w:r>
      <w:r>
        <w:rPr>
          <w:rFonts w:ascii="Times New Roman" w:eastAsia="+mn-ea" w:hAnsi="Times New Roman" w:cs="Times New Roman"/>
          <w:b/>
          <w:bCs/>
          <w:sz w:val="24"/>
          <w:szCs w:val="24"/>
        </w:rPr>
        <w:t xml:space="preserve">extracted </w:t>
      </w:r>
      <w:r w:rsidRPr="007F4C56">
        <w:rPr>
          <w:rFonts w:ascii="Times New Roman" w:eastAsia="+mn-ea" w:hAnsi="Times New Roman" w:cs="Times New Roman"/>
          <w:b/>
          <w:bCs/>
          <w:sz w:val="24"/>
          <w:szCs w:val="24"/>
        </w:rPr>
        <w:t>cell walls.</w:t>
      </w:r>
      <w:r w:rsidRPr="007F4C56">
        <w:rPr>
          <w:rFonts w:ascii="Times New Roman" w:eastAsia="+mn-ea" w:hAnsi="Times New Roman" w:cs="Times New Roman"/>
          <w:bCs/>
          <w:sz w:val="24"/>
          <w:szCs w:val="24"/>
        </w:rPr>
        <w:t xml:space="preserve"> Field showing broken and unbroken </w:t>
      </w:r>
      <w:r w:rsidRPr="007F4C56">
        <w:rPr>
          <w:rFonts w:ascii="Times New Roman" w:eastAsia="+mn-ea" w:hAnsi="Times New Roman" w:cs="Times New Roman"/>
          <w:bCs/>
          <w:i/>
          <w:sz w:val="24"/>
          <w:szCs w:val="24"/>
        </w:rPr>
        <w:t>S. pneumoniae</w:t>
      </w:r>
      <w:r w:rsidRPr="007F4C56">
        <w:rPr>
          <w:rFonts w:ascii="Times New Roman" w:eastAsia="+mn-ea" w:hAnsi="Times New Roman" w:cs="Times New Roman"/>
          <w:bCs/>
          <w:sz w:val="24"/>
          <w:szCs w:val="24"/>
        </w:rPr>
        <w:t xml:space="preserve"> R6 </w:t>
      </w:r>
      <w:r>
        <w:rPr>
          <w:rFonts w:ascii="Times New Roman" w:eastAsia="+mn-ea" w:hAnsi="Times New Roman" w:cs="Times New Roman"/>
          <w:bCs/>
          <w:sz w:val="24"/>
          <w:szCs w:val="24"/>
        </w:rPr>
        <w:t xml:space="preserve">extracted </w:t>
      </w:r>
      <w:r w:rsidRPr="007F4C56">
        <w:rPr>
          <w:rFonts w:ascii="Times New Roman" w:eastAsia="+mn-ea" w:hAnsi="Times New Roman" w:cs="Times New Roman"/>
          <w:bCs/>
          <w:sz w:val="24"/>
          <w:szCs w:val="24"/>
        </w:rPr>
        <w:t xml:space="preserve">cell walls from exponential phase cultures. AFM height (H) and phase (P) images are presented. </w:t>
      </w:r>
      <w:r>
        <w:rPr>
          <w:rFonts w:ascii="Times New Roman" w:eastAsia="+mn-ea" w:hAnsi="Times New Roman" w:cs="Times New Roman"/>
          <w:bCs/>
          <w:sz w:val="24"/>
          <w:szCs w:val="24"/>
        </w:rPr>
        <w:t xml:space="preserve">Common features of AFM fields of flattened cell walls are highlighted to aid interpretation. </w:t>
      </w:r>
      <w:r w:rsidRPr="007F4C56">
        <w:rPr>
          <w:rFonts w:ascii="Times New Roman" w:eastAsia="+mn-ea" w:hAnsi="Times New Roman" w:cs="Times New Roman"/>
          <w:bCs/>
          <w:sz w:val="24"/>
          <w:szCs w:val="24"/>
        </w:rPr>
        <w:t>Scales: H 50 nm, P 17°.</w:t>
      </w:r>
    </w:p>
    <w:p w:rsidR="002D7C9B" w:rsidRDefault="002D7C9B" w:rsidP="002D7C9B">
      <w:pPr>
        <w:rPr>
          <w:rFonts w:ascii="Times New Roman" w:hAnsi="Times New Roman" w:cs="Times New Roman"/>
          <w:sz w:val="24"/>
          <w:szCs w:val="24"/>
        </w:rPr>
      </w:pPr>
      <w:r>
        <w:rPr>
          <w:rFonts w:ascii="Times New Roman" w:hAnsi="Times New Roman" w:cs="Times New Roman"/>
          <w:sz w:val="24"/>
          <w:szCs w:val="24"/>
        </w:rPr>
        <w:br w:type="page"/>
      </w:r>
    </w:p>
    <w:p w:rsidR="002D7C9B" w:rsidRPr="00CA586E" w:rsidRDefault="002D7C9B" w:rsidP="002D7C9B">
      <w:pPr>
        <w:rPr>
          <w:rFonts w:ascii="Times New Roman" w:hAnsi="Times New Roman" w:cs="Times New Roman"/>
          <w:sz w:val="24"/>
          <w:szCs w:val="24"/>
        </w:rPr>
      </w:pPr>
      <w:r w:rsidRPr="00A36D09">
        <w:rPr>
          <w:rFonts w:ascii="Times New Roman" w:hAnsi="Times New Roman" w:cs="Times New Roman"/>
          <w:b/>
          <w:noProof/>
          <w:sz w:val="24"/>
          <w:szCs w:val="24"/>
          <w:lang w:val="en-US" w:eastAsia="zh-TW"/>
        </w:rPr>
        <w:lastRenderedPageBreak/>
        <w:pict>
          <v:shape id="_x0000_s1044" type="#_x0000_t202" style="position:absolute;margin-left:53.95pt;margin-top:247pt;width:18.6pt;height:29.4pt;z-index:251679744;mso-width-relative:margin;mso-height-relative:margin" filled="f" stroked="f">
            <v:textbox style="mso-next-textbox:#_x0000_s1044" inset="0,0,0,0">
              <w:txbxContent>
                <w:p w:rsidR="002D7C9B" w:rsidRPr="003B28A6" w:rsidRDefault="002D7C9B" w:rsidP="002D7C9B">
                  <w:pPr>
                    <w:rPr>
                      <w:b/>
                      <w:sz w:val="40"/>
                      <w:szCs w:val="40"/>
                    </w:rPr>
                  </w:pPr>
                  <w:r w:rsidRPr="003B28A6">
                    <w:rPr>
                      <w:b/>
                      <w:sz w:val="40"/>
                      <w:szCs w:val="40"/>
                    </w:rPr>
                    <w:t>E</w:t>
                  </w:r>
                </w:p>
              </w:txbxContent>
            </v:textbox>
          </v:shape>
        </w:pict>
      </w:r>
      <w:r w:rsidRPr="00C07A8D">
        <w:rPr>
          <w:noProof/>
          <w:lang w:eastAsia="en-GB"/>
        </w:rPr>
        <w:drawing>
          <wp:inline distT="0" distB="0" distL="0" distR="0">
            <wp:extent cx="5280797" cy="3010619"/>
            <wp:effectExtent l="0" t="0" r="0" b="0"/>
            <wp:docPr id="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srcRect r="-27" b="58053"/>
                    <a:stretch>
                      <a:fillRect/>
                    </a:stretch>
                  </pic:blipFill>
                  <pic:spPr bwMode="auto">
                    <a:xfrm>
                      <a:off x="0" y="0"/>
                      <a:ext cx="5280797" cy="3010619"/>
                    </a:xfrm>
                    <a:prstGeom prst="rect">
                      <a:avLst/>
                    </a:prstGeom>
                    <a:noFill/>
                    <a:ln w="9525">
                      <a:noFill/>
                      <a:miter lim="800000"/>
                      <a:headEnd/>
                      <a:tailEnd/>
                    </a:ln>
                  </pic:spPr>
                </pic:pic>
              </a:graphicData>
            </a:graphic>
          </wp:inline>
        </w:drawing>
      </w:r>
    </w:p>
    <w:p w:rsidR="002D7C9B" w:rsidRDefault="002D7C9B" w:rsidP="002D7C9B">
      <w:pPr>
        <w:jc w:val="center"/>
        <w:rPr>
          <w:rFonts w:ascii="Times New Roman" w:hAnsi="Times New Roman" w:cs="Times New Roman"/>
          <w:b/>
          <w:sz w:val="24"/>
          <w:szCs w:val="24"/>
        </w:rPr>
      </w:pPr>
      <w:r>
        <w:rPr>
          <w:rFonts w:ascii="Times New Roman" w:hAnsi="Times New Roman" w:cs="Times New Roman"/>
          <w:b/>
          <w:noProof/>
          <w:sz w:val="24"/>
          <w:szCs w:val="24"/>
          <w:lang w:eastAsia="en-GB"/>
        </w:rPr>
        <w:drawing>
          <wp:inline distT="0" distB="0" distL="0" distR="0">
            <wp:extent cx="3769326" cy="3947019"/>
            <wp:effectExtent l="0" t="0" r="0" b="0"/>
            <wp:docPr id="30" name="Picture 20" descr="Figure 3.8E.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8E.emf"/>
                    <pic:cNvPicPr/>
                  </pic:nvPicPr>
                  <pic:blipFill>
                    <a:blip r:embed="rId44" cstate="print"/>
                    <a:stretch>
                      <a:fillRect/>
                    </a:stretch>
                  </pic:blipFill>
                  <pic:spPr>
                    <a:xfrm>
                      <a:off x="0" y="0"/>
                      <a:ext cx="3769326" cy="3947019"/>
                    </a:xfrm>
                    <a:prstGeom prst="rect">
                      <a:avLst/>
                    </a:prstGeom>
                  </pic:spPr>
                </pic:pic>
              </a:graphicData>
            </a:graphic>
          </wp:inline>
        </w:drawing>
      </w:r>
      <w:r>
        <w:rPr>
          <w:rFonts w:ascii="Times New Roman" w:hAnsi="Times New Roman" w:cs="Times New Roman"/>
          <w:b/>
          <w:sz w:val="24"/>
          <w:szCs w:val="24"/>
        </w:rPr>
        <w:br w:type="page"/>
      </w:r>
    </w:p>
    <w:p w:rsidR="002D7C9B" w:rsidRPr="00CA586E" w:rsidRDefault="002D7C9B" w:rsidP="002D7C9B">
      <w:pPr>
        <w:autoSpaceDE w:val="0"/>
        <w:autoSpaceDN w:val="0"/>
        <w:adjustRightInd w:val="0"/>
        <w:spacing w:after="0" w:line="360" w:lineRule="auto"/>
        <w:jc w:val="both"/>
        <w:rPr>
          <w:rFonts w:ascii="Times New Roman" w:hAnsi="Times New Roman" w:cs="Times New Roman"/>
          <w:sz w:val="24"/>
          <w:szCs w:val="24"/>
        </w:rPr>
      </w:pPr>
      <w:proofErr w:type="gramStart"/>
      <w:r w:rsidRPr="00D95C4C">
        <w:rPr>
          <w:rFonts w:ascii="Times New Roman" w:hAnsi="Times New Roman" w:cs="Times New Roman"/>
          <w:b/>
          <w:sz w:val="24"/>
          <w:szCs w:val="24"/>
        </w:rPr>
        <w:lastRenderedPageBreak/>
        <w:t>Figure 3.</w:t>
      </w:r>
      <w:r>
        <w:rPr>
          <w:rFonts w:ascii="Times New Roman" w:hAnsi="Times New Roman" w:cs="Times New Roman"/>
          <w:b/>
          <w:sz w:val="24"/>
          <w:szCs w:val="24"/>
        </w:rPr>
        <w:t>8</w:t>
      </w:r>
      <w:r w:rsidRPr="00D95C4C">
        <w:rPr>
          <w:rFonts w:ascii="Times New Roman" w:hAnsi="Times New Roman" w:cs="Times New Roman"/>
          <w:b/>
          <w:sz w:val="24"/>
          <w:szCs w:val="24"/>
        </w:rPr>
        <w:t>.</w:t>
      </w:r>
      <w:proofErr w:type="gramEnd"/>
      <w:r w:rsidRPr="00D95C4C">
        <w:rPr>
          <w:rFonts w:ascii="Times New Roman" w:hAnsi="Times New Roman" w:cs="Times New Roman"/>
          <w:b/>
          <w:sz w:val="24"/>
          <w:szCs w:val="24"/>
        </w:rPr>
        <w:t xml:space="preserve"> </w:t>
      </w:r>
      <w:proofErr w:type="gramStart"/>
      <w:r w:rsidRPr="00D95C4C">
        <w:rPr>
          <w:rFonts w:ascii="Times New Roman" w:hAnsi="Times New Roman" w:cs="Times New Roman"/>
          <w:b/>
          <w:sz w:val="24"/>
          <w:szCs w:val="24"/>
        </w:rPr>
        <w:t>Architecture of ovococcal cell walls</w:t>
      </w:r>
      <w:r>
        <w:rPr>
          <w:rFonts w:ascii="Times New Roman" w:hAnsi="Times New Roman" w:cs="Times New Roman"/>
          <w:b/>
          <w:sz w:val="24"/>
          <w:szCs w:val="24"/>
        </w:rPr>
        <w:t>.</w:t>
      </w:r>
      <w:proofErr w:type="gramEnd"/>
      <w:r w:rsidRPr="00CA586E">
        <w:rPr>
          <w:rFonts w:ascii="Times New Roman" w:hAnsi="Times New Roman" w:cs="Times New Roman"/>
          <w:sz w:val="24"/>
          <w:szCs w:val="24"/>
        </w:rPr>
        <w:t xml:space="preserve"> </w:t>
      </w:r>
      <w:r>
        <w:rPr>
          <w:rFonts w:ascii="Times New Roman" w:hAnsi="Times New Roman" w:cs="Times New Roman"/>
          <w:sz w:val="24"/>
          <w:szCs w:val="24"/>
        </w:rPr>
        <w:t xml:space="preserve">Representative </w:t>
      </w:r>
      <w:r w:rsidRPr="00CA586E">
        <w:rPr>
          <w:rFonts w:ascii="Times New Roman" w:hAnsi="Times New Roman" w:cs="Times New Roman"/>
          <w:sz w:val="24"/>
          <w:szCs w:val="24"/>
        </w:rPr>
        <w:t xml:space="preserve">AFM height (H) and phase (P) images </w:t>
      </w:r>
      <w:r>
        <w:rPr>
          <w:rFonts w:ascii="Times New Roman" w:hAnsi="Times New Roman" w:cs="Times New Roman"/>
          <w:sz w:val="24"/>
          <w:szCs w:val="24"/>
        </w:rPr>
        <w:t>showing architecture of</w:t>
      </w:r>
      <w:r w:rsidRPr="00CA586E">
        <w:rPr>
          <w:rFonts w:ascii="Times New Roman" w:hAnsi="Times New Roman" w:cs="Times New Roman"/>
          <w:sz w:val="24"/>
          <w:szCs w:val="24"/>
        </w:rPr>
        <w:t xml:space="preserve"> extracted cell walls from exponential phase cultures</w:t>
      </w:r>
      <w:r>
        <w:rPr>
          <w:rFonts w:ascii="Times New Roman" w:hAnsi="Times New Roman" w:cs="Times New Roman"/>
          <w:sz w:val="24"/>
          <w:szCs w:val="24"/>
        </w:rPr>
        <w:t xml:space="preserve"> of ovococci.</w:t>
      </w:r>
      <w:r w:rsidRPr="00CA586E">
        <w:rPr>
          <w:rFonts w:ascii="Times New Roman" w:hAnsi="Times New Roman" w:cs="Times New Roman"/>
          <w:sz w:val="24"/>
          <w:szCs w:val="24"/>
        </w:rPr>
        <w:t xml:space="preserve"> </w:t>
      </w:r>
      <w:proofErr w:type="gramStart"/>
      <w:r w:rsidRPr="00CA586E">
        <w:rPr>
          <w:rFonts w:ascii="Times New Roman" w:hAnsi="Times New Roman" w:cs="Times New Roman"/>
          <w:sz w:val="24"/>
          <w:szCs w:val="24"/>
        </w:rPr>
        <w:t>(</w:t>
      </w:r>
      <w:r>
        <w:rPr>
          <w:rFonts w:ascii="Times New Roman" w:hAnsi="Times New Roman" w:cs="Times New Roman"/>
          <w:sz w:val="24"/>
          <w:szCs w:val="24"/>
        </w:rPr>
        <w:t>A</w:t>
      </w:r>
      <w:r w:rsidRPr="00CA586E">
        <w:rPr>
          <w:rFonts w:ascii="Times New Roman" w:hAnsi="Times New Roman" w:cs="Times New Roman"/>
          <w:sz w:val="24"/>
          <w:szCs w:val="24"/>
        </w:rPr>
        <w:t xml:space="preserve">) </w:t>
      </w:r>
      <w:r w:rsidRPr="00CA586E">
        <w:rPr>
          <w:rFonts w:ascii="Times New Roman" w:hAnsi="Times New Roman" w:cs="Times New Roman"/>
          <w:i/>
          <w:iCs/>
          <w:sz w:val="24"/>
          <w:szCs w:val="24"/>
        </w:rPr>
        <w:t xml:space="preserve">S. pneumoniae </w:t>
      </w:r>
      <w:r w:rsidRPr="00CA586E">
        <w:rPr>
          <w:rFonts w:ascii="Times New Roman" w:hAnsi="Times New Roman" w:cs="Times New Roman"/>
          <w:sz w:val="24"/>
          <w:szCs w:val="24"/>
        </w:rPr>
        <w:t xml:space="preserve">R6, </w:t>
      </w:r>
      <w:r>
        <w:rPr>
          <w:rFonts w:ascii="Times New Roman" w:hAnsi="Times New Roman" w:cs="Times New Roman"/>
          <w:sz w:val="24"/>
          <w:szCs w:val="24"/>
        </w:rPr>
        <w:t xml:space="preserve">(B) </w:t>
      </w:r>
      <w:r w:rsidRPr="00CA586E">
        <w:rPr>
          <w:rFonts w:ascii="Times New Roman" w:hAnsi="Times New Roman" w:cs="Times New Roman"/>
          <w:i/>
          <w:iCs/>
          <w:sz w:val="24"/>
          <w:szCs w:val="24"/>
        </w:rPr>
        <w:t xml:space="preserve">L. lactis </w:t>
      </w:r>
      <w:r w:rsidRPr="00CA586E">
        <w:rPr>
          <w:rFonts w:ascii="Times New Roman" w:hAnsi="Times New Roman" w:cs="Times New Roman"/>
          <w:sz w:val="24"/>
          <w:szCs w:val="24"/>
        </w:rPr>
        <w:t xml:space="preserve">MG1363 </w:t>
      </w:r>
      <w:r>
        <w:rPr>
          <w:rFonts w:ascii="Times New Roman" w:hAnsi="Times New Roman" w:cs="Times New Roman"/>
          <w:sz w:val="24"/>
          <w:szCs w:val="24"/>
        </w:rPr>
        <w:t>(C)</w:t>
      </w:r>
      <w:r w:rsidRPr="00CA586E">
        <w:rPr>
          <w:rFonts w:ascii="Times New Roman" w:hAnsi="Times New Roman" w:cs="Times New Roman"/>
          <w:sz w:val="24"/>
          <w:szCs w:val="24"/>
        </w:rPr>
        <w:t xml:space="preserve"> VES5751 [a wall polysaccharide mutant</w:t>
      </w:r>
      <w:r>
        <w:rPr>
          <w:rFonts w:ascii="Times New Roman" w:hAnsi="Times New Roman" w:cs="Times New Roman"/>
          <w:sz w:val="24"/>
          <w:szCs w:val="24"/>
        </w:rPr>
        <w:t xml:space="preserve"> </w:t>
      </w:r>
      <w:r w:rsidRPr="00CA586E">
        <w:rPr>
          <w:rFonts w:ascii="Times New Roman" w:hAnsi="Times New Roman" w:cs="Times New Roman"/>
          <w:sz w:val="24"/>
          <w:szCs w:val="24"/>
        </w:rPr>
        <w:t xml:space="preserve">derivative of MG1363 (Chapot-Chartier </w:t>
      </w:r>
      <w:r w:rsidRPr="00294AE4">
        <w:rPr>
          <w:rFonts w:ascii="Times New Roman" w:hAnsi="Times New Roman" w:cs="Times New Roman"/>
          <w:i/>
          <w:iCs/>
          <w:sz w:val="24"/>
          <w:szCs w:val="24"/>
        </w:rPr>
        <w:t>et al</w:t>
      </w:r>
      <w:r w:rsidRPr="00CA586E">
        <w:rPr>
          <w:rFonts w:ascii="Times New Roman" w:hAnsi="Times New Roman" w:cs="Times New Roman"/>
          <w:sz w:val="24"/>
          <w:szCs w:val="24"/>
        </w:rPr>
        <w:t xml:space="preserve">., 2010)], and </w:t>
      </w:r>
      <w:r>
        <w:rPr>
          <w:rFonts w:ascii="Times New Roman" w:hAnsi="Times New Roman" w:cs="Times New Roman"/>
          <w:sz w:val="24"/>
          <w:szCs w:val="24"/>
        </w:rPr>
        <w:t xml:space="preserve">(D) </w:t>
      </w:r>
      <w:r w:rsidRPr="00CA586E">
        <w:rPr>
          <w:rFonts w:ascii="Times New Roman" w:hAnsi="Times New Roman" w:cs="Times New Roman"/>
          <w:i/>
          <w:iCs/>
          <w:sz w:val="24"/>
          <w:szCs w:val="24"/>
        </w:rPr>
        <w:t xml:space="preserve">E. faecalis </w:t>
      </w:r>
      <w:r w:rsidRPr="00CA586E">
        <w:rPr>
          <w:rFonts w:ascii="Times New Roman" w:hAnsi="Times New Roman" w:cs="Times New Roman"/>
          <w:sz w:val="24"/>
          <w:szCs w:val="24"/>
        </w:rPr>
        <w:t>JH2-2</w:t>
      </w:r>
      <w:r>
        <w:rPr>
          <w:rFonts w:ascii="Times New Roman" w:hAnsi="Times New Roman" w:cs="Times New Roman"/>
          <w:sz w:val="24"/>
          <w:szCs w:val="24"/>
        </w:rPr>
        <w:t>.</w:t>
      </w:r>
      <w:proofErr w:type="gramEnd"/>
      <w:r>
        <w:rPr>
          <w:rFonts w:ascii="Times New Roman" w:hAnsi="Times New Roman" w:cs="Times New Roman"/>
          <w:sz w:val="24"/>
          <w:szCs w:val="24"/>
        </w:rPr>
        <w:t xml:space="preserve"> A</w:t>
      </w:r>
      <w:r w:rsidRPr="00CA586E">
        <w:rPr>
          <w:rFonts w:ascii="Times New Roman" w:hAnsi="Times New Roman" w:cs="Times New Roman"/>
          <w:sz w:val="24"/>
          <w:szCs w:val="24"/>
        </w:rPr>
        <w:t>nnular features associated with growth and division</w:t>
      </w:r>
      <w:r>
        <w:rPr>
          <w:rFonts w:ascii="Times New Roman" w:hAnsi="Times New Roman" w:cs="Times New Roman"/>
          <w:sz w:val="24"/>
          <w:szCs w:val="24"/>
        </w:rPr>
        <w:t xml:space="preserve"> are indicated </w:t>
      </w:r>
      <w:r w:rsidRPr="00CA586E">
        <w:rPr>
          <w:rFonts w:ascii="Times New Roman" w:hAnsi="Times New Roman" w:cs="Times New Roman"/>
          <w:sz w:val="24"/>
          <w:szCs w:val="24"/>
        </w:rPr>
        <w:t>(septum and equatorial rings).</w:t>
      </w:r>
      <w:r>
        <w:rPr>
          <w:rFonts w:ascii="Times New Roman" w:hAnsi="Times New Roman" w:cs="Times New Roman"/>
          <w:sz w:val="24"/>
          <w:szCs w:val="24"/>
        </w:rPr>
        <w:t xml:space="preserve"> Scales: (A)</w:t>
      </w:r>
      <w:r w:rsidRPr="00CA586E">
        <w:rPr>
          <w:rFonts w:ascii="Times New Roman" w:hAnsi="Times New Roman" w:cs="Times New Roman"/>
          <w:sz w:val="24"/>
          <w:szCs w:val="24"/>
        </w:rPr>
        <w:t xml:space="preserve"> H 25 nm, P 33°</w:t>
      </w:r>
      <w:r>
        <w:rPr>
          <w:rFonts w:ascii="Times New Roman" w:hAnsi="Times New Roman" w:cs="Times New Roman"/>
          <w:sz w:val="24"/>
          <w:szCs w:val="24"/>
        </w:rPr>
        <w:t>; (B)</w:t>
      </w:r>
      <w:r w:rsidRPr="00CA586E">
        <w:rPr>
          <w:rFonts w:ascii="Times New Roman" w:hAnsi="Times New Roman" w:cs="Times New Roman"/>
          <w:sz w:val="24"/>
          <w:szCs w:val="24"/>
        </w:rPr>
        <w:t xml:space="preserve"> H 50 nm, P 17°</w:t>
      </w:r>
      <w:r>
        <w:rPr>
          <w:rFonts w:ascii="Times New Roman" w:hAnsi="Times New Roman" w:cs="Times New Roman"/>
          <w:sz w:val="24"/>
          <w:szCs w:val="24"/>
        </w:rPr>
        <w:t>; (C)</w:t>
      </w:r>
      <w:r w:rsidRPr="00CA586E">
        <w:rPr>
          <w:rFonts w:ascii="Times New Roman" w:hAnsi="Times New Roman" w:cs="Times New Roman"/>
          <w:sz w:val="24"/>
          <w:szCs w:val="24"/>
        </w:rPr>
        <w:t xml:space="preserve"> H 40 nm, P 40°</w:t>
      </w:r>
      <w:r>
        <w:rPr>
          <w:rFonts w:ascii="Times New Roman" w:hAnsi="Times New Roman" w:cs="Times New Roman"/>
          <w:sz w:val="24"/>
          <w:szCs w:val="24"/>
        </w:rPr>
        <w:t>; (D)</w:t>
      </w:r>
      <w:r w:rsidRPr="00CA586E">
        <w:rPr>
          <w:rFonts w:ascii="Times New Roman" w:hAnsi="Times New Roman" w:cs="Times New Roman"/>
          <w:sz w:val="24"/>
          <w:szCs w:val="24"/>
        </w:rPr>
        <w:t xml:space="preserve"> H 85 nm, P 23°; </w:t>
      </w:r>
      <w:r>
        <w:rPr>
          <w:rFonts w:ascii="Times New Roman" w:hAnsi="Times New Roman" w:cs="Times New Roman"/>
          <w:sz w:val="24"/>
          <w:szCs w:val="24"/>
        </w:rPr>
        <w:t>(E)</w:t>
      </w:r>
      <w:r w:rsidRPr="00CA586E">
        <w:rPr>
          <w:rFonts w:ascii="Times New Roman" w:hAnsi="Times New Roman" w:cs="Times New Roman"/>
          <w:sz w:val="24"/>
          <w:szCs w:val="24"/>
        </w:rPr>
        <w:t xml:space="preserve"> H 35 nm, P 35°, inset H 9 nm, P 27°.</w:t>
      </w:r>
    </w:p>
    <w:p w:rsidR="002D7C9B" w:rsidRDefault="002D7C9B" w:rsidP="002D7C9B">
      <w:pPr>
        <w:rPr>
          <w:rFonts w:ascii="Times New Roman" w:hAnsi="Times New Roman" w:cs="Times New Roman"/>
          <w:sz w:val="28"/>
          <w:szCs w:val="28"/>
        </w:rPr>
      </w:pPr>
      <w:r>
        <w:rPr>
          <w:rFonts w:ascii="Times New Roman" w:hAnsi="Times New Roman" w:cs="Times New Roman"/>
          <w:sz w:val="28"/>
          <w:szCs w:val="28"/>
        </w:rPr>
        <w:br w:type="page"/>
      </w:r>
    </w:p>
    <w:p w:rsidR="002D7C9B" w:rsidRDefault="002D7C9B" w:rsidP="002D7C9B">
      <w:pPr>
        <w:jc w:val="center"/>
        <w:rPr>
          <w:rFonts w:ascii="Times New Roman" w:hAnsi="Times New Roman" w:cs="Times New Roman"/>
          <w:sz w:val="28"/>
          <w:szCs w:val="28"/>
        </w:rPr>
      </w:pPr>
      <w:r w:rsidRPr="00C07A8D">
        <w:rPr>
          <w:noProof/>
          <w:lang w:eastAsia="en-GB"/>
        </w:rPr>
        <w:lastRenderedPageBreak/>
        <w:drawing>
          <wp:inline distT="0" distB="0" distL="0" distR="0">
            <wp:extent cx="4320000" cy="3502703"/>
            <wp:effectExtent l="0" t="0" r="0" b="0"/>
            <wp:docPr id="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srcRect/>
                    <a:stretch>
                      <a:fillRect/>
                    </a:stretch>
                  </pic:blipFill>
                  <pic:spPr bwMode="auto">
                    <a:xfrm>
                      <a:off x="0" y="0"/>
                      <a:ext cx="4320000" cy="3502703"/>
                    </a:xfrm>
                    <a:prstGeom prst="rect">
                      <a:avLst/>
                    </a:prstGeom>
                    <a:noFill/>
                    <a:ln w="9525">
                      <a:noFill/>
                      <a:miter lim="800000"/>
                      <a:headEnd/>
                      <a:tailEnd/>
                    </a:ln>
                  </pic:spPr>
                </pic:pic>
              </a:graphicData>
            </a:graphic>
          </wp:inline>
        </w:drawing>
      </w:r>
    </w:p>
    <w:p w:rsidR="002D7C9B" w:rsidRPr="00C52BFA" w:rsidRDefault="002D7C9B" w:rsidP="002D7C9B">
      <w:pPr>
        <w:autoSpaceDE w:val="0"/>
        <w:autoSpaceDN w:val="0"/>
        <w:adjustRightInd w:val="0"/>
        <w:spacing w:after="0" w:line="360" w:lineRule="auto"/>
        <w:jc w:val="both"/>
        <w:rPr>
          <w:rFonts w:ascii="Times New Roman" w:hAnsi="Times New Roman" w:cs="Times New Roman"/>
          <w:sz w:val="24"/>
          <w:szCs w:val="24"/>
        </w:rPr>
      </w:pPr>
      <w:proofErr w:type="gramStart"/>
      <w:r w:rsidRPr="00C52BFA">
        <w:rPr>
          <w:rFonts w:ascii="Times New Roman" w:hAnsi="Times New Roman" w:cs="Times New Roman"/>
          <w:b/>
          <w:sz w:val="24"/>
          <w:szCs w:val="24"/>
        </w:rPr>
        <w:t>Fig</w:t>
      </w:r>
      <w:r>
        <w:rPr>
          <w:rFonts w:ascii="Times New Roman" w:hAnsi="Times New Roman" w:cs="Times New Roman"/>
          <w:b/>
          <w:sz w:val="24"/>
          <w:szCs w:val="24"/>
        </w:rPr>
        <w:t>ure</w:t>
      </w:r>
      <w:r w:rsidRPr="00C52BFA">
        <w:rPr>
          <w:rFonts w:ascii="Times New Roman" w:hAnsi="Times New Roman" w:cs="Times New Roman"/>
          <w:b/>
          <w:sz w:val="24"/>
          <w:szCs w:val="24"/>
        </w:rPr>
        <w:t xml:space="preserve"> 3.</w:t>
      </w:r>
      <w:r>
        <w:rPr>
          <w:rFonts w:ascii="Times New Roman" w:hAnsi="Times New Roman" w:cs="Times New Roman"/>
          <w:b/>
          <w:sz w:val="24"/>
          <w:szCs w:val="24"/>
        </w:rPr>
        <w:t>9</w:t>
      </w:r>
      <w:r w:rsidRPr="00C52BFA">
        <w:rPr>
          <w:rFonts w:ascii="Times New Roman" w:hAnsi="Times New Roman" w:cs="Times New Roman"/>
          <w:b/>
          <w:sz w:val="24"/>
          <w:szCs w:val="24"/>
        </w:rPr>
        <w:t>.</w:t>
      </w:r>
      <w:proofErr w:type="gramEnd"/>
      <w:r w:rsidRPr="00C52BFA">
        <w:rPr>
          <w:rFonts w:ascii="Times New Roman" w:hAnsi="Times New Roman" w:cs="Times New Roman"/>
          <w:b/>
          <w:sz w:val="24"/>
          <w:szCs w:val="24"/>
        </w:rPr>
        <w:t xml:space="preserve"> </w:t>
      </w:r>
      <w:proofErr w:type="gramStart"/>
      <w:r>
        <w:rPr>
          <w:rFonts w:ascii="Times New Roman" w:hAnsi="Times New Roman" w:cs="Times New Roman"/>
          <w:b/>
          <w:sz w:val="24"/>
          <w:szCs w:val="24"/>
        </w:rPr>
        <w:t>Single leaf t</w:t>
      </w:r>
      <w:r w:rsidRPr="00C52BFA">
        <w:rPr>
          <w:rFonts w:ascii="Times New Roman" w:hAnsi="Times New Roman" w:cs="Times New Roman"/>
          <w:b/>
          <w:sz w:val="24"/>
          <w:szCs w:val="24"/>
        </w:rPr>
        <w:t>hickness measurements of extracted cell walls and purified peptidoglycan sacculi.</w:t>
      </w:r>
      <w:proofErr w:type="gramEnd"/>
      <w:r w:rsidRPr="00C52BFA">
        <w:rPr>
          <w:rFonts w:ascii="Times New Roman" w:hAnsi="Times New Roman" w:cs="Times New Roman"/>
          <w:sz w:val="24"/>
          <w:szCs w:val="24"/>
        </w:rPr>
        <w:t xml:space="preserve"> </w:t>
      </w:r>
      <w:r>
        <w:rPr>
          <w:rFonts w:ascii="Times New Roman" w:hAnsi="Times New Roman" w:cs="Times New Roman"/>
          <w:sz w:val="24"/>
          <w:szCs w:val="24"/>
        </w:rPr>
        <w:t xml:space="preserve">Blue bars show single leaf thickness measurements of extracted </w:t>
      </w:r>
      <w:r w:rsidRPr="00C52BFA">
        <w:rPr>
          <w:rFonts w:ascii="Times New Roman" w:hAnsi="Times New Roman" w:cs="Times New Roman"/>
          <w:sz w:val="24"/>
          <w:szCs w:val="24"/>
        </w:rPr>
        <w:t>cell walls</w:t>
      </w:r>
      <w:r>
        <w:rPr>
          <w:rFonts w:ascii="Times New Roman" w:hAnsi="Times New Roman" w:cs="Times New Roman"/>
          <w:sz w:val="24"/>
          <w:szCs w:val="24"/>
        </w:rPr>
        <w:t xml:space="preserve"> prior to removal of secondary wall polymers. Red bars represent single leaf thickness measurements of </w:t>
      </w:r>
      <w:r w:rsidRPr="00C52BFA">
        <w:rPr>
          <w:rFonts w:ascii="Times New Roman" w:hAnsi="Times New Roman" w:cs="Times New Roman"/>
          <w:sz w:val="24"/>
          <w:szCs w:val="24"/>
        </w:rPr>
        <w:t xml:space="preserve">purified peptidoglycan sacculi after removal of </w:t>
      </w:r>
      <w:r>
        <w:rPr>
          <w:rFonts w:ascii="Times New Roman" w:hAnsi="Times New Roman" w:cs="Times New Roman"/>
          <w:sz w:val="24"/>
          <w:szCs w:val="24"/>
        </w:rPr>
        <w:t xml:space="preserve">secondary </w:t>
      </w:r>
      <w:r w:rsidRPr="00C52BFA">
        <w:rPr>
          <w:rFonts w:ascii="Times New Roman" w:hAnsi="Times New Roman" w:cs="Times New Roman"/>
          <w:sz w:val="24"/>
          <w:szCs w:val="24"/>
        </w:rPr>
        <w:t xml:space="preserve">wall polymers </w:t>
      </w:r>
      <w:r>
        <w:rPr>
          <w:rFonts w:ascii="Times New Roman" w:hAnsi="Times New Roman" w:cs="Times New Roman"/>
          <w:sz w:val="24"/>
          <w:szCs w:val="24"/>
        </w:rPr>
        <w:t>with 48% (v/v) HF.</w:t>
      </w:r>
      <w:r w:rsidRPr="00C52BFA">
        <w:rPr>
          <w:rFonts w:ascii="Times New Roman" w:hAnsi="Times New Roman" w:cs="Times New Roman"/>
          <w:sz w:val="24"/>
          <w:szCs w:val="24"/>
        </w:rPr>
        <w:t xml:space="preserve"> Error bars show </w:t>
      </w:r>
      <w:r>
        <w:rPr>
          <w:rFonts w:ascii="Times New Roman" w:hAnsi="Times New Roman" w:cs="Times New Roman"/>
          <w:sz w:val="24"/>
          <w:szCs w:val="24"/>
        </w:rPr>
        <w:t xml:space="preserve">the </w:t>
      </w:r>
      <w:r w:rsidRPr="00C52BFA">
        <w:rPr>
          <w:rFonts w:ascii="Times New Roman" w:hAnsi="Times New Roman" w:cs="Times New Roman"/>
          <w:sz w:val="24"/>
          <w:szCs w:val="24"/>
        </w:rPr>
        <w:t>standard deviation from the mean.</w:t>
      </w:r>
      <w:r>
        <w:rPr>
          <w:rFonts w:ascii="Times New Roman" w:hAnsi="Times New Roman" w:cs="Times New Roman"/>
          <w:sz w:val="24"/>
          <w:szCs w:val="24"/>
        </w:rPr>
        <w:t xml:space="preserve"> Number of sacculi measured for each sample is as follows: extracted cell walls (blue bars) </w:t>
      </w:r>
      <w:r w:rsidRPr="00D95C4C">
        <w:rPr>
          <w:rFonts w:ascii="Times New Roman" w:hAnsi="Times New Roman" w:cs="Times New Roman"/>
          <w:sz w:val="24"/>
          <w:szCs w:val="24"/>
          <w:lang w:val="en-US"/>
        </w:rPr>
        <w:t>R6</w:t>
      </w:r>
      <w:r w:rsidRPr="00D95C4C">
        <w:rPr>
          <w:rFonts w:ascii="Times New Roman" w:hAnsi="Times New Roman" w:cs="Times New Roman"/>
          <w:i/>
          <w:sz w:val="24"/>
          <w:szCs w:val="24"/>
          <w:lang w:val="en-US"/>
        </w:rPr>
        <w:t xml:space="preserve"> </w:t>
      </w:r>
      <w:r w:rsidRPr="00D95C4C">
        <w:rPr>
          <w:rFonts w:ascii="Times New Roman" w:hAnsi="Times New Roman" w:cs="Times New Roman"/>
          <w:sz w:val="24"/>
          <w:szCs w:val="24"/>
          <w:lang w:val="en-US"/>
        </w:rPr>
        <w:t>n=</w:t>
      </w:r>
      <w:r>
        <w:rPr>
          <w:rFonts w:ascii="Times New Roman" w:hAnsi="Times New Roman" w:cs="Times New Roman"/>
          <w:sz w:val="24"/>
          <w:szCs w:val="24"/>
          <w:lang w:val="en-US"/>
        </w:rPr>
        <w:t>22</w:t>
      </w:r>
      <w:r w:rsidRPr="00D95C4C">
        <w:rPr>
          <w:rFonts w:ascii="Times New Roman" w:hAnsi="Times New Roman" w:cs="Times New Roman"/>
          <w:sz w:val="24"/>
          <w:szCs w:val="24"/>
          <w:lang w:val="en-US"/>
        </w:rPr>
        <w:t>,</w:t>
      </w:r>
      <w:r w:rsidRPr="00D95C4C">
        <w:rPr>
          <w:rFonts w:ascii="Times New Roman" w:hAnsi="Times New Roman" w:cs="Times New Roman"/>
          <w:i/>
          <w:sz w:val="24"/>
          <w:szCs w:val="24"/>
          <w:lang w:val="en-US"/>
        </w:rPr>
        <w:t xml:space="preserve"> </w:t>
      </w:r>
      <w:r w:rsidRPr="00D95C4C">
        <w:rPr>
          <w:rFonts w:ascii="Times New Roman" w:hAnsi="Times New Roman" w:cs="Times New Roman"/>
          <w:sz w:val="24"/>
          <w:szCs w:val="24"/>
          <w:lang w:val="en-US"/>
        </w:rPr>
        <w:t>MG1363 n=</w:t>
      </w:r>
      <w:r>
        <w:rPr>
          <w:rFonts w:ascii="Times New Roman" w:hAnsi="Times New Roman" w:cs="Times New Roman"/>
          <w:sz w:val="24"/>
          <w:szCs w:val="24"/>
          <w:lang w:val="en-US"/>
        </w:rPr>
        <w:t>37</w:t>
      </w:r>
      <w:r w:rsidRPr="00D95C4C">
        <w:rPr>
          <w:rFonts w:ascii="Times New Roman" w:hAnsi="Times New Roman" w:cs="Times New Roman"/>
          <w:sz w:val="24"/>
          <w:szCs w:val="24"/>
          <w:lang w:val="en-US"/>
        </w:rPr>
        <w:t>, VES5751 n=1</w:t>
      </w:r>
      <w:r>
        <w:rPr>
          <w:rFonts w:ascii="Times New Roman" w:hAnsi="Times New Roman" w:cs="Times New Roman"/>
          <w:sz w:val="24"/>
          <w:szCs w:val="24"/>
          <w:lang w:val="en-US"/>
        </w:rPr>
        <w:t xml:space="preserve">9, </w:t>
      </w:r>
      <w:r w:rsidRPr="00D95C4C">
        <w:rPr>
          <w:rFonts w:ascii="Times New Roman" w:hAnsi="Times New Roman" w:cs="Times New Roman"/>
          <w:sz w:val="24"/>
          <w:szCs w:val="24"/>
          <w:lang w:val="en-US"/>
        </w:rPr>
        <w:t>JH2-2 n=</w:t>
      </w:r>
      <w:r>
        <w:rPr>
          <w:rFonts w:ascii="Times New Roman" w:hAnsi="Times New Roman" w:cs="Times New Roman"/>
          <w:sz w:val="24"/>
          <w:szCs w:val="24"/>
          <w:lang w:val="en-US"/>
        </w:rPr>
        <w:t>22</w:t>
      </w:r>
      <w:r>
        <w:rPr>
          <w:rFonts w:ascii="Times New Roman" w:hAnsi="Times New Roman" w:cs="Times New Roman"/>
          <w:sz w:val="24"/>
          <w:szCs w:val="24"/>
        </w:rPr>
        <w:t xml:space="preserve">; </w:t>
      </w:r>
      <w:r>
        <w:rPr>
          <w:rFonts w:ascii="Times New Roman" w:hAnsi="Times New Roman" w:cs="Times New Roman"/>
          <w:sz w:val="24"/>
          <w:szCs w:val="24"/>
          <w:lang w:val="en-US"/>
        </w:rPr>
        <w:t xml:space="preserve">purified sacculi (red bars) </w:t>
      </w:r>
      <w:r w:rsidRPr="00D95C4C">
        <w:rPr>
          <w:rFonts w:ascii="Times New Roman" w:hAnsi="Times New Roman" w:cs="Times New Roman"/>
          <w:sz w:val="24"/>
          <w:szCs w:val="24"/>
          <w:lang w:val="en-US"/>
        </w:rPr>
        <w:t>R6</w:t>
      </w:r>
      <w:r w:rsidRPr="00D95C4C">
        <w:rPr>
          <w:rFonts w:ascii="Times New Roman" w:hAnsi="Times New Roman" w:cs="Times New Roman"/>
          <w:i/>
          <w:sz w:val="24"/>
          <w:szCs w:val="24"/>
          <w:lang w:val="en-US"/>
        </w:rPr>
        <w:t xml:space="preserve"> </w:t>
      </w:r>
      <w:r w:rsidRPr="00D95C4C">
        <w:rPr>
          <w:rFonts w:ascii="Times New Roman" w:hAnsi="Times New Roman" w:cs="Times New Roman"/>
          <w:sz w:val="24"/>
          <w:szCs w:val="24"/>
          <w:lang w:val="en-US"/>
        </w:rPr>
        <w:t>n=42,</w:t>
      </w:r>
      <w:r w:rsidRPr="00D95C4C">
        <w:rPr>
          <w:rFonts w:ascii="Times New Roman" w:hAnsi="Times New Roman" w:cs="Times New Roman"/>
          <w:i/>
          <w:sz w:val="24"/>
          <w:szCs w:val="24"/>
          <w:lang w:val="en-US"/>
        </w:rPr>
        <w:t xml:space="preserve"> </w:t>
      </w:r>
      <w:r w:rsidRPr="00D95C4C">
        <w:rPr>
          <w:rFonts w:ascii="Times New Roman" w:hAnsi="Times New Roman" w:cs="Times New Roman"/>
          <w:sz w:val="24"/>
          <w:szCs w:val="24"/>
          <w:lang w:val="en-US"/>
        </w:rPr>
        <w:t>MG1363 n=75, VES5751 n=18</w:t>
      </w:r>
      <w:r>
        <w:rPr>
          <w:rFonts w:ascii="Times New Roman" w:hAnsi="Times New Roman" w:cs="Times New Roman"/>
          <w:sz w:val="24"/>
          <w:szCs w:val="24"/>
          <w:lang w:val="en-US"/>
        </w:rPr>
        <w:t xml:space="preserve">, </w:t>
      </w:r>
      <w:r w:rsidRPr="00D95C4C">
        <w:rPr>
          <w:rFonts w:ascii="Times New Roman" w:hAnsi="Times New Roman" w:cs="Times New Roman"/>
          <w:sz w:val="24"/>
          <w:szCs w:val="24"/>
          <w:lang w:val="en-US"/>
        </w:rPr>
        <w:t>JH2-2 n=41.</w:t>
      </w:r>
    </w:p>
    <w:p w:rsidR="002D7C9B" w:rsidRDefault="002D7C9B" w:rsidP="002D7C9B">
      <w:pPr>
        <w:rPr>
          <w:rFonts w:ascii="Times New Roman" w:hAnsi="Times New Roman" w:cs="Times New Roman"/>
          <w:sz w:val="28"/>
          <w:szCs w:val="28"/>
        </w:rPr>
      </w:pPr>
      <w:r>
        <w:rPr>
          <w:rFonts w:ascii="Times New Roman" w:hAnsi="Times New Roman" w:cs="Times New Roman"/>
          <w:sz w:val="28"/>
          <w:szCs w:val="28"/>
        </w:rPr>
        <w:br w:type="page"/>
      </w:r>
    </w:p>
    <w:p w:rsidR="002D7C9B" w:rsidRPr="00C00F77" w:rsidRDefault="002D7C9B" w:rsidP="002D7C9B">
      <w:pPr>
        <w:spacing w:after="120" w:line="480" w:lineRule="auto"/>
        <w:jc w:val="both"/>
        <w:rPr>
          <w:rFonts w:ascii="Times New Roman" w:hAnsi="Times New Roman" w:cs="Times New Roman"/>
          <w:color w:val="000000" w:themeColor="text1"/>
          <w:sz w:val="24"/>
          <w:szCs w:val="24"/>
          <w:lang w:val="en-US"/>
        </w:rPr>
      </w:pPr>
      <w:r w:rsidRPr="00D95C4C">
        <w:rPr>
          <w:rFonts w:ascii="Times New Roman" w:hAnsi="Times New Roman" w:cs="Times New Roman"/>
          <w:sz w:val="24"/>
          <w:szCs w:val="24"/>
          <w:lang w:val="en-US"/>
        </w:rPr>
        <w:lastRenderedPageBreak/>
        <w:t xml:space="preserve">of </w:t>
      </w:r>
      <w:r w:rsidRPr="00D95C4C">
        <w:rPr>
          <w:rFonts w:ascii="Times New Roman" w:hAnsi="Times New Roman" w:cs="Times New Roman"/>
          <w:i/>
          <w:sz w:val="24"/>
          <w:szCs w:val="24"/>
          <w:lang w:val="en-US"/>
        </w:rPr>
        <w:t>L. lactis</w:t>
      </w:r>
      <w:r w:rsidRPr="00D95C4C">
        <w:rPr>
          <w:rFonts w:ascii="Times New Roman" w:hAnsi="Times New Roman" w:cs="Times New Roman"/>
          <w:sz w:val="24"/>
          <w:szCs w:val="24"/>
          <w:lang w:val="en-US"/>
        </w:rPr>
        <w:t xml:space="preserve"> and </w:t>
      </w:r>
      <w:r w:rsidRPr="00D95C4C">
        <w:rPr>
          <w:rFonts w:ascii="Times New Roman" w:hAnsi="Times New Roman" w:cs="Times New Roman"/>
          <w:i/>
          <w:sz w:val="24"/>
          <w:szCs w:val="24"/>
          <w:lang w:val="en-US"/>
        </w:rPr>
        <w:t>E. faecalis</w:t>
      </w:r>
      <w:r w:rsidRPr="00D95C4C">
        <w:rPr>
          <w:rFonts w:ascii="Times New Roman" w:hAnsi="Times New Roman" w:cs="Times New Roman"/>
          <w:sz w:val="24"/>
          <w:szCs w:val="24"/>
          <w:lang w:val="en-US"/>
        </w:rPr>
        <w:t xml:space="preserve"> consistently contained a single growth annulus at the mid-cell </w:t>
      </w:r>
      <w:r w:rsidRPr="00C00F77">
        <w:rPr>
          <w:rFonts w:ascii="Times New Roman" w:hAnsi="Times New Roman" w:cs="Times New Roman"/>
          <w:color w:val="000000" w:themeColor="text1"/>
          <w:sz w:val="24"/>
          <w:szCs w:val="24"/>
          <w:lang w:val="en-US"/>
        </w:rPr>
        <w:t>flanked by equatorial rings (</w:t>
      </w:r>
      <w:r>
        <w:rPr>
          <w:rFonts w:ascii="Times New Roman" w:hAnsi="Times New Roman" w:cs="Times New Roman"/>
          <w:color w:val="000000" w:themeColor="text1"/>
          <w:sz w:val="24"/>
          <w:szCs w:val="24"/>
          <w:lang w:val="en-US"/>
        </w:rPr>
        <w:t>Figure 3.11</w:t>
      </w:r>
      <w:r w:rsidRPr="00C00F77">
        <w:rPr>
          <w:rFonts w:ascii="Times New Roman" w:hAnsi="Times New Roman" w:cs="Times New Roman"/>
          <w:color w:val="000000" w:themeColor="text1"/>
          <w:sz w:val="24"/>
          <w:szCs w:val="24"/>
          <w:lang w:val="en-US"/>
        </w:rPr>
        <w:t xml:space="preserve"> B-D), whilst </w:t>
      </w:r>
      <w:r w:rsidRPr="00C00F77">
        <w:rPr>
          <w:rFonts w:ascii="Times New Roman" w:hAnsi="Times New Roman" w:cs="Times New Roman"/>
          <w:i/>
          <w:color w:val="000000" w:themeColor="text1"/>
          <w:sz w:val="24"/>
          <w:szCs w:val="24"/>
          <w:lang w:val="en-US"/>
        </w:rPr>
        <w:t>S. pneumoniae</w:t>
      </w:r>
      <w:r w:rsidRPr="00C00F77">
        <w:rPr>
          <w:rFonts w:ascii="Times New Roman" w:hAnsi="Times New Roman" w:cs="Times New Roman"/>
          <w:color w:val="000000" w:themeColor="text1"/>
          <w:sz w:val="24"/>
          <w:szCs w:val="24"/>
          <w:lang w:val="en-US"/>
        </w:rPr>
        <w:t xml:space="preserve"> sacculi carried up to three growth annuli in parallel (</w:t>
      </w:r>
      <w:r>
        <w:rPr>
          <w:rFonts w:ascii="Times New Roman" w:hAnsi="Times New Roman" w:cs="Times New Roman"/>
          <w:color w:val="000000" w:themeColor="text1"/>
          <w:sz w:val="24"/>
          <w:szCs w:val="24"/>
          <w:lang w:val="en-US"/>
        </w:rPr>
        <w:t>Figure 3.11</w:t>
      </w:r>
      <w:r w:rsidRPr="00C00F77">
        <w:rPr>
          <w:rFonts w:ascii="Times New Roman" w:hAnsi="Times New Roman" w:cs="Times New Roman"/>
          <w:color w:val="000000" w:themeColor="text1"/>
          <w:sz w:val="24"/>
          <w:szCs w:val="24"/>
          <w:lang w:val="en-US"/>
        </w:rPr>
        <w:t xml:space="preserve"> A). Equatorial rings were less distinct than features associated with nascent synthesis, appearing as a thickened ring of peptidoglycan, the nanoscale architecture of which was contiguous with the sacculus wall (</w:t>
      </w:r>
      <w:r>
        <w:rPr>
          <w:rFonts w:ascii="Times New Roman" w:hAnsi="Times New Roman" w:cs="Times New Roman"/>
          <w:color w:val="000000" w:themeColor="text1"/>
          <w:sz w:val="24"/>
          <w:szCs w:val="24"/>
          <w:lang w:val="en-US"/>
        </w:rPr>
        <w:t>Figure 3.11</w:t>
      </w:r>
      <w:r w:rsidRPr="00C00F77">
        <w:rPr>
          <w:rFonts w:ascii="Times New Roman" w:hAnsi="Times New Roman" w:cs="Times New Roman"/>
          <w:color w:val="000000" w:themeColor="text1"/>
          <w:sz w:val="24"/>
          <w:szCs w:val="24"/>
          <w:lang w:val="en-US"/>
        </w:rPr>
        <w:t>, insets).</w:t>
      </w:r>
    </w:p>
    <w:p w:rsidR="002D7C9B" w:rsidRPr="00C00F77" w:rsidRDefault="002D7C9B" w:rsidP="002D7C9B">
      <w:pPr>
        <w:spacing w:after="120" w:line="480" w:lineRule="auto"/>
        <w:jc w:val="both"/>
        <w:rPr>
          <w:rFonts w:ascii="Times New Roman" w:hAnsi="Times New Roman" w:cs="Times New Roman"/>
          <w:color w:val="000000" w:themeColor="text1"/>
          <w:sz w:val="24"/>
          <w:szCs w:val="24"/>
          <w:lang w:val="en-US"/>
        </w:rPr>
      </w:pPr>
    </w:p>
    <w:p w:rsidR="002D7C9B" w:rsidRPr="00C00F77" w:rsidRDefault="002D7C9B" w:rsidP="002D7C9B">
      <w:pPr>
        <w:spacing w:after="120" w:line="480" w:lineRule="auto"/>
        <w:jc w:val="both"/>
        <w:rPr>
          <w:rFonts w:ascii="Times New Roman" w:hAnsi="Times New Roman" w:cs="Times New Roman"/>
          <w:color w:val="000000" w:themeColor="text1"/>
          <w:sz w:val="28"/>
          <w:szCs w:val="28"/>
          <w:lang w:val="en-US"/>
        </w:rPr>
      </w:pPr>
      <w:r w:rsidRPr="00C00F77">
        <w:rPr>
          <w:rFonts w:ascii="Times New Roman" w:hAnsi="Times New Roman" w:cs="Times New Roman"/>
          <w:color w:val="000000" w:themeColor="text1"/>
          <w:sz w:val="28"/>
          <w:szCs w:val="28"/>
          <w:lang w:val="en-US"/>
        </w:rPr>
        <w:t>3.2.4.2</w:t>
      </w:r>
      <w:r w:rsidRPr="00C00F77">
        <w:rPr>
          <w:rFonts w:ascii="Times New Roman" w:hAnsi="Times New Roman" w:cs="Times New Roman"/>
          <w:color w:val="000000" w:themeColor="text1"/>
          <w:sz w:val="28"/>
          <w:szCs w:val="28"/>
          <w:lang w:val="en-US"/>
        </w:rPr>
        <w:tab/>
        <w:t>The interior architecture of purified ovococcal sacculi</w:t>
      </w:r>
    </w:p>
    <w:p w:rsidR="002D7C9B" w:rsidRPr="00C00F77" w:rsidRDefault="002D7C9B" w:rsidP="002D7C9B">
      <w:pPr>
        <w:spacing w:after="120" w:line="480" w:lineRule="auto"/>
        <w:jc w:val="both"/>
        <w:rPr>
          <w:rFonts w:ascii="Times New Roman" w:hAnsi="Times New Roman" w:cs="Times New Roman"/>
          <w:color w:val="000000" w:themeColor="text1"/>
          <w:sz w:val="24"/>
          <w:szCs w:val="24"/>
        </w:rPr>
      </w:pPr>
      <w:r w:rsidRPr="00C00F77">
        <w:rPr>
          <w:rFonts w:ascii="Times New Roman" w:hAnsi="Times New Roman" w:cs="Times New Roman"/>
          <w:color w:val="000000" w:themeColor="text1"/>
          <w:sz w:val="24"/>
          <w:szCs w:val="24"/>
          <w:lang w:val="en-US"/>
        </w:rPr>
        <w:t>The architecture of the sacculus exterior was very smooth, even after HF treatment (</w:t>
      </w:r>
      <w:r>
        <w:rPr>
          <w:rFonts w:ascii="Times New Roman" w:hAnsi="Times New Roman" w:cs="Times New Roman"/>
          <w:color w:val="000000" w:themeColor="text1"/>
          <w:sz w:val="24"/>
          <w:szCs w:val="24"/>
          <w:lang w:val="en-US"/>
        </w:rPr>
        <w:t>Figure 3.11</w:t>
      </w:r>
      <w:r w:rsidRPr="00C00F77">
        <w:rPr>
          <w:rFonts w:ascii="Times New Roman" w:hAnsi="Times New Roman" w:cs="Times New Roman"/>
          <w:color w:val="000000" w:themeColor="text1"/>
          <w:sz w:val="24"/>
          <w:szCs w:val="24"/>
          <w:lang w:val="en-US"/>
        </w:rPr>
        <w:t xml:space="preserve">). This may be due to the action of hydrolases altering peptidoglycan architecture as has been proposed for </w:t>
      </w:r>
      <w:r w:rsidRPr="00C00F77">
        <w:rPr>
          <w:rFonts w:ascii="Times New Roman" w:hAnsi="Times New Roman" w:cs="Times New Roman"/>
          <w:i/>
          <w:color w:val="000000" w:themeColor="text1"/>
          <w:sz w:val="24"/>
          <w:szCs w:val="24"/>
          <w:lang w:val="en-US"/>
        </w:rPr>
        <w:t>B. subtilis</w:t>
      </w:r>
      <w:r w:rsidRPr="00C00F77" w:rsidDel="00AD241C">
        <w:rPr>
          <w:rFonts w:ascii="Times New Roman" w:hAnsi="Times New Roman" w:cs="Times New Roman"/>
          <w:color w:val="000000" w:themeColor="text1"/>
          <w:sz w:val="24"/>
          <w:szCs w:val="24"/>
          <w:lang w:val="en-US"/>
        </w:rPr>
        <w:t xml:space="preserve"> </w:t>
      </w:r>
      <w:r w:rsidRPr="00C00F77">
        <w:rPr>
          <w:rFonts w:ascii="Times New Roman" w:hAnsi="Times New Roman" w:cs="Times New Roman"/>
          <w:color w:val="000000" w:themeColor="text1"/>
          <w:sz w:val="24"/>
          <w:szCs w:val="24"/>
          <w:lang w:val="en-US"/>
        </w:rPr>
        <w:fldChar w:fldCharType="begin"/>
      </w:r>
      <w:r w:rsidRPr="00C00F77">
        <w:rPr>
          <w:rFonts w:ascii="Times New Roman" w:hAnsi="Times New Roman" w:cs="Times New Roman"/>
          <w:color w:val="000000" w:themeColor="text1"/>
          <w:sz w:val="24"/>
          <w:szCs w:val="24"/>
          <w:lang w:val="en-US"/>
        </w:rPr>
        <w:instrText xml:space="preserve"> ADDIN ZOTERO_ITEM CSL_CITATION {"citationID":"cei2l6mcr","properties":{"formattedCitation":"(Smith et al., 2000; Hayhurst et al., 2008)","plainCitation":"(Smith et al., 2000; Hayhurst et al., 2008)"},"citationItems":[{"id":29,"uris":["http://zotero.org/users/944474/items/PW3FWR5H"],"uri":["http://zotero.org/users/944474/items/PW3FWR5H"],"itemData":{"id":29,"type":"article-journal","title":"Autolysins of Bacillus subtilis: multiple enzymes with multiple functions","container-title":"Microbiology (Reading, England)","page":"249-262","volume":"146 ( Pt 2)","note":"PMID: 10708363","shortTitle":"Autolysins of Bacillus subtilis","journalAbbreviation":"Microbiology (Reading, Engl.)","author":[{"family":"Smith","given":"T J"},{"family":"Blackman","given":"S A"},{"family":"Foster","given":"S J"}],"issued":{"year":2000,"month":2},"accessed":{"year":2012,"month":3,"day":6}}},{"id":77,"uris":["http://zotero.org/users/944474/items/Z6IUFDEB"],"uri":["http://zotero.org/users/944474/items/Z6IUFDEB"],"itemData":{"id":77,"type":"article-journal","title":"Cell wall peptidoglycan architecture in Bacillus subtilis","container-title":"Proceedings of the National Academy of Sciences of the United States of America","page":"14603-14608","volume":"105","issue":"38","abstract":"The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polymer.","DOI":"10.1073/pnas.0804138105","note":"PMID: 18784364","journalAbbreviation":"Proc. Natl. Acad. Sci. U.S.A.","author":[{"family":"Hayhurst","given":"Emma J"},{"family":"Kailas","given":"Lekshmi"},{"family":"Hobbs","given":"Jamie K"},{"family":"Foster","given":"Simon J"}],"issued":{"year":2008,"month":9,"day":23},"accessed":{"year":2012,"month":3,"day":7}}}],"schema":"https://github.com/citation-style-language/schema/raw/master/csl-citation.json"} </w:instrText>
      </w:r>
      <w:r w:rsidRPr="00C00F77">
        <w:rPr>
          <w:rFonts w:ascii="Times New Roman" w:hAnsi="Times New Roman" w:cs="Times New Roman"/>
          <w:color w:val="000000" w:themeColor="text1"/>
          <w:sz w:val="24"/>
          <w:szCs w:val="24"/>
          <w:lang w:val="en-US"/>
        </w:rPr>
        <w:fldChar w:fldCharType="separate"/>
      </w:r>
      <w:r w:rsidRPr="00C00F77">
        <w:rPr>
          <w:rFonts w:ascii="Times New Roman" w:hAnsi="Times New Roman" w:cs="Times New Roman"/>
          <w:color w:val="000000" w:themeColor="text1"/>
          <w:sz w:val="24"/>
          <w:szCs w:val="21"/>
        </w:rPr>
        <w:t xml:space="preserve">(Smith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xml:space="preserve">., 2000; Hayhurst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2008)</w:t>
      </w:r>
      <w:r w:rsidRPr="00C00F77">
        <w:rPr>
          <w:rFonts w:ascii="Times New Roman" w:hAnsi="Times New Roman" w:cs="Times New Roman"/>
          <w:color w:val="000000" w:themeColor="text1"/>
          <w:sz w:val="24"/>
          <w:szCs w:val="24"/>
          <w:lang w:val="en-US"/>
        </w:rPr>
        <w:fldChar w:fldCharType="end"/>
      </w:r>
      <w:r w:rsidRPr="00C00F77">
        <w:rPr>
          <w:rFonts w:ascii="Times New Roman" w:hAnsi="Times New Roman" w:cs="Times New Roman"/>
          <w:color w:val="000000" w:themeColor="text1"/>
          <w:sz w:val="24"/>
          <w:szCs w:val="24"/>
          <w:lang w:val="en-US"/>
        </w:rPr>
        <w:t xml:space="preserve">. However the architecture of the sacculus interior may be more distinct. To investigate the interior sacculus architecture, cells were broken by French press or mechanical shearing. </w:t>
      </w:r>
      <w:r w:rsidRPr="00C00F77">
        <w:rPr>
          <w:rFonts w:ascii="Times New Roman" w:hAnsi="Times New Roman" w:cs="Times New Roman"/>
          <w:color w:val="000000" w:themeColor="text1"/>
          <w:sz w:val="24"/>
          <w:szCs w:val="24"/>
        </w:rPr>
        <w:t>In all ovococci, broken sacculi characteristically fractured parallel to the short axis of the cell, usually adjacent to the septal annulus (</w:t>
      </w:r>
      <w:r>
        <w:rPr>
          <w:rFonts w:ascii="Times New Roman" w:hAnsi="Times New Roman" w:cs="Times New Roman"/>
          <w:color w:val="000000" w:themeColor="text1"/>
          <w:sz w:val="24"/>
          <w:szCs w:val="24"/>
        </w:rPr>
        <w:t>Figure 3.12</w:t>
      </w:r>
      <w:r w:rsidRPr="00C00F77">
        <w:rPr>
          <w:rFonts w:ascii="Times New Roman" w:hAnsi="Times New Roman" w:cs="Times New Roman"/>
          <w:color w:val="000000" w:themeColor="text1"/>
          <w:sz w:val="24"/>
          <w:szCs w:val="24"/>
        </w:rPr>
        <w:t xml:space="preserve">A). Intact septa in various stages of completion fragmented as discrete structures in </w:t>
      </w:r>
      <w:r w:rsidRPr="00C00F77">
        <w:rPr>
          <w:rFonts w:ascii="Times New Roman" w:hAnsi="Times New Roman" w:cs="Times New Roman"/>
          <w:i/>
          <w:color w:val="000000" w:themeColor="text1"/>
          <w:sz w:val="24"/>
          <w:szCs w:val="24"/>
        </w:rPr>
        <w:t>E. faecalis</w:t>
      </w:r>
      <w:r w:rsidRPr="00C00F7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Figure 3.12</w:t>
      </w:r>
      <w:r w:rsidRPr="00C00F77">
        <w:rPr>
          <w:rFonts w:ascii="Times New Roman" w:hAnsi="Times New Roman" w:cs="Times New Roman"/>
          <w:color w:val="000000" w:themeColor="text1"/>
          <w:sz w:val="24"/>
          <w:szCs w:val="24"/>
        </w:rPr>
        <w:t xml:space="preserve">B), but were rarely observed with </w:t>
      </w:r>
      <w:r w:rsidRPr="00C00F77">
        <w:rPr>
          <w:rFonts w:ascii="Times New Roman" w:hAnsi="Times New Roman" w:cs="Times New Roman"/>
          <w:i/>
          <w:color w:val="000000" w:themeColor="text1"/>
          <w:sz w:val="24"/>
          <w:szCs w:val="24"/>
        </w:rPr>
        <w:t>S. pneumoniae</w:t>
      </w:r>
      <w:r w:rsidRPr="00C00F77">
        <w:rPr>
          <w:rFonts w:ascii="Times New Roman" w:hAnsi="Times New Roman" w:cs="Times New Roman"/>
          <w:color w:val="000000" w:themeColor="text1"/>
          <w:sz w:val="24"/>
          <w:szCs w:val="24"/>
        </w:rPr>
        <w:t xml:space="preserve"> or </w:t>
      </w:r>
      <w:r w:rsidRPr="00C00F77">
        <w:rPr>
          <w:rFonts w:ascii="Times New Roman" w:hAnsi="Times New Roman" w:cs="Times New Roman"/>
          <w:i/>
          <w:color w:val="000000" w:themeColor="text1"/>
          <w:sz w:val="24"/>
          <w:szCs w:val="24"/>
        </w:rPr>
        <w:t xml:space="preserve">L. lactis </w:t>
      </w:r>
      <w:r w:rsidRPr="00C00F77">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Figure 3.12</w:t>
      </w:r>
      <w:r w:rsidRPr="00C00F77">
        <w:rPr>
          <w:rFonts w:ascii="Times New Roman" w:hAnsi="Times New Roman" w:cs="Times New Roman"/>
          <w:color w:val="000000" w:themeColor="text1"/>
          <w:sz w:val="24"/>
          <w:szCs w:val="24"/>
        </w:rPr>
        <w:t xml:space="preserve">C). </w:t>
      </w:r>
    </w:p>
    <w:p w:rsidR="002D7C9B" w:rsidRPr="00C00F77" w:rsidRDefault="002D7C9B" w:rsidP="002D7C9B">
      <w:pPr>
        <w:spacing w:after="120" w:line="480" w:lineRule="auto"/>
        <w:jc w:val="both"/>
        <w:rPr>
          <w:rFonts w:ascii="Times New Roman" w:eastAsia="Calibri" w:hAnsi="Times New Roman" w:cs="Times New Roman"/>
          <w:color w:val="000000" w:themeColor="text1"/>
          <w:sz w:val="24"/>
          <w:szCs w:val="24"/>
        </w:rPr>
      </w:pPr>
      <w:r w:rsidRPr="00C00F77">
        <w:rPr>
          <w:rFonts w:ascii="Times New Roman" w:eastAsia="Calibri" w:hAnsi="Times New Roman" w:cs="Times New Roman"/>
          <w:color w:val="000000" w:themeColor="text1"/>
          <w:sz w:val="24"/>
          <w:szCs w:val="24"/>
        </w:rPr>
        <w:t xml:space="preserve">When the interior architecture of </w:t>
      </w:r>
      <w:r w:rsidRPr="00C00F77">
        <w:rPr>
          <w:rFonts w:ascii="Times New Roman" w:eastAsia="Calibri" w:hAnsi="Times New Roman" w:cs="Times New Roman"/>
          <w:i/>
          <w:color w:val="000000" w:themeColor="text1"/>
          <w:sz w:val="24"/>
          <w:szCs w:val="24"/>
        </w:rPr>
        <w:t>S. pneumoniae</w:t>
      </w:r>
      <w:r w:rsidRPr="00C00F77">
        <w:rPr>
          <w:rFonts w:ascii="Times New Roman" w:eastAsia="Calibri" w:hAnsi="Times New Roman" w:cs="Times New Roman"/>
          <w:color w:val="000000" w:themeColor="text1"/>
          <w:sz w:val="24"/>
          <w:szCs w:val="24"/>
        </w:rPr>
        <w:t xml:space="preserve"> was exposed, bands of peptidoglycan with average width 18 nm ± 4 nm (n = 31) were observed parallel to the short axis of the peripheral wall (</w:t>
      </w:r>
      <w:r>
        <w:rPr>
          <w:rFonts w:ascii="Times New Roman" w:eastAsia="Calibri" w:hAnsi="Times New Roman" w:cs="Times New Roman"/>
          <w:color w:val="000000" w:themeColor="text1"/>
          <w:sz w:val="24"/>
          <w:szCs w:val="24"/>
        </w:rPr>
        <w:t>Figure 3.13</w:t>
      </w:r>
      <w:r w:rsidRPr="00C00F77">
        <w:rPr>
          <w:rFonts w:ascii="Times New Roman" w:eastAsia="Calibri" w:hAnsi="Times New Roman" w:cs="Times New Roman"/>
          <w:color w:val="000000" w:themeColor="text1"/>
          <w:sz w:val="24"/>
          <w:szCs w:val="24"/>
        </w:rPr>
        <w:t xml:space="preserve">A-E). </w:t>
      </w:r>
      <w:r w:rsidRPr="00C00F77">
        <w:rPr>
          <w:rFonts w:ascii="Times New Roman" w:hAnsi="Times New Roman" w:cs="Times New Roman"/>
          <w:color w:val="000000" w:themeColor="text1"/>
          <w:sz w:val="24"/>
          <w:szCs w:val="24"/>
          <w:lang w:eastAsia="en-GB"/>
        </w:rPr>
        <w:t xml:space="preserve">These bands were much narrower in diameter than peptidoglycan cables imaged in </w:t>
      </w:r>
      <w:r w:rsidRPr="00C00F77">
        <w:rPr>
          <w:rFonts w:ascii="Times New Roman" w:hAnsi="Times New Roman" w:cs="Times New Roman"/>
          <w:i/>
          <w:color w:val="000000" w:themeColor="text1"/>
          <w:sz w:val="24"/>
          <w:szCs w:val="24"/>
          <w:lang w:eastAsia="en-GB"/>
        </w:rPr>
        <w:t>B. subtilis</w:t>
      </w:r>
      <w:r w:rsidRPr="00C00F77">
        <w:rPr>
          <w:rFonts w:ascii="Times New Roman" w:hAnsi="Times New Roman" w:cs="Times New Roman"/>
          <w:color w:val="000000" w:themeColor="text1"/>
          <w:sz w:val="24"/>
          <w:szCs w:val="24"/>
          <w:lang w:eastAsia="en-GB"/>
        </w:rPr>
        <w:t xml:space="preserve"> (~50 nm) and showed no evidence of twisting associated with a cabled wall architecture </w:t>
      </w:r>
      <w:r w:rsidRPr="00C00F77">
        <w:rPr>
          <w:rFonts w:ascii="Times New Roman" w:hAnsi="Times New Roman" w:cs="Times New Roman"/>
          <w:color w:val="000000" w:themeColor="text1"/>
          <w:sz w:val="24"/>
          <w:szCs w:val="24"/>
          <w:lang w:eastAsia="en-GB"/>
        </w:rPr>
        <w:fldChar w:fldCharType="begin"/>
      </w:r>
      <w:r w:rsidRPr="00C00F77">
        <w:rPr>
          <w:rFonts w:ascii="Times New Roman" w:hAnsi="Times New Roman" w:cs="Times New Roman"/>
          <w:color w:val="000000" w:themeColor="text1"/>
          <w:sz w:val="24"/>
          <w:szCs w:val="24"/>
          <w:lang w:eastAsia="en-GB"/>
        </w:rPr>
        <w:instrText xml:space="preserve"> ADDIN ZOTERO_ITEM CSL_CITATION {"citationID":"2o8esb1eas","properties":{"formattedCitation":"(Hayhurst et al., 2008)","plainCitation":"(Hayhurst et al., 2008)"},"citationItems":[{"id":77,"uris":["http://zotero.org/users/944474/items/Z6IUFDEB"],"uri":["http://zotero.org/users/944474/items/Z6IUFDEB"],"itemData":{"id":77,"type":"article-journal","title":"Cell wall peptidoglycan architecture in Bacillus subtilis","container-title":"Proceedings of the National Academy of Sciences of the United States of America","page":"14603-14608","volume":"105","issue":"38","abstract":"The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polymer.","DOI":"10.1073/pnas.0804138105","note":"PMID: 18784364","journalAbbreviation":"Proc. Natl. Acad. Sci. U.S.A.","author":[{"family":"Hayhurst","given":"Emma J"},{"family":"Kailas","given":"Lekshmi"},{"family":"Hobbs","given":"Jamie K"},{"family":"Foster","given":"Simon J"}],"issued":{"year":2008,"month":9,"day":23},"accessed":{"year":2012,"month":3,"day":7}}}],"schema":"https://github.com/citation-style-language/schema/raw/master/csl-citation.json"} </w:instrText>
      </w:r>
      <w:r w:rsidRPr="00C00F77">
        <w:rPr>
          <w:rFonts w:ascii="Times New Roman" w:hAnsi="Times New Roman" w:cs="Times New Roman"/>
          <w:color w:val="000000" w:themeColor="text1"/>
          <w:sz w:val="24"/>
          <w:szCs w:val="24"/>
          <w:lang w:eastAsia="en-GB"/>
        </w:rPr>
        <w:fldChar w:fldCharType="separate"/>
      </w:r>
      <w:r w:rsidRPr="00C00F77">
        <w:rPr>
          <w:rFonts w:ascii="Times New Roman" w:hAnsi="Times New Roman" w:cs="Times New Roman"/>
          <w:color w:val="000000" w:themeColor="text1"/>
          <w:sz w:val="24"/>
          <w:szCs w:val="21"/>
        </w:rPr>
        <w:t xml:space="preserve">(Hayhurst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2008)</w:t>
      </w:r>
      <w:r w:rsidRPr="00C00F77">
        <w:rPr>
          <w:rFonts w:ascii="Times New Roman" w:hAnsi="Times New Roman" w:cs="Times New Roman"/>
          <w:color w:val="000000" w:themeColor="text1"/>
          <w:sz w:val="24"/>
          <w:szCs w:val="24"/>
          <w:lang w:eastAsia="en-GB"/>
        </w:rPr>
        <w:fldChar w:fldCharType="end"/>
      </w:r>
      <w:r w:rsidRPr="00C00F77">
        <w:rPr>
          <w:rFonts w:ascii="Times New Roman" w:hAnsi="Times New Roman" w:cs="Times New Roman"/>
          <w:color w:val="000000" w:themeColor="text1"/>
          <w:sz w:val="24"/>
          <w:szCs w:val="24"/>
          <w:lang w:eastAsia="en-GB"/>
        </w:rPr>
        <w:t xml:space="preserve">. </w:t>
      </w:r>
      <w:r w:rsidRPr="00C00F77">
        <w:rPr>
          <w:rFonts w:ascii="Times New Roman" w:eastAsia="Calibri" w:hAnsi="Times New Roman" w:cs="Times New Roman"/>
          <w:color w:val="000000" w:themeColor="text1"/>
          <w:sz w:val="24"/>
          <w:szCs w:val="24"/>
        </w:rPr>
        <w:t xml:space="preserve">The interior wall of cell poles appeared smooth with subtle centripetal features suggesting that in </w:t>
      </w:r>
      <w:r w:rsidRPr="00C00F77">
        <w:rPr>
          <w:rFonts w:ascii="Times New Roman" w:eastAsia="Calibri" w:hAnsi="Times New Roman" w:cs="Times New Roman"/>
          <w:i/>
          <w:color w:val="000000" w:themeColor="text1"/>
          <w:sz w:val="24"/>
          <w:szCs w:val="24"/>
        </w:rPr>
        <w:lastRenderedPageBreak/>
        <w:t>S.</w:t>
      </w:r>
      <w:r>
        <w:rPr>
          <w:rFonts w:ascii="Times New Roman" w:eastAsia="Calibri" w:hAnsi="Times New Roman" w:cs="Times New Roman"/>
          <w:i/>
          <w:sz w:val="24"/>
          <w:szCs w:val="24"/>
        </w:rPr>
        <w:t> </w:t>
      </w:r>
      <w:r w:rsidRPr="00C00F77">
        <w:rPr>
          <w:rFonts w:ascii="Times New Roman" w:eastAsia="Calibri" w:hAnsi="Times New Roman" w:cs="Times New Roman"/>
          <w:i/>
          <w:color w:val="000000" w:themeColor="text1"/>
          <w:sz w:val="24"/>
          <w:szCs w:val="24"/>
        </w:rPr>
        <w:t xml:space="preserve">pneumoniae </w:t>
      </w:r>
      <w:r w:rsidRPr="00C00F77">
        <w:rPr>
          <w:rFonts w:ascii="Times New Roman" w:eastAsia="Calibri" w:hAnsi="Times New Roman" w:cs="Times New Roman"/>
          <w:color w:val="000000" w:themeColor="text1"/>
          <w:sz w:val="24"/>
          <w:szCs w:val="24"/>
        </w:rPr>
        <w:t>the architecture of peptidoglycan synthesised by septation is distinct from that made at the peripheral wall (</w:t>
      </w:r>
      <w:r>
        <w:rPr>
          <w:rFonts w:ascii="Times New Roman" w:eastAsia="Calibri" w:hAnsi="Times New Roman" w:cs="Times New Roman"/>
          <w:color w:val="000000" w:themeColor="text1"/>
          <w:sz w:val="24"/>
          <w:szCs w:val="24"/>
        </w:rPr>
        <w:t>Figure 3.13</w:t>
      </w:r>
      <w:r w:rsidRPr="00C00F77">
        <w:rPr>
          <w:rFonts w:ascii="Times New Roman" w:eastAsia="Calibri" w:hAnsi="Times New Roman" w:cs="Times New Roman"/>
          <w:color w:val="000000" w:themeColor="text1"/>
          <w:sz w:val="24"/>
          <w:szCs w:val="24"/>
        </w:rPr>
        <w:t xml:space="preserve">F). The distinctive peripheral wall banding pattern was occasionally observed on the interior wall of </w:t>
      </w:r>
      <w:r w:rsidRPr="00C00F77">
        <w:rPr>
          <w:rFonts w:ascii="Times New Roman" w:eastAsia="Calibri" w:hAnsi="Times New Roman" w:cs="Times New Roman"/>
          <w:i/>
          <w:color w:val="000000" w:themeColor="text1"/>
          <w:sz w:val="24"/>
          <w:szCs w:val="24"/>
        </w:rPr>
        <w:t>E. faecalis</w:t>
      </w:r>
      <w:r w:rsidRPr="00C00F77">
        <w:rPr>
          <w:rFonts w:ascii="Times New Roman" w:eastAsia="Calibri" w:hAnsi="Times New Roman" w:cs="Times New Roman"/>
          <w:color w:val="000000" w:themeColor="text1"/>
          <w:sz w:val="24"/>
          <w:szCs w:val="24"/>
        </w:rPr>
        <w:t xml:space="preserve"> but not in </w:t>
      </w:r>
      <w:r w:rsidRPr="00C00F77">
        <w:rPr>
          <w:rFonts w:ascii="Times New Roman" w:eastAsia="Calibri" w:hAnsi="Times New Roman" w:cs="Times New Roman"/>
          <w:i/>
          <w:color w:val="000000" w:themeColor="text1"/>
          <w:sz w:val="24"/>
          <w:szCs w:val="24"/>
        </w:rPr>
        <w:t>L. lactis</w:t>
      </w:r>
      <w:r w:rsidRPr="00C00F77">
        <w:rPr>
          <w:rFonts w:ascii="Times New Roman" w:eastAsia="Calibri" w:hAnsi="Times New Roman" w:cs="Times New Roman"/>
          <w:color w:val="000000" w:themeColor="text1"/>
          <w:sz w:val="24"/>
          <w:szCs w:val="24"/>
        </w:rPr>
        <w:t xml:space="preserve"> samples (</w:t>
      </w:r>
      <w:r>
        <w:rPr>
          <w:rFonts w:ascii="Times New Roman" w:eastAsia="Calibri" w:hAnsi="Times New Roman" w:cs="Times New Roman"/>
          <w:color w:val="000000" w:themeColor="text1"/>
          <w:sz w:val="24"/>
          <w:szCs w:val="24"/>
        </w:rPr>
        <w:t>Figure 3.14</w:t>
      </w:r>
      <w:r w:rsidRPr="00C00F77">
        <w:rPr>
          <w:rFonts w:ascii="Times New Roman" w:eastAsia="Calibri" w:hAnsi="Times New Roman" w:cs="Times New Roman"/>
          <w:color w:val="000000" w:themeColor="text1"/>
          <w:sz w:val="24"/>
          <w:szCs w:val="24"/>
        </w:rPr>
        <w:t>). Although no clear periodicity was observed, the nanoscale architecture suggested that the peptidoglycan network was preferentially orientated in the direction of the short axis (</w:t>
      </w:r>
      <w:r>
        <w:rPr>
          <w:rFonts w:ascii="Times New Roman" w:eastAsia="Calibri" w:hAnsi="Times New Roman" w:cs="Times New Roman"/>
          <w:color w:val="000000" w:themeColor="text1"/>
          <w:sz w:val="24"/>
          <w:szCs w:val="24"/>
        </w:rPr>
        <w:t>Figure 3.13</w:t>
      </w:r>
      <w:r w:rsidRPr="00C00F77">
        <w:rPr>
          <w:rFonts w:ascii="Times New Roman" w:eastAsia="Calibri" w:hAnsi="Times New Roman" w:cs="Times New Roman"/>
          <w:color w:val="000000" w:themeColor="text1"/>
          <w:sz w:val="24"/>
          <w:szCs w:val="24"/>
        </w:rPr>
        <w:t xml:space="preserve"> and 3.1</w:t>
      </w:r>
      <w:r>
        <w:rPr>
          <w:rFonts w:ascii="Times New Roman" w:eastAsia="Calibri" w:hAnsi="Times New Roman" w:cs="Times New Roman"/>
          <w:color w:val="000000" w:themeColor="text1"/>
          <w:sz w:val="24"/>
          <w:szCs w:val="24"/>
        </w:rPr>
        <w:t>4</w:t>
      </w:r>
      <w:r w:rsidRPr="00C00F77">
        <w:rPr>
          <w:rFonts w:ascii="Times New Roman" w:eastAsia="Calibri" w:hAnsi="Times New Roman" w:cs="Times New Roman"/>
          <w:color w:val="000000" w:themeColor="text1"/>
          <w:sz w:val="24"/>
          <w:szCs w:val="24"/>
        </w:rPr>
        <w:t>).</w:t>
      </w:r>
    </w:p>
    <w:p w:rsidR="002D7C9B" w:rsidRPr="00C00F77" w:rsidRDefault="002D7C9B" w:rsidP="002D7C9B">
      <w:pPr>
        <w:spacing w:after="120" w:line="480" w:lineRule="auto"/>
        <w:jc w:val="both"/>
        <w:rPr>
          <w:rFonts w:ascii="Times New Roman" w:eastAsia="Calibri" w:hAnsi="Times New Roman" w:cs="Times New Roman"/>
          <w:color w:val="000000" w:themeColor="text1"/>
          <w:sz w:val="24"/>
          <w:szCs w:val="24"/>
        </w:rPr>
      </w:pPr>
    </w:p>
    <w:p w:rsidR="002D7C9B" w:rsidRPr="00C00F77" w:rsidRDefault="002D7C9B" w:rsidP="002D7C9B">
      <w:pPr>
        <w:spacing w:line="360" w:lineRule="auto"/>
        <w:ind w:left="1418" w:hanging="1418"/>
        <w:jc w:val="both"/>
        <w:rPr>
          <w:rFonts w:ascii="Times New Roman" w:hAnsi="Times New Roman" w:cs="Times New Roman"/>
          <w:color w:val="000000" w:themeColor="text1"/>
          <w:sz w:val="28"/>
          <w:szCs w:val="28"/>
        </w:rPr>
      </w:pPr>
      <w:r w:rsidRPr="00C00F77">
        <w:rPr>
          <w:rFonts w:ascii="Times New Roman" w:hAnsi="Times New Roman" w:cs="Times New Roman"/>
          <w:color w:val="000000" w:themeColor="text1"/>
          <w:sz w:val="28"/>
          <w:szCs w:val="28"/>
        </w:rPr>
        <w:t>3.2.5</w:t>
      </w:r>
      <w:r w:rsidRPr="00C00F77">
        <w:rPr>
          <w:rFonts w:ascii="Times New Roman" w:hAnsi="Times New Roman" w:cs="Times New Roman"/>
          <w:color w:val="000000" w:themeColor="text1"/>
          <w:sz w:val="28"/>
          <w:szCs w:val="28"/>
        </w:rPr>
        <w:tab/>
      </w:r>
      <w:r w:rsidRPr="00C00F77">
        <w:rPr>
          <w:rFonts w:ascii="Times New Roman" w:hAnsi="Times New Roman" w:cs="Times New Roman"/>
          <w:color w:val="000000" w:themeColor="text1"/>
          <w:sz w:val="28"/>
          <w:szCs w:val="28"/>
        </w:rPr>
        <w:tab/>
        <w:t>Investigation of ovococcal cell wall dynamics by fluorescence microscopy</w:t>
      </w:r>
    </w:p>
    <w:p w:rsidR="002D7C9B" w:rsidRPr="00C00F77" w:rsidRDefault="002D7C9B" w:rsidP="002D7C9B">
      <w:pPr>
        <w:spacing w:before="120" w:after="120" w:line="480" w:lineRule="auto"/>
        <w:jc w:val="both"/>
        <w:rPr>
          <w:rFonts w:ascii="Times New Roman" w:hAnsi="Times New Roman" w:cs="Times New Roman"/>
          <w:color w:val="000000" w:themeColor="text1"/>
          <w:sz w:val="24"/>
          <w:szCs w:val="24"/>
        </w:rPr>
        <w:sectPr w:rsidR="002D7C9B" w:rsidRPr="00C00F77" w:rsidSect="002D7C9B">
          <w:type w:val="continuous"/>
          <w:pgSz w:w="11906" w:h="16838"/>
          <w:pgMar w:top="1440" w:right="1134" w:bottom="1440" w:left="2268" w:header="709" w:footer="709" w:gutter="0"/>
          <w:cols w:space="708"/>
          <w:docGrid w:linePitch="360"/>
        </w:sectPr>
      </w:pPr>
      <w:r w:rsidRPr="00C00F77">
        <w:rPr>
          <w:rFonts w:ascii="Times New Roman" w:hAnsi="Times New Roman" w:cs="Times New Roman"/>
          <w:color w:val="000000" w:themeColor="text1"/>
          <w:sz w:val="24"/>
          <w:szCs w:val="24"/>
        </w:rPr>
        <w:t>The cell size of ovococci (~1 µm) is close to the diffraction limit of optical resolution (0.2 µm) and therefore represents a major obstacle to the study of the dynamics of growth and division. Here we used super-resolution fluorescence microscopy to gain insight into the spatial and temporal dynamics of growth and division in ovococci.</w:t>
      </w:r>
    </w:p>
    <w:p w:rsidR="002D7C9B" w:rsidRPr="00C00F77" w:rsidRDefault="002D7C9B" w:rsidP="002D7C9B">
      <w:pPr>
        <w:spacing w:before="120" w:after="120" w:line="480" w:lineRule="auto"/>
        <w:jc w:val="both"/>
        <w:rPr>
          <w:rFonts w:ascii="Times New Roman" w:hAnsi="Times New Roman" w:cs="Times New Roman"/>
          <w:color w:val="000000" w:themeColor="text1"/>
          <w:sz w:val="24"/>
          <w:szCs w:val="24"/>
        </w:rPr>
      </w:pPr>
      <w:r w:rsidRPr="00C00F77">
        <w:rPr>
          <w:rFonts w:ascii="Times New Roman" w:hAnsi="Times New Roman" w:cs="Times New Roman"/>
          <w:color w:val="000000" w:themeColor="text1"/>
          <w:sz w:val="24"/>
          <w:szCs w:val="24"/>
        </w:rPr>
        <w:lastRenderedPageBreak/>
        <w:t xml:space="preserve">Fixed cells, labelled with fluorescent vancomycin, that binds </w:t>
      </w:r>
      <w:r w:rsidRPr="00281449">
        <w:rPr>
          <w:rFonts w:ascii="Times New Roman" w:hAnsi="Times New Roman" w:cs="Times New Roman"/>
          <w:color w:val="000000" w:themeColor="text1"/>
          <w:sz w:val="16"/>
          <w:szCs w:val="16"/>
        </w:rPr>
        <w:t>D</w:t>
      </w:r>
      <w:r w:rsidRPr="00C00F77">
        <w:rPr>
          <w:rFonts w:ascii="Times New Roman" w:hAnsi="Times New Roman" w:cs="Times New Roman"/>
          <w:color w:val="000000" w:themeColor="text1"/>
          <w:sz w:val="24"/>
          <w:szCs w:val="24"/>
        </w:rPr>
        <w:t>-ala-</w:t>
      </w:r>
      <w:r w:rsidRPr="00281449">
        <w:rPr>
          <w:rFonts w:ascii="Times New Roman" w:hAnsi="Times New Roman" w:cs="Times New Roman"/>
          <w:color w:val="000000" w:themeColor="text1"/>
          <w:sz w:val="16"/>
          <w:szCs w:val="16"/>
        </w:rPr>
        <w:t>D</w:t>
      </w:r>
      <w:r w:rsidRPr="00C00F77">
        <w:rPr>
          <w:rFonts w:ascii="Times New Roman" w:hAnsi="Times New Roman" w:cs="Times New Roman"/>
          <w:color w:val="000000" w:themeColor="text1"/>
          <w:sz w:val="24"/>
          <w:szCs w:val="24"/>
        </w:rPr>
        <w:t xml:space="preserve">-ala residues in peptidoglycan, were imaged by OMX three dimensional structured illumination microscopy (3D-SIM; </w:t>
      </w:r>
      <w:r>
        <w:rPr>
          <w:rFonts w:ascii="Times New Roman" w:hAnsi="Times New Roman" w:cs="Times New Roman"/>
          <w:color w:val="000000" w:themeColor="text1"/>
          <w:sz w:val="24"/>
          <w:szCs w:val="24"/>
        </w:rPr>
        <w:t>Figure 3.15;</w:t>
      </w:r>
      <w:r w:rsidRPr="00C00F77">
        <w:rPr>
          <w:rFonts w:ascii="Times New Roman" w:hAnsi="Times New Roman" w:cs="Times New Roman"/>
          <w:color w:val="000000" w:themeColor="text1"/>
          <w:sz w:val="24"/>
          <w:szCs w:val="24"/>
        </w:rPr>
        <w:t xml:space="preserve"> </w:t>
      </w:r>
      <w:r w:rsidRPr="00C00F77">
        <w:rPr>
          <w:rFonts w:ascii="Times New Roman" w:hAnsi="Times New Roman" w:cs="Times New Roman"/>
          <w:color w:val="000000" w:themeColor="text1"/>
          <w:sz w:val="24"/>
          <w:szCs w:val="24"/>
        </w:rPr>
        <w:fldChar w:fldCharType="begin"/>
      </w:r>
      <w:r w:rsidRPr="00C00F77">
        <w:rPr>
          <w:rFonts w:ascii="Times New Roman" w:hAnsi="Times New Roman" w:cs="Times New Roman"/>
          <w:color w:val="000000" w:themeColor="text1"/>
          <w:sz w:val="24"/>
          <w:szCs w:val="24"/>
        </w:rPr>
        <w:instrText xml:space="preserve"> ADDIN ZOTERO_ITEM CSL_CITATION {"citationID":"l1nhfkjp8","properties":{"formattedCitation":"(Gustafsson, 2000; Posch et al., 2010)","plainCitation":"(Gustafsson, 2000; Posch et al., 2010)"},"citationItems":[{"id":107,"uris":["http://zotero.org/users/944474/items/NRMMACNA"],"uri":["http://zotero.org/users/944474/items/NRMMACNA"],"itemData":{"id":107,"type":"article-journal","title":"Surpassing the lateral resolution limit by a factor of two using structured illumination microscopy","container-title":"Journal of Microscopy","page":"82-87","volume":"198","issue":"Pt 2","abstract":"Lateral resolution that exceeds the classical diffraction limit by a factor of two is achieved by using spatially structured illumination in a wide-field fluorescence microscope. The sample is illuminated with a series of excitation light patterns, which cause normally inaccessible high-resolution information to be encoded into the observed image. The recorded images are linearly processed to extract the new information and produce a reconstruction with twice the normal resolution. Unlike confocal microscopy, the resolution improvement is achieved with no need to discard any of the emission light. The method produces images of strikingly increased clarity compared to both conventional and confocal microscopes.","note":"PMID: 10810003","journalAbbreviation":"J Microsc","author":[{"family":"Gustafsson","given":"M G"}],"issued":{"year":2000,"month":5},"accessed":{"year":2012,"month":4,"day":2}}},{"id":108,"uris":["http://zotero.org/users/944474/items/FUT552SB"],"uri":["http://zotero.org/users/944474/items/FUT552SB"],"itemData":{"id":108,"type":"article-journal","title":"Sds22 regulates aurora B activity and microtubule-kinetochore interactions at mitosis","container-title":"The Journal of Cell Biology","page":"61-74","volume":"191","issue":"1","abstract":"We have studied Sds22, a conserved regulator of protein phosphatase 1 (PP1) activity, and determined its role in modulating the activity of aurora B kinase and kinetochore-microtubule interactions. Sds22 is required for proper progression through mitosis and localization of PP1 to mitotic kinetochores. Depletion of Sds22 increases aurora B T-loop phosphorylation and the rate of recovery from monastrol arrest. Phospho-aurora B accumulates at kinetochores in Sds22-depleted cells juxtaposed to critical kinetochore substrates. Sds22 modulates sister kinetochore distance and the interaction between Hec1 and the microtubule lattice and, thus, the activation of the spindle assembly checkpoint. These results demonstrate that Sds22 specifically defines PP1 function and localization in mitosis. Sds22 regulates PP1 targeting to the kinetochore, accumulation of phospho-aurora B, and force generation at the kinetochore-microtubule interface.","DOI":"10.1083/jcb.200912046","note":"PMID: 20921135","journalAbbreviation":"J. Cell Biol.","author":[{"family":"Posch","given":"Markus"},{"family":"Khoudoli","given":"Guennadi A"},{"family":"Swift","given":"Sam"},{"family":"King","given":"Emma M"},{"family":"Deluca","given":"Jennifer G"},{"family":"Swedlow","given":"Jason R"}],"issued":{"year":2010,"month":10,"day":4},"accessed":{"year":2012,"month":4,"day":2}}}],"schema":"https://github.com/citation-style-language/schema/raw/master/csl-citation.json"} </w:instrText>
      </w:r>
      <w:r w:rsidRPr="00C00F77">
        <w:rPr>
          <w:rFonts w:ascii="Times New Roman" w:hAnsi="Times New Roman" w:cs="Times New Roman"/>
          <w:color w:val="000000" w:themeColor="text1"/>
          <w:sz w:val="24"/>
          <w:szCs w:val="24"/>
        </w:rPr>
        <w:fldChar w:fldCharType="separate"/>
      </w:r>
      <w:r w:rsidRPr="00C00F77">
        <w:rPr>
          <w:rFonts w:ascii="Times New Roman" w:hAnsi="Times New Roman" w:cs="Times New Roman"/>
          <w:color w:val="000000" w:themeColor="text1"/>
          <w:sz w:val="24"/>
          <w:szCs w:val="21"/>
        </w:rPr>
        <w:t xml:space="preserve">Gustafsson, 2000; Posch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2010)</w:t>
      </w:r>
      <w:r w:rsidRPr="00C00F77">
        <w:rPr>
          <w:rFonts w:ascii="Times New Roman" w:hAnsi="Times New Roman" w:cs="Times New Roman"/>
          <w:color w:val="000000" w:themeColor="text1"/>
          <w:sz w:val="24"/>
          <w:szCs w:val="24"/>
        </w:rPr>
        <w:fldChar w:fldCharType="end"/>
      </w:r>
      <w:r w:rsidRPr="00C00F77">
        <w:rPr>
          <w:rFonts w:ascii="Times New Roman" w:hAnsi="Times New Roman" w:cs="Times New Roman"/>
          <w:color w:val="000000" w:themeColor="text1"/>
          <w:sz w:val="24"/>
          <w:szCs w:val="24"/>
        </w:rPr>
        <w:t>. Although the gross characteristics of the cell cycle were initially visualized by conventional deconvolution microscopy, OMX imaging revealed novel, subtle differences between growth and division dynamics of the three ovococcal species (</w:t>
      </w:r>
      <w:r>
        <w:rPr>
          <w:rFonts w:ascii="Times New Roman" w:hAnsi="Times New Roman" w:cs="Times New Roman"/>
          <w:color w:val="000000" w:themeColor="text1"/>
          <w:sz w:val="24"/>
          <w:szCs w:val="24"/>
        </w:rPr>
        <w:t>Figure 3.15</w:t>
      </w:r>
      <w:r w:rsidRPr="00C00F77">
        <w:rPr>
          <w:rFonts w:ascii="Times New Roman" w:hAnsi="Times New Roman" w:cs="Times New Roman"/>
          <w:color w:val="000000" w:themeColor="text1"/>
          <w:sz w:val="24"/>
          <w:szCs w:val="24"/>
        </w:rPr>
        <w:t xml:space="preserve"> and 3.1</w:t>
      </w:r>
      <w:r>
        <w:rPr>
          <w:rFonts w:ascii="Times New Roman" w:hAnsi="Times New Roman" w:cs="Times New Roman"/>
          <w:color w:val="000000" w:themeColor="text1"/>
          <w:sz w:val="24"/>
          <w:szCs w:val="24"/>
        </w:rPr>
        <w:t>6</w:t>
      </w:r>
      <w:r w:rsidRPr="00C00F77">
        <w:rPr>
          <w:rFonts w:ascii="Times New Roman" w:hAnsi="Times New Roman" w:cs="Times New Roman"/>
          <w:color w:val="000000" w:themeColor="text1"/>
          <w:sz w:val="24"/>
          <w:szCs w:val="24"/>
        </w:rPr>
        <w:t xml:space="preserve">A-C). Super-resolution allowed accurate measurement of subcellular features with a resolution of approximately 50 nm in the </w:t>
      </w:r>
      <w:r w:rsidRPr="00C00F77">
        <w:rPr>
          <w:rFonts w:ascii="Times New Roman" w:hAnsi="Times New Roman" w:cs="Times New Roman"/>
          <w:i/>
          <w:color w:val="000000" w:themeColor="text1"/>
          <w:sz w:val="24"/>
          <w:szCs w:val="24"/>
        </w:rPr>
        <w:t>x-y</w:t>
      </w:r>
      <w:r w:rsidRPr="00C00F77">
        <w:rPr>
          <w:rFonts w:ascii="Times New Roman" w:hAnsi="Times New Roman" w:cs="Times New Roman"/>
          <w:color w:val="000000" w:themeColor="text1"/>
          <w:sz w:val="24"/>
          <w:szCs w:val="24"/>
        </w:rPr>
        <w:t xml:space="preserve"> plane and 125 nm in the </w:t>
      </w:r>
      <w:r w:rsidRPr="00C00F77">
        <w:rPr>
          <w:rFonts w:ascii="Times New Roman" w:hAnsi="Times New Roman" w:cs="Times New Roman"/>
          <w:i/>
          <w:color w:val="000000" w:themeColor="text1"/>
          <w:sz w:val="24"/>
          <w:szCs w:val="24"/>
        </w:rPr>
        <w:t>z</w:t>
      </w:r>
      <w:r w:rsidRPr="00C00F77">
        <w:rPr>
          <w:rFonts w:ascii="Times New Roman" w:hAnsi="Times New Roman" w:cs="Times New Roman"/>
          <w:color w:val="000000" w:themeColor="text1"/>
          <w:sz w:val="24"/>
          <w:szCs w:val="24"/>
        </w:rPr>
        <w:t xml:space="preserve"> plane. Four distinct dimensions (cell length (L), maximal cell width (W), cross-wall diameter (C) and septal aperture diameter (A) were measured in individual cells to follow cell </w:t>
      </w:r>
      <w:proofErr w:type="gramStart"/>
      <w:r w:rsidRPr="00C00F77">
        <w:rPr>
          <w:rFonts w:ascii="Times New Roman" w:hAnsi="Times New Roman" w:cs="Times New Roman"/>
          <w:color w:val="000000" w:themeColor="text1"/>
          <w:sz w:val="24"/>
          <w:szCs w:val="24"/>
        </w:rPr>
        <w:t>elongation,</w:t>
      </w:r>
      <w:proofErr w:type="gramEnd"/>
      <w:r w:rsidRPr="00C00F77">
        <w:rPr>
          <w:rFonts w:ascii="Times New Roman" w:hAnsi="Times New Roman" w:cs="Times New Roman"/>
          <w:color w:val="000000" w:themeColor="text1"/>
          <w:sz w:val="24"/>
          <w:szCs w:val="24"/>
        </w:rPr>
        <w:t xml:space="preserve"> septum progression and cell constriction (</w:t>
      </w:r>
      <w:r>
        <w:rPr>
          <w:rFonts w:ascii="Times New Roman" w:hAnsi="Times New Roman" w:cs="Times New Roman"/>
          <w:color w:val="000000" w:themeColor="text1"/>
          <w:sz w:val="24"/>
          <w:szCs w:val="24"/>
        </w:rPr>
        <w:t>Figure 3.16</w:t>
      </w:r>
      <w:r w:rsidRPr="00C00F77">
        <w:rPr>
          <w:rFonts w:ascii="Times New Roman" w:hAnsi="Times New Roman" w:cs="Times New Roman"/>
          <w:color w:val="000000" w:themeColor="text1"/>
          <w:sz w:val="24"/>
          <w:szCs w:val="24"/>
        </w:rPr>
        <w:t>D).</w:t>
      </w:r>
    </w:p>
    <w:p w:rsidR="002D7C9B" w:rsidRDefault="002D7C9B" w:rsidP="002D7C9B">
      <w:pPr>
        <w:spacing w:after="120" w:line="480" w:lineRule="auto"/>
        <w:jc w:val="both"/>
        <w:rPr>
          <w:rFonts w:ascii="Times New Roman" w:hAnsi="Times New Roman" w:cs="Times New Roman"/>
          <w:sz w:val="24"/>
          <w:szCs w:val="24"/>
        </w:rPr>
      </w:pPr>
      <w:r w:rsidRPr="000F30D4">
        <w:rPr>
          <w:noProof/>
          <w:lang w:eastAsia="en-GB"/>
        </w:rPr>
        <w:lastRenderedPageBreak/>
        <w:drawing>
          <wp:inline distT="0" distB="0" distL="0" distR="0">
            <wp:extent cx="5277600" cy="2817523"/>
            <wp:effectExtent l="0" t="0" r="0" b="0"/>
            <wp:docPr id="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srcRect/>
                    <a:stretch>
                      <a:fillRect/>
                    </a:stretch>
                  </pic:blipFill>
                  <pic:spPr bwMode="auto">
                    <a:xfrm>
                      <a:off x="0" y="0"/>
                      <a:ext cx="5277600" cy="2817523"/>
                    </a:xfrm>
                    <a:prstGeom prst="rect">
                      <a:avLst/>
                    </a:prstGeom>
                    <a:noFill/>
                    <a:ln w="9525">
                      <a:noFill/>
                      <a:miter lim="800000"/>
                      <a:headEnd/>
                      <a:tailEnd/>
                    </a:ln>
                  </pic:spPr>
                </pic:pic>
              </a:graphicData>
            </a:graphic>
          </wp:inline>
        </w:drawing>
      </w:r>
    </w:p>
    <w:p w:rsidR="002D7C9B" w:rsidRPr="007F4C56" w:rsidRDefault="002D7C9B" w:rsidP="002D7C9B">
      <w:pPr>
        <w:spacing w:line="360" w:lineRule="auto"/>
        <w:jc w:val="both"/>
        <w:rPr>
          <w:rFonts w:ascii="Times New Roman" w:hAnsi="Times New Roman" w:cs="Times New Roman"/>
          <w:sz w:val="24"/>
          <w:szCs w:val="24"/>
        </w:rPr>
      </w:pPr>
      <w:proofErr w:type="gramStart"/>
      <w:r w:rsidRPr="007F4C56">
        <w:rPr>
          <w:rFonts w:ascii="Times New Roman" w:hAnsi="Times New Roman" w:cs="Times New Roman"/>
          <w:b/>
          <w:sz w:val="24"/>
          <w:szCs w:val="24"/>
        </w:rPr>
        <w:t>Figure 3.</w:t>
      </w:r>
      <w:r>
        <w:rPr>
          <w:rFonts w:ascii="Times New Roman" w:hAnsi="Times New Roman" w:cs="Times New Roman"/>
          <w:b/>
          <w:sz w:val="24"/>
          <w:szCs w:val="24"/>
        </w:rPr>
        <w:t>10.</w:t>
      </w:r>
      <w:proofErr w:type="gramEnd"/>
      <w:r>
        <w:rPr>
          <w:rFonts w:ascii="Times New Roman" w:hAnsi="Times New Roman" w:cs="Times New Roman"/>
          <w:b/>
          <w:sz w:val="24"/>
          <w:szCs w:val="24"/>
        </w:rPr>
        <w:t xml:space="preserve"> AFM imaging of </w:t>
      </w:r>
      <w:r>
        <w:rPr>
          <w:rFonts w:ascii="Times New Roman" w:hAnsi="Times New Roman" w:cs="Times New Roman"/>
          <w:b/>
          <w:i/>
          <w:sz w:val="24"/>
          <w:szCs w:val="24"/>
        </w:rPr>
        <w:t xml:space="preserve">S. pneumoniae </w:t>
      </w:r>
      <w:r>
        <w:rPr>
          <w:rFonts w:ascii="Times New Roman" w:hAnsi="Times New Roman" w:cs="Times New Roman"/>
          <w:b/>
          <w:sz w:val="24"/>
          <w:szCs w:val="24"/>
        </w:rPr>
        <w:t>purified peptidoglycan sacculi</w:t>
      </w:r>
      <w:r>
        <w:rPr>
          <w:rFonts w:ascii="Times New Roman" w:eastAsia="+mn-ea" w:hAnsi="Times New Roman" w:cs="Times New Roman"/>
          <w:b/>
          <w:bCs/>
          <w:sz w:val="24"/>
          <w:szCs w:val="24"/>
        </w:rPr>
        <w:t xml:space="preserve">. </w:t>
      </w:r>
      <w:r>
        <w:rPr>
          <w:rFonts w:ascii="Times New Roman" w:eastAsia="+mn-ea" w:hAnsi="Times New Roman" w:cs="Times New Roman"/>
          <w:bCs/>
          <w:sz w:val="24"/>
          <w:szCs w:val="24"/>
        </w:rPr>
        <w:t xml:space="preserve">The field </w:t>
      </w:r>
      <w:r w:rsidRPr="007F4C56">
        <w:rPr>
          <w:rFonts w:ascii="Times New Roman" w:eastAsia="+mn-ea" w:hAnsi="Times New Roman" w:cs="Times New Roman"/>
          <w:bCs/>
          <w:sz w:val="24"/>
          <w:szCs w:val="24"/>
        </w:rPr>
        <w:t>show</w:t>
      </w:r>
      <w:r>
        <w:rPr>
          <w:rFonts w:ascii="Times New Roman" w:eastAsia="+mn-ea" w:hAnsi="Times New Roman" w:cs="Times New Roman"/>
          <w:bCs/>
          <w:sz w:val="24"/>
          <w:szCs w:val="24"/>
        </w:rPr>
        <w:t>s representative</w:t>
      </w:r>
      <w:r w:rsidRPr="007F4C56">
        <w:rPr>
          <w:rFonts w:ascii="Times New Roman" w:eastAsia="+mn-ea" w:hAnsi="Times New Roman" w:cs="Times New Roman"/>
          <w:bCs/>
          <w:sz w:val="24"/>
          <w:szCs w:val="24"/>
        </w:rPr>
        <w:t xml:space="preserve"> AFM height (H) and phase (P) images </w:t>
      </w:r>
      <w:r>
        <w:rPr>
          <w:rFonts w:ascii="Times New Roman" w:eastAsia="+mn-ea" w:hAnsi="Times New Roman" w:cs="Times New Roman"/>
          <w:bCs/>
          <w:sz w:val="24"/>
          <w:szCs w:val="24"/>
        </w:rPr>
        <w:t xml:space="preserve">of </w:t>
      </w:r>
      <w:r w:rsidRPr="007F4C56">
        <w:rPr>
          <w:rFonts w:ascii="Times New Roman" w:eastAsia="+mn-ea" w:hAnsi="Times New Roman" w:cs="Times New Roman"/>
          <w:bCs/>
          <w:sz w:val="24"/>
          <w:szCs w:val="24"/>
        </w:rPr>
        <w:t xml:space="preserve">broken and unbroken </w:t>
      </w:r>
      <w:r w:rsidRPr="007F4C56">
        <w:rPr>
          <w:rFonts w:ascii="Times New Roman" w:eastAsia="+mn-ea" w:hAnsi="Times New Roman" w:cs="Times New Roman"/>
          <w:bCs/>
          <w:i/>
          <w:sz w:val="24"/>
          <w:szCs w:val="24"/>
        </w:rPr>
        <w:t>S. pneumoniae</w:t>
      </w:r>
      <w:r w:rsidRPr="007F4C56">
        <w:rPr>
          <w:rFonts w:ascii="Times New Roman" w:eastAsia="+mn-ea" w:hAnsi="Times New Roman" w:cs="Times New Roman"/>
          <w:bCs/>
          <w:sz w:val="24"/>
          <w:szCs w:val="24"/>
        </w:rPr>
        <w:t xml:space="preserve"> R6 </w:t>
      </w:r>
      <w:r>
        <w:rPr>
          <w:rFonts w:ascii="Times New Roman" w:eastAsia="+mn-ea" w:hAnsi="Times New Roman" w:cs="Times New Roman"/>
          <w:bCs/>
          <w:sz w:val="24"/>
          <w:szCs w:val="24"/>
        </w:rPr>
        <w:t>sacculi,</w:t>
      </w:r>
      <w:r w:rsidRPr="007F4C56">
        <w:rPr>
          <w:rFonts w:ascii="Times New Roman" w:eastAsia="+mn-ea" w:hAnsi="Times New Roman" w:cs="Times New Roman"/>
          <w:bCs/>
          <w:sz w:val="24"/>
          <w:szCs w:val="24"/>
        </w:rPr>
        <w:t xml:space="preserve"> from exponential phase cultures. </w:t>
      </w:r>
      <w:r>
        <w:rPr>
          <w:rFonts w:ascii="Times New Roman" w:eastAsia="+mn-ea" w:hAnsi="Times New Roman" w:cs="Times New Roman"/>
          <w:bCs/>
          <w:sz w:val="24"/>
          <w:szCs w:val="24"/>
        </w:rPr>
        <w:t>To aid interpretation, common features of flattened sacculi are highlighted.</w:t>
      </w:r>
      <w:r w:rsidRPr="007F4C56">
        <w:rPr>
          <w:rFonts w:ascii="Times New Roman" w:eastAsia="+mn-ea" w:hAnsi="Times New Roman" w:cs="Times New Roman"/>
          <w:bCs/>
          <w:sz w:val="24"/>
          <w:szCs w:val="24"/>
        </w:rPr>
        <w:t xml:space="preserve"> Scales: H 50 nm, P 17°.</w:t>
      </w:r>
    </w:p>
    <w:p w:rsidR="002D7C9B" w:rsidRPr="007F4C56" w:rsidRDefault="002D7C9B" w:rsidP="002D7C9B">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Pr="007F4C56">
        <w:rPr>
          <w:rFonts w:ascii="Times New Roman" w:hAnsi="Times New Roman" w:cs="Times New Roman"/>
          <w:b/>
          <w:sz w:val="24"/>
          <w:szCs w:val="24"/>
        </w:rPr>
        <w:br w:type="page"/>
      </w:r>
    </w:p>
    <w:p w:rsidR="002D7C9B" w:rsidRDefault="002D7C9B" w:rsidP="002D7C9B">
      <w:pPr>
        <w:spacing w:after="0" w:line="360" w:lineRule="auto"/>
        <w:jc w:val="both"/>
        <w:rPr>
          <w:rFonts w:ascii="Times New Roman" w:hAnsi="Times New Roman" w:cs="Times New Roman"/>
          <w:b/>
          <w:sz w:val="24"/>
          <w:szCs w:val="24"/>
        </w:rPr>
      </w:pPr>
      <w:r w:rsidRPr="004B2674">
        <w:rPr>
          <w:noProof/>
          <w:lang w:eastAsia="en-GB"/>
        </w:rPr>
        <w:lastRenderedPageBreak/>
        <w:drawing>
          <wp:inline distT="0" distB="0" distL="0" distR="0">
            <wp:extent cx="5277600" cy="7330001"/>
            <wp:effectExtent l="0" t="0" r="0" b="0"/>
            <wp:docPr id="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srcRect l="2703" t="1478"/>
                    <a:stretch>
                      <a:fillRect/>
                    </a:stretch>
                  </pic:blipFill>
                  <pic:spPr bwMode="auto">
                    <a:xfrm>
                      <a:off x="0" y="0"/>
                      <a:ext cx="5277600" cy="7330001"/>
                    </a:xfrm>
                    <a:prstGeom prst="rect">
                      <a:avLst/>
                    </a:prstGeom>
                    <a:noFill/>
                    <a:ln w="9525">
                      <a:noFill/>
                      <a:miter lim="800000"/>
                      <a:headEnd/>
                      <a:tailEnd/>
                    </a:ln>
                  </pic:spPr>
                </pic:pic>
              </a:graphicData>
            </a:graphic>
          </wp:inline>
        </w:drawing>
      </w:r>
    </w:p>
    <w:p w:rsidR="002D7C9B" w:rsidRDefault="002D7C9B" w:rsidP="002D7C9B">
      <w:pPr>
        <w:rPr>
          <w:rFonts w:ascii="Times New Roman" w:hAnsi="Times New Roman" w:cs="Times New Roman"/>
          <w:b/>
          <w:sz w:val="24"/>
          <w:szCs w:val="24"/>
        </w:rPr>
      </w:pPr>
      <w:r>
        <w:rPr>
          <w:rFonts w:ascii="Times New Roman" w:hAnsi="Times New Roman" w:cs="Times New Roman"/>
          <w:b/>
          <w:sz w:val="24"/>
          <w:szCs w:val="24"/>
        </w:rPr>
        <w:br w:type="page"/>
      </w:r>
    </w:p>
    <w:p w:rsidR="002D7C9B" w:rsidRPr="00555E20" w:rsidRDefault="002D7C9B" w:rsidP="002D7C9B">
      <w:pPr>
        <w:spacing w:after="0" w:line="360" w:lineRule="auto"/>
        <w:jc w:val="both"/>
        <w:rPr>
          <w:rFonts w:ascii="Times New Roman" w:hAnsi="Times New Roman" w:cs="Times New Roman"/>
          <w:b/>
          <w:sz w:val="24"/>
          <w:szCs w:val="24"/>
        </w:rPr>
      </w:pPr>
      <w:proofErr w:type="gramStart"/>
      <w:r w:rsidRPr="00867ACF">
        <w:rPr>
          <w:rFonts w:ascii="Times New Roman" w:hAnsi="Times New Roman" w:cs="Times New Roman"/>
          <w:b/>
          <w:sz w:val="24"/>
          <w:szCs w:val="24"/>
        </w:rPr>
        <w:lastRenderedPageBreak/>
        <w:t>Figure 3.1</w:t>
      </w:r>
      <w:r>
        <w:rPr>
          <w:rFonts w:ascii="Times New Roman" w:hAnsi="Times New Roman" w:cs="Times New Roman"/>
          <w:b/>
          <w:sz w:val="24"/>
          <w:szCs w:val="24"/>
        </w:rPr>
        <w:t>1.</w:t>
      </w:r>
      <w:proofErr w:type="gramEnd"/>
      <w:r w:rsidRPr="00867ACF">
        <w:rPr>
          <w:rFonts w:ascii="Times New Roman" w:hAnsi="Times New Roman" w:cs="Times New Roman"/>
          <w:b/>
          <w:sz w:val="24"/>
          <w:szCs w:val="24"/>
        </w:rPr>
        <w:t xml:space="preserve"> </w:t>
      </w:r>
      <w:proofErr w:type="gramStart"/>
      <w:r w:rsidRPr="00867ACF">
        <w:rPr>
          <w:rFonts w:ascii="Times New Roman" w:hAnsi="Times New Roman" w:cs="Times New Roman"/>
          <w:b/>
          <w:sz w:val="24"/>
          <w:szCs w:val="24"/>
        </w:rPr>
        <w:t>The peptidoglycan architecture on the sacculus exterior in ovococci.</w:t>
      </w:r>
      <w:proofErr w:type="gramEnd"/>
      <w:r w:rsidRPr="00AC14DA">
        <w:rPr>
          <w:rFonts w:ascii="Times New Roman" w:hAnsi="Times New Roman" w:cs="Times New Roman"/>
          <w:sz w:val="24"/>
          <w:szCs w:val="24"/>
        </w:rPr>
        <w:t xml:space="preserve"> </w:t>
      </w:r>
      <w:proofErr w:type="gramStart"/>
      <w:r>
        <w:rPr>
          <w:rFonts w:ascii="Times New Roman" w:hAnsi="Times New Roman" w:cs="Times New Roman"/>
          <w:sz w:val="24"/>
          <w:szCs w:val="24"/>
        </w:rPr>
        <w:t>AFM height (H) and phase (P) images of the s</w:t>
      </w:r>
      <w:r w:rsidRPr="00AC14DA">
        <w:rPr>
          <w:rFonts w:ascii="Times New Roman" w:hAnsi="Times New Roman" w:cs="Times New Roman"/>
          <w:sz w:val="24"/>
          <w:szCs w:val="24"/>
        </w:rPr>
        <w:t>urface</w:t>
      </w:r>
      <w:r>
        <w:rPr>
          <w:rFonts w:ascii="Times New Roman" w:hAnsi="Times New Roman" w:cs="Times New Roman"/>
          <w:sz w:val="24"/>
          <w:szCs w:val="24"/>
        </w:rPr>
        <w:t xml:space="preserve"> architecture of ovococcus sacculi.</w:t>
      </w:r>
      <w:proofErr w:type="gramEnd"/>
      <w:r>
        <w:rPr>
          <w:rFonts w:ascii="Times New Roman" w:hAnsi="Times New Roman" w:cs="Times New Roman"/>
          <w:sz w:val="24"/>
          <w:szCs w:val="24"/>
        </w:rPr>
        <w:t xml:space="preserve"> Annular features are indicated. For each set of images, an area of the sacculus is highlighted in the middle image. This region is presented in higher resolution in the bottom image of each set. Scales (top to bottom): (A) H 40 nm P 12°, H 20 nm P 6°, H 15 nm P 8° (R6); (B) H 50 nm P 11°, H 40 nm P 9°, H 40 nm P 43° (MG1363); (C) H 50 nm P 26°, H 43 nm P 8°, H 30 nm P 11° (VES5751); (D) H 40 nm P 23°, H 40 nm P 35°, H 20 nm P 29° (JH2-2).</w:t>
      </w:r>
    </w:p>
    <w:p w:rsidR="002D7C9B" w:rsidRDefault="002D7C9B" w:rsidP="002D7C9B">
      <w:pPr>
        <w:rPr>
          <w:rFonts w:ascii="Times New Roman" w:hAnsi="Times New Roman" w:cs="Times New Roman"/>
          <w:sz w:val="28"/>
          <w:szCs w:val="28"/>
        </w:rPr>
      </w:pPr>
      <w:r w:rsidRPr="00A36D09">
        <w:rPr>
          <w:noProof/>
          <w:lang w:eastAsia="en-GB"/>
        </w:rPr>
        <w:lastRenderedPageBreak/>
        <w:pict>
          <v:shapetype id="_x0000_t32" coordsize="21600,21600" o:spt="32" o:oned="t" path="m,l21600,21600e" filled="f">
            <v:path arrowok="t" fillok="f" o:connecttype="none"/>
            <o:lock v:ext="edit" shapetype="t"/>
          </v:shapetype>
          <v:shape id="_x0000_s1041" type="#_x0000_t32" style="position:absolute;margin-left:129.9pt;margin-top:128.3pt;width:15.45pt;height:29.5pt;z-index:251676672" o:connectortype="straight"/>
        </w:pict>
      </w:r>
      <w:r w:rsidRPr="00A36D09">
        <w:rPr>
          <w:noProof/>
          <w:lang w:eastAsia="en-GB"/>
        </w:rPr>
        <w:pict>
          <v:shape id="_x0000_s1040" type="#_x0000_t32" style="position:absolute;margin-left:129.9pt;margin-top:28.1pt;width:15.45pt;height:62.75pt;flip:y;z-index:251675648" o:connectortype="straight"/>
        </w:pict>
      </w:r>
      <w:r w:rsidRPr="00892049">
        <w:rPr>
          <w:noProof/>
          <w:lang w:eastAsia="en-GB"/>
        </w:rPr>
        <w:drawing>
          <wp:inline distT="0" distB="0" distL="0" distR="0">
            <wp:extent cx="5278120" cy="7448372"/>
            <wp:effectExtent l="0" t="0" r="0" b="0"/>
            <wp:docPr id="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srcRect/>
                    <a:stretch>
                      <a:fillRect/>
                    </a:stretch>
                  </pic:blipFill>
                  <pic:spPr bwMode="auto">
                    <a:xfrm>
                      <a:off x="0" y="0"/>
                      <a:ext cx="5278120" cy="7448372"/>
                    </a:xfrm>
                    <a:prstGeom prst="rect">
                      <a:avLst/>
                    </a:prstGeom>
                    <a:noFill/>
                    <a:ln w="9525">
                      <a:noFill/>
                      <a:miter lim="800000"/>
                      <a:headEnd/>
                      <a:tailEnd/>
                    </a:ln>
                  </pic:spPr>
                </pic:pic>
              </a:graphicData>
            </a:graphic>
          </wp:inline>
        </w:drawing>
      </w:r>
    </w:p>
    <w:p w:rsidR="002D7C9B" w:rsidRDefault="002D7C9B" w:rsidP="002D7C9B">
      <w:pPr>
        <w:rPr>
          <w:rFonts w:ascii="Times New Roman" w:hAnsi="Times New Roman" w:cs="Times New Roman"/>
          <w:b/>
          <w:sz w:val="24"/>
          <w:szCs w:val="24"/>
        </w:rPr>
      </w:pPr>
      <w:r>
        <w:rPr>
          <w:rFonts w:ascii="Times New Roman" w:hAnsi="Times New Roman" w:cs="Times New Roman"/>
          <w:b/>
          <w:sz w:val="24"/>
          <w:szCs w:val="24"/>
        </w:rPr>
        <w:br w:type="page"/>
      </w:r>
    </w:p>
    <w:p w:rsidR="002D7C9B" w:rsidRPr="00555E20" w:rsidRDefault="002D7C9B" w:rsidP="002D7C9B">
      <w:pPr>
        <w:autoSpaceDE w:val="0"/>
        <w:autoSpaceDN w:val="0"/>
        <w:adjustRightInd w:val="0"/>
        <w:spacing w:after="0" w:line="360" w:lineRule="auto"/>
        <w:jc w:val="both"/>
        <w:rPr>
          <w:rFonts w:ascii="Times New Roman" w:hAnsi="Times New Roman" w:cs="Times New Roman"/>
          <w:sz w:val="24"/>
          <w:szCs w:val="24"/>
        </w:rPr>
      </w:pPr>
      <w:proofErr w:type="gramStart"/>
      <w:r w:rsidRPr="008C7789">
        <w:rPr>
          <w:rFonts w:ascii="Times New Roman" w:hAnsi="Times New Roman" w:cs="Times New Roman"/>
          <w:b/>
          <w:sz w:val="24"/>
          <w:szCs w:val="24"/>
        </w:rPr>
        <w:lastRenderedPageBreak/>
        <w:t>Figure 3.1</w:t>
      </w:r>
      <w:r>
        <w:rPr>
          <w:rFonts w:ascii="Times New Roman" w:hAnsi="Times New Roman" w:cs="Times New Roman"/>
          <w:b/>
          <w:sz w:val="24"/>
          <w:szCs w:val="24"/>
        </w:rPr>
        <w:t>2.</w:t>
      </w:r>
      <w:proofErr w:type="gramEnd"/>
      <w:r w:rsidRPr="008C7789">
        <w:rPr>
          <w:rFonts w:ascii="Times New Roman" w:hAnsi="Times New Roman" w:cs="Times New Roman"/>
          <w:b/>
          <w:sz w:val="24"/>
          <w:szCs w:val="24"/>
        </w:rPr>
        <w:t xml:space="preserve"> </w:t>
      </w:r>
      <w:proofErr w:type="gramStart"/>
      <w:r>
        <w:rPr>
          <w:rFonts w:ascii="Times New Roman" w:hAnsi="Times New Roman" w:cs="Times New Roman"/>
          <w:b/>
          <w:bCs/>
          <w:sz w:val="24"/>
          <w:szCs w:val="24"/>
        </w:rPr>
        <w:t>Gallery of septal peptidoglycan architecture of the ovococci.</w:t>
      </w:r>
      <w:proofErr w:type="gramEnd"/>
      <w:r>
        <w:rPr>
          <w:rFonts w:ascii="Times New Roman" w:hAnsi="Times New Roman" w:cs="Times New Roman"/>
          <w:b/>
          <w:bCs/>
          <w:sz w:val="24"/>
          <w:szCs w:val="24"/>
        </w:rPr>
        <w:t xml:space="preserve"> </w:t>
      </w:r>
      <w:r w:rsidRPr="00555E20">
        <w:rPr>
          <w:rFonts w:ascii="Times New Roman" w:hAnsi="Times New Roman" w:cs="Times New Roman"/>
          <w:sz w:val="24"/>
          <w:szCs w:val="24"/>
        </w:rPr>
        <w:t>(</w:t>
      </w:r>
      <w:r w:rsidRPr="00555E20">
        <w:rPr>
          <w:rFonts w:ascii="Times New Roman" w:hAnsi="Times New Roman" w:cs="Times New Roman"/>
          <w:bCs/>
          <w:sz w:val="24"/>
          <w:szCs w:val="24"/>
        </w:rPr>
        <w:t>A</w:t>
      </w:r>
      <w:r w:rsidRPr="00555E20">
        <w:rPr>
          <w:rFonts w:ascii="Times New Roman" w:hAnsi="Times New Roman" w:cs="Times New Roman"/>
          <w:sz w:val="24"/>
          <w:szCs w:val="24"/>
        </w:rPr>
        <w:t>)</w:t>
      </w:r>
      <w:r>
        <w:rPr>
          <w:rFonts w:ascii="Times New Roman" w:hAnsi="Times New Roman" w:cs="Times New Roman"/>
          <w:sz w:val="24"/>
          <w:szCs w:val="24"/>
        </w:rPr>
        <w:t xml:space="preserve"> Left, AFM</w:t>
      </w:r>
      <w:r>
        <w:rPr>
          <w:rFonts w:ascii="Arial" w:hAnsi="Arial" w:cs="Arial"/>
          <w:sz w:val="24"/>
          <w:szCs w:val="24"/>
        </w:rPr>
        <w:t xml:space="preserve"> </w:t>
      </w:r>
      <w:r>
        <w:rPr>
          <w:rFonts w:ascii="Times New Roman" w:hAnsi="Times New Roman" w:cs="Times New Roman"/>
          <w:sz w:val="24"/>
          <w:szCs w:val="24"/>
        </w:rPr>
        <w:t xml:space="preserve">height (H) and phase (P) images of a </w:t>
      </w:r>
      <w:r>
        <w:rPr>
          <w:rFonts w:ascii="Times New Roman" w:hAnsi="Times New Roman" w:cs="Times New Roman"/>
          <w:i/>
          <w:iCs/>
          <w:sz w:val="24"/>
          <w:szCs w:val="24"/>
        </w:rPr>
        <w:t xml:space="preserve">L. lactis </w:t>
      </w:r>
      <w:r>
        <w:rPr>
          <w:rFonts w:ascii="Times New Roman" w:hAnsi="Times New Roman" w:cs="Times New Roman"/>
          <w:sz w:val="24"/>
          <w:szCs w:val="24"/>
        </w:rPr>
        <w:t>MG1363 cell wall broken so as to reveal</w:t>
      </w:r>
      <w:r>
        <w:rPr>
          <w:rFonts w:ascii="Arial" w:hAnsi="Arial" w:cs="Arial"/>
          <w:sz w:val="24"/>
          <w:szCs w:val="24"/>
        </w:rPr>
        <w:t xml:space="preserve"> </w:t>
      </w:r>
      <w:r>
        <w:rPr>
          <w:rFonts w:ascii="Times New Roman" w:hAnsi="Times New Roman" w:cs="Times New Roman"/>
          <w:sz w:val="24"/>
          <w:szCs w:val="24"/>
        </w:rPr>
        <w:t>the major structures of the sacculus. White box denotes the area of zoom (right) corresponding to a</w:t>
      </w:r>
      <w:r>
        <w:rPr>
          <w:rFonts w:ascii="Arial" w:hAnsi="Arial" w:cs="Arial"/>
          <w:sz w:val="24"/>
          <w:szCs w:val="24"/>
        </w:rPr>
        <w:t xml:space="preserve"> </w:t>
      </w:r>
      <w:r>
        <w:rPr>
          <w:rFonts w:ascii="Times New Roman" w:hAnsi="Times New Roman" w:cs="Times New Roman"/>
          <w:sz w:val="24"/>
          <w:szCs w:val="24"/>
        </w:rPr>
        <w:t>fully exposed, incomplete septum. The phase image shows subtle features generally oriented</w:t>
      </w:r>
      <w:r>
        <w:rPr>
          <w:rFonts w:ascii="Arial" w:hAnsi="Arial" w:cs="Arial"/>
          <w:sz w:val="24"/>
          <w:szCs w:val="24"/>
        </w:rPr>
        <w:t xml:space="preserve"> </w:t>
      </w:r>
      <w:r>
        <w:rPr>
          <w:rFonts w:ascii="Times New Roman" w:hAnsi="Times New Roman" w:cs="Times New Roman"/>
          <w:sz w:val="24"/>
          <w:szCs w:val="24"/>
        </w:rPr>
        <w:t>around the incomplete annulus</w:t>
      </w:r>
      <w:r w:rsidRPr="00555E20">
        <w:rPr>
          <w:rFonts w:ascii="Times New Roman" w:hAnsi="Times New Roman" w:cs="Times New Roman"/>
          <w:sz w:val="24"/>
          <w:szCs w:val="24"/>
        </w:rPr>
        <w:t>. (</w:t>
      </w:r>
      <w:r w:rsidRPr="00555E20">
        <w:rPr>
          <w:rFonts w:ascii="Times New Roman" w:hAnsi="Times New Roman" w:cs="Times New Roman"/>
          <w:bCs/>
          <w:sz w:val="24"/>
          <w:szCs w:val="24"/>
        </w:rPr>
        <w:t>B</w:t>
      </w:r>
      <w:r w:rsidRPr="00555E20">
        <w:rPr>
          <w:rFonts w:ascii="Times New Roman" w:hAnsi="Times New Roman" w:cs="Times New Roman"/>
          <w:sz w:val="24"/>
          <w:szCs w:val="24"/>
        </w:rPr>
        <w:t xml:space="preserve">) </w:t>
      </w:r>
      <w:proofErr w:type="gramStart"/>
      <w:r w:rsidRPr="00555E20">
        <w:rPr>
          <w:rFonts w:ascii="Times New Roman" w:hAnsi="Times New Roman" w:cs="Times New Roman"/>
          <w:sz w:val="24"/>
          <w:szCs w:val="24"/>
        </w:rPr>
        <w:t>and</w:t>
      </w:r>
      <w:proofErr w:type="gramEnd"/>
      <w:r w:rsidRPr="00555E20">
        <w:rPr>
          <w:rFonts w:ascii="Times New Roman" w:hAnsi="Times New Roman" w:cs="Times New Roman"/>
          <w:sz w:val="24"/>
          <w:szCs w:val="24"/>
        </w:rPr>
        <w:t xml:space="preserve"> (</w:t>
      </w:r>
      <w:r w:rsidRPr="00555E20">
        <w:rPr>
          <w:rFonts w:ascii="Times New Roman" w:hAnsi="Times New Roman" w:cs="Times New Roman"/>
          <w:bCs/>
          <w:sz w:val="24"/>
          <w:szCs w:val="24"/>
        </w:rPr>
        <w:t>C</w:t>
      </w:r>
      <w:r>
        <w:rPr>
          <w:rFonts w:ascii="Times New Roman" w:hAnsi="Times New Roman" w:cs="Times New Roman"/>
          <w:sz w:val="24"/>
          <w:szCs w:val="24"/>
        </w:rPr>
        <w:t>)</w:t>
      </w:r>
      <w:r w:rsidRPr="00555E20">
        <w:rPr>
          <w:rFonts w:ascii="Times New Roman" w:hAnsi="Times New Roman" w:cs="Times New Roman"/>
          <w:sz w:val="24"/>
          <w:szCs w:val="24"/>
        </w:rPr>
        <w:t xml:space="preserve"> AF</w:t>
      </w:r>
      <w:r>
        <w:rPr>
          <w:rFonts w:ascii="Times New Roman" w:hAnsi="Times New Roman" w:cs="Times New Roman"/>
          <w:sz w:val="24"/>
          <w:szCs w:val="24"/>
        </w:rPr>
        <w:t>M images of purified peptidoglycan sacculi</w:t>
      </w:r>
      <w:r>
        <w:rPr>
          <w:rFonts w:ascii="Arial" w:hAnsi="Arial" w:cs="Arial"/>
          <w:sz w:val="24"/>
          <w:szCs w:val="24"/>
        </w:rPr>
        <w:t xml:space="preserve"> </w:t>
      </w:r>
      <w:r>
        <w:rPr>
          <w:rFonts w:ascii="Times New Roman" w:hAnsi="Times New Roman" w:cs="Times New Roman"/>
          <w:sz w:val="24"/>
          <w:szCs w:val="24"/>
        </w:rPr>
        <w:t>obtained after removal of secondary polymers by HF treatment</w:t>
      </w:r>
      <w:r w:rsidRPr="00555E20">
        <w:rPr>
          <w:rFonts w:ascii="Times New Roman" w:hAnsi="Times New Roman" w:cs="Times New Roman"/>
          <w:sz w:val="24"/>
          <w:szCs w:val="24"/>
        </w:rPr>
        <w:t>. (</w:t>
      </w:r>
      <w:r w:rsidRPr="00555E20">
        <w:rPr>
          <w:rFonts w:ascii="Times New Roman" w:hAnsi="Times New Roman" w:cs="Times New Roman"/>
          <w:bCs/>
          <w:sz w:val="24"/>
          <w:szCs w:val="24"/>
        </w:rPr>
        <w:t>B</w:t>
      </w:r>
      <w:r w:rsidRPr="00555E20">
        <w:rPr>
          <w:rFonts w:ascii="Times New Roman" w:hAnsi="Times New Roman" w:cs="Times New Roman"/>
          <w:sz w:val="24"/>
          <w:szCs w:val="24"/>
        </w:rPr>
        <w:t>)</w:t>
      </w:r>
      <w:r w:rsidRPr="00555E20">
        <w:rPr>
          <w:rFonts w:ascii="Times New Roman" w:hAnsi="Times New Roman" w:cs="Times New Roman"/>
          <w:i/>
          <w:iCs/>
          <w:sz w:val="24"/>
          <w:szCs w:val="24"/>
        </w:rPr>
        <w:t xml:space="preserve"> E. faecalis </w:t>
      </w:r>
      <w:r w:rsidRPr="00555E20">
        <w:rPr>
          <w:rFonts w:ascii="Times New Roman" w:hAnsi="Times New Roman" w:cs="Times New Roman"/>
          <w:sz w:val="24"/>
          <w:szCs w:val="24"/>
        </w:rPr>
        <w:t xml:space="preserve">JH2-2 septal peptidoglycan architecture. </w:t>
      </w:r>
      <w:r w:rsidRPr="00555E20">
        <w:rPr>
          <w:rFonts w:ascii="Times New Roman" w:hAnsi="Times New Roman" w:cs="Times New Roman"/>
          <w:i/>
          <w:iCs/>
          <w:sz w:val="24"/>
          <w:szCs w:val="24"/>
        </w:rPr>
        <w:t xml:space="preserve">E. faecalis </w:t>
      </w:r>
      <w:r w:rsidRPr="00555E20">
        <w:rPr>
          <w:rFonts w:ascii="Times New Roman" w:hAnsi="Times New Roman" w:cs="Times New Roman"/>
          <w:sz w:val="24"/>
          <w:szCs w:val="24"/>
        </w:rPr>
        <w:t>septa were readily exposed. No</w:t>
      </w:r>
      <w:r w:rsidRPr="00555E20">
        <w:rPr>
          <w:rFonts w:ascii="Arial" w:hAnsi="Arial" w:cs="Arial"/>
          <w:sz w:val="24"/>
          <w:szCs w:val="24"/>
        </w:rPr>
        <w:t xml:space="preserve"> </w:t>
      </w:r>
      <w:r w:rsidRPr="00555E20">
        <w:rPr>
          <w:rFonts w:ascii="Times New Roman" w:hAnsi="Times New Roman" w:cs="Times New Roman"/>
          <w:sz w:val="24"/>
          <w:szCs w:val="24"/>
        </w:rPr>
        <w:t>strictly periodic</w:t>
      </w:r>
      <w:r w:rsidRPr="00555E20">
        <w:rPr>
          <w:rFonts w:ascii="Arial" w:hAnsi="Arial" w:cs="Arial"/>
          <w:sz w:val="24"/>
          <w:szCs w:val="24"/>
        </w:rPr>
        <w:t xml:space="preserve"> </w:t>
      </w:r>
      <w:r w:rsidRPr="00555E20">
        <w:rPr>
          <w:rFonts w:ascii="Times New Roman" w:hAnsi="Times New Roman" w:cs="Times New Roman"/>
          <w:sz w:val="24"/>
          <w:szCs w:val="24"/>
        </w:rPr>
        <w:t>architecture is observed, however subtle centripetal features suggest a preferential orientation</w:t>
      </w:r>
      <w:r w:rsidRPr="00555E20">
        <w:rPr>
          <w:rFonts w:ascii="Arial" w:hAnsi="Arial" w:cs="Arial"/>
          <w:sz w:val="24"/>
          <w:szCs w:val="24"/>
        </w:rPr>
        <w:t xml:space="preserve"> </w:t>
      </w:r>
      <w:r w:rsidRPr="00555E20">
        <w:rPr>
          <w:rFonts w:ascii="Times New Roman" w:hAnsi="Times New Roman" w:cs="Times New Roman"/>
          <w:sz w:val="24"/>
          <w:szCs w:val="24"/>
        </w:rPr>
        <w:t>of nanoscale architecture around the annulus. (</w:t>
      </w:r>
      <w:r w:rsidRPr="00555E20">
        <w:rPr>
          <w:rFonts w:ascii="Times New Roman" w:hAnsi="Times New Roman" w:cs="Times New Roman"/>
          <w:bCs/>
          <w:sz w:val="24"/>
          <w:szCs w:val="24"/>
        </w:rPr>
        <w:t>C</w:t>
      </w:r>
      <w:r w:rsidRPr="00555E20">
        <w:rPr>
          <w:rFonts w:ascii="Times New Roman" w:hAnsi="Times New Roman" w:cs="Times New Roman"/>
          <w:sz w:val="24"/>
          <w:szCs w:val="24"/>
        </w:rPr>
        <w:t>) Peptidoglycan</w:t>
      </w:r>
      <w:r>
        <w:rPr>
          <w:rFonts w:ascii="Arial" w:hAnsi="Arial" w:cs="Arial"/>
          <w:sz w:val="24"/>
          <w:szCs w:val="24"/>
        </w:rPr>
        <w:t xml:space="preserve"> </w:t>
      </w:r>
      <w:r>
        <w:rPr>
          <w:rFonts w:ascii="Times New Roman" w:hAnsi="Times New Roman" w:cs="Times New Roman"/>
          <w:sz w:val="24"/>
          <w:szCs w:val="24"/>
        </w:rPr>
        <w:t xml:space="preserve">architecture of septa in </w:t>
      </w:r>
      <w:r>
        <w:rPr>
          <w:rFonts w:ascii="Times New Roman" w:hAnsi="Times New Roman" w:cs="Times New Roman"/>
          <w:i/>
          <w:iCs/>
          <w:sz w:val="24"/>
          <w:szCs w:val="24"/>
        </w:rPr>
        <w:t xml:space="preserve">S. pneumoniae </w:t>
      </w:r>
      <w:r>
        <w:rPr>
          <w:rFonts w:ascii="Times New Roman" w:hAnsi="Times New Roman" w:cs="Times New Roman"/>
          <w:sz w:val="24"/>
          <w:szCs w:val="24"/>
        </w:rPr>
        <w:t xml:space="preserve">R6 (left) and </w:t>
      </w:r>
      <w:r>
        <w:rPr>
          <w:rFonts w:ascii="Times New Roman" w:hAnsi="Times New Roman" w:cs="Times New Roman"/>
          <w:i/>
          <w:iCs/>
          <w:sz w:val="24"/>
          <w:szCs w:val="24"/>
        </w:rPr>
        <w:t xml:space="preserve">L. lactis </w:t>
      </w:r>
      <w:r>
        <w:rPr>
          <w:rFonts w:ascii="Times New Roman" w:hAnsi="Times New Roman" w:cs="Times New Roman"/>
          <w:sz w:val="24"/>
          <w:szCs w:val="24"/>
        </w:rPr>
        <w:t>MG1363 (right). Septa were</w:t>
      </w:r>
      <w:r>
        <w:rPr>
          <w:rFonts w:ascii="Arial" w:hAnsi="Arial" w:cs="Arial"/>
          <w:sz w:val="24"/>
          <w:szCs w:val="24"/>
        </w:rPr>
        <w:t xml:space="preserve"> </w:t>
      </w:r>
      <w:r>
        <w:rPr>
          <w:rFonts w:ascii="Times New Roman" w:hAnsi="Times New Roman" w:cs="Times New Roman"/>
          <w:sz w:val="24"/>
          <w:szCs w:val="24"/>
        </w:rPr>
        <w:t xml:space="preserve">rarely exposed in </w:t>
      </w:r>
      <w:r>
        <w:rPr>
          <w:rFonts w:ascii="Times New Roman" w:hAnsi="Times New Roman" w:cs="Times New Roman"/>
          <w:i/>
          <w:iCs/>
          <w:sz w:val="24"/>
          <w:szCs w:val="24"/>
        </w:rPr>
        <w:t xml:space="preserve">S. pneumoniae </w:t>
      </w:r>
      <w:r>
        <w:rPr>
          <w:rFonts w:ascii="Times New Roman" w:hAnsi="Times New Roman" w:cs="Times New Roman"/>
          <w:sz w:val="24"/>
          <w:szCs w:val="24"/>
        </w:rPr>
        <w:t xml:space="preserve">and </w:t>
      </w:r>
      <w:r>
        <w:rPr>
          <w:rFonts w:ascii="Times New Roman" w:hAnsi="Times New Roman" w:cs="Times New Roman"/>
          <w:i/>
          <w:iCs/>
          <w:sz w:val="24"/>
          <w:szCs w:val="24"/>
        </w:rPr>
        <w:t xml:space="preserve">L. lactis </w:t>
      </w:r>
      <w:r w:rsidRPr="00555E20">
        <w:rPr>
          <w:rFonts w:ascii="Times New Roman" w:hAnsi="Times New Roman" w:cs="Times New Roman"/>
          <w:sz w:val="24"/>
          <w:szCs w:val="24"/>
        </w:rPr>
        <w:t>samples</w:t>
      </w:r>
      <w:r w:rsidRPr="00555E20">
        <w:rPr>
          <w:rFonts w:ascii="Times New Roman" w:hAnsi="Times New Roman" w:cs="Times New Roman"/>
          <w:i/>
          <w:iCs/>
          <w:sz w:val="24"/>
          <w:szCs w:val="24"/>
        </w:rPr>
        <w:t xml:space="preserve">. </w:t>
      </w:r>
      <w:r w:rsidRPr="00555E20">
        <w:rPr>
          <w:rFonts w:ascii="Times New Roman" w:hAnsi="Times New Roman" w:cs="Times New Roman"/>
          <w:sz w:val="24"/>
          <w:szCs w:val="24"/>
        </w:rPr>
        <w:t>Scales: (Left to right) (</w:t>
      </w:r>
      <w:r w:rsidRPr="00555E20">
        <w:rPr>
          <w:rFonts w:ascii="Times New Roman" w:hAnsi="Times New Roman" w:cs="Times New Roman"/>
          <w:bCs/>
          <w:sz w:val="24"/>
          <w:szCs w:val="24"/>
        </w:rPr>
        <w:t>A</w:t>
      </w:r>
      <w:r w:rsidRPr="00555E20">
        <w:rPr>
          <w:rFonts w:ascii="Times New Roman" w:hAnsi="Times New Roman" w:cs="Times New Roman"/>
          <w:sz w:val="24"/>
          <w:szCs w:val="24"/>
        </w:rPr>
        <w:t>) H 55 nm</w:t>
      </w:r>
      <w:r w:rsidRPr="00555E20">
        <w:rPr>
          <w:rFonts w:ascii="Arial" w:hAnsi="Arial" w:cs="Arial"/>
          <w:sz w:val="24"/>
          <w:szCs w:val="24"/>
        </w:rPr>
        <w:t xml:space="preserve"> </w:t>
      </w:r>
      <w:r>
        <w:rPr>
          <w:rFonts w:ascii="Times New Roman" w:hAnsi="Times New Roman" w:cs="Times New Roman"/>
          <w:sz w:val="24"/>
          <w:szCs w:val="24"/>
        </w:rPr>
        <w:t>P 35°, H 50 nm</w:t>
      </w:r>
      <w:r w:rsidRPr="00555E20">
        <w:rPr>
          <w:rFonts w:ascii="Times New Roman" w:hAnsi="Times New Roman" w:cs="Times New Roman"/>
          <w:sz w:val="24"/>
          <w:szCs w:val="24"/>
        </w:rPr>
        <w:t xml:space="preserve"> P 27°</w:t>
      </w:r>
      <w:r>
        <w:rPr>
          <w:rFonts w:ascii="Times New Roman" w:hAnsi="Times New Roman" w:cs="Times New Roman"/>
          <w:sz w:val="24"/>
          <w:szCs w:val="24"/>
        </w:rPr>
        <w:t xml:space="preserve"> </w:t>
      </w:r>
      <w:r w:rsidRPr="00555E20">
        <w:rPr>
          <w:rFonts w:ascii="Times New Roman" w:hAnsi="Times New Roman" w:cs="Times New Roman"/>
          <w:sz w:val="24"/>
          <w:szCs w:val="24"/>
        </w:rPr>
        <w:t>(MG1363); (</w:t>
      </w:r>
      <w:r w:rsidRPr="00555E20">
        <w:rPr>
          <w:rFonts w:ascii="Times New Roman" w:hAnsi="Times New Roman" w:cs="Times New Roman"/>
          <w:bCs/>
          <w:sz w:val="24"/>
          <w:szCs w:val="24"/>
        </w:rPr>
        <w:t>B</w:t>
      </w:r>
      <w:r w:rsidRPr="00555E20">
        <w:rPr>
          <w:rFonts w:ascii="Times New Roman" w:hAnsi="Times New Roman" w:cs="Times New Roman"/>
          <w:sz w:val="24"/>
          <w:szCs w:val="24"/>
        </w:rPr>
        <w:t xml:space="preserve">) </w:t>
      </w:r>
      <w:r>
        <w:rPr>
          <w:rFonts w:ascii="Times New Roman" w:hAnsi="Times New Roman" w:cs="Times New Roman"/>
          <w:sz w:val="24"/>
          <w:szCs w:val="24"/>
        </w:rPr>
        <w:t>H 30 nm P 0.6°, H 15 nm</w:t>
      </w:r>
      <w:r w:rsidRPr="00555E20">
        <w:rPr>
          <w:rFonts w:ascii="Times New Roman" w:hAnsi="Times New Roman" w:cs="Times New Roman"/>
          <w:sz w:val="24"/>
          <w:szCs w:val="24"/>
        </w:rPr>
        <w:t xml:space="preserve"> P 1.5°,</w:t>
      </w:r>
      <w:r w:rsidRPr="00555E20">
        <w:rPr>
          <w:rFonts w:ascii="Arial" w:hAnsi="Arial" w:cs="Arial"/>
          <w:sz w:val="24"/>
          <w:szCs w:val="24"/>
        </w:rPr>
        <w:t xml:space="preserve"> </w:t>
      </w:r>
      <w:r>
        <w:rPr>
          <w:rFonts w:ascii="Times New Roman" w:hAnsi="Times New Roman" w:cs="Times New Roman"/>
          <w:sz w:val="24"/>
          <w:szCs w:val="24"/>
        </w:rPr>
        <w:t>H 15 nm P 15°, H 40 nm</w:t>
      </w:r>
      <w:r w:rsidRPr="00555E20">
        <w:rPr>
          <w:rFonts w:ascii="Times New Roman" w:hAnsi="Times New Roman" w:cs="Times New Roman"/>
          <w:sz w:val="24"/>
          <w:szCs w:val="24"/>
        </w:rPr>
        <w:t xml:space="preserve"> P 2.7°</w:t>
      </w:r>
      <w:r>
        <w:rPr>
          <w:rFonts w:ascii="Times New Roman" w:hAnsi="Times New Roman" w:cs="Times New Roman"/>
          <w:sz w:val="24"/>
          <w:szCs w:val="24"/>
        </w:rPr>
        <w:t xml:space="preserve"> </w:t>
      </w:r>
      <w:r w:rsidRPr="00555E20">
        <w:rPr>
          <w:rFonts w:ascii="Times New Roman" w:hAnsi="Times New Roman" w:cs="Times New Roman"/>
          <w:sz w:val="24"/>
          <w:szCs w:val="24"/>
        </w:rPr>
        <w:t>(JH2-2)</w:t>
      </w:r>
      <w:r>
        <w:rPr>
          <w:rFonts w:ascii="Times New Roman" w:hAnsi="Times New Roman" w:cs="Times New Roman"/>
          <w:sz w:val="24"/>
          <w:szCs w:val="24"/>
        </w:rPr>
        <w:t xml:space="preserve">; </w:t>
      </w:r>
      <w:r w:rsidRPr="00555E20">
        <w:rPr>
          <w:rFonts w:ascii="Times New Roman" w:hAnsi="Times New Roman" w:cs="Times New Roman"/>
          <w:sz w:val="24"/>
          <w:szCs w:val="24"/>
        </w:rPr>
        <w:t>(</w:t>
      </w:r>
      <w:r w:rsidRPr="00555E20">
        <w:rPr>
          <w:rFonts w:ascii="Times New Roman" w:hAnsi="Times New Roman" w:cs="Times New Roman"/>
          <w:bCs/>
          <w:sz w:val="24"/>
          <w:szCs w:val="24"/>
        </w:rPr>
        <w:t>C</w:t>
      </w:r>
      <w:r w:rsidRPr="00555E20">
        <w:rPr>
          <w:rFonts w:ascii="Times New Roman" w:hAnsi="Times New Roman" w:cs="Times New Roman"/>
          <w:sz w:val="24"/>
          <w:szCs w:val="24"/>
        </w:rPr>
        <w:t>)</w:t>
      </w:r>
      <w:r>
        <w:rPr>
          <w:rFonts w:ascii="Times New Roman" w:hAnsi="Times New Roman" w:cs="Times New Roman"/>
          <w:sz w:val="24"/>
          <w:szCs w:val="24"/>
        </w:rPr>
        <w:t xml:space="preserve"> H 20 nm P 14° (R6), H 30 nm P 17° (R6), H 42 nm</w:t>
      </w:r>
      <w:r w:rsidRPr="00555E20">
        <w:rPr>
          <w:rFonts w:ascii="Times New Roman" w:hAnsi="Times New Roman" w:cs="Times New Roman"/>
          <w:sz w:val="24"/>
          <w:szCs w:val="24"/>
        </w:rPr>
        <w:t xml:space="preserve"> P 20°</w:t>
      </w:r>
      <w:r w:rsidRPr="00555E20">
        <w:rPr>
          <w:rFonts w:ascii="Arial" w:hAnsi="Arial" w:cs="Arial"/>
          <w:sz w:val="24"/>
          <w:szCs w:val="24"/>
        </w:rPr>
        <w:t xml:space="preserve"> </w:t>
      </w:r>
      <w:r>
        <w:rPr>
          <w:rFonts w:ascii="Times New Roman" w:hAnsi="Times New Roman" w:cs="Times New Roman"/>
          <w:sz w:val="24"/>
          <w:szCs w:val="24"/>
        </w:rPr>
        <w:t>(MG1363), H 14 nm</w:t>
      </w:r>
      <w:r w:rsidRPr="00555E20">
        <w:rPr>
          <w:rFonts w:ascii="Times New Roman" w:hAnsi="Times New Roman" w:cs="Times New Roman"/>
          <w:sz w:val="24"/>
          <w:szCs w:val="24"/>
        </w:rPr>
        <w:t xml:space="preserve"> P 9° (MG1363).</w:t>
      </w:r>
    </w:p>
    <w:p w:rsidR="002D7C9B" w:rsidRDefault="002D7C9B" w:rsidP="002D7C9B">
      <w:pPr>
        <w:rPr>
          <w:rFonts w:ascii="Times New Roman" w:hAnsi="Times New Roman" w:cs="Times New Roman"/>
          <w:sz w:val="28"/>
          <w:szCs w:val="28"/>
        </w:rPr>
      </w:pPr>
      <w:r>
        <w:rPr>
          <w:rFonts w:ascii="Times New Roman" w:hAnsi="Times New Roman" w:cs="Times New Roman"/>
          <w:sz w:val="28"/>
          <w:szCs w:val="28"/>
        </w:rPr>
        <w:br w:type="page"/>
      </w:r>
    </w:p>
    <w:p w:rsidR="002D7C9B" w:rsidRDefault="002D7C9B" w:rsidP="002D7C9B">
      <w:r w:rsidRPr="007D6751">
        <w:rPr>
          <w:noProof/>
          <w:lang w:eastAsia="en-GB"/>
        </w:rPr>
        <w:lastRenderedPageBreak/>
        <w:drawing>
          <wp:inline distT="0" distB="0" distL="0" distR="0">
            <wp:extent cx="5277600" cy="6650309"/>
            <wp:effectExtent l="0" t="0" r="0" b="0"/>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srcRect/>
                    <a:stretch>
                      <a:fillRect/>
                    </a:stretch>
                  </pic:blipFill>
                  <pic:spPr bwMode="auto">
                    <a:xfrm>
                      <a:off x="0" y="0"/>
                      <a:ext cx="5277600" cy="6650309"/>
                    </a:xfrm>
                    <a:prstGeom prst="rect">
                      <a:avLst/>
                    </a:prstGeom>
                    <a:noFill/>
                    <a:ln w="9525">
                      <a:noFill/>
                      <a:miter lim="800000"/>
                      <a:headEnd/>
                      <a:tailEnd/>
                    </a:ln>
                  </pic:spPr>
                </pic:pic>
              </a:graphicData>
            </a:graphic>
          </wp:inline>
        </w:drawing>
      </w:r>
    </w:p>
    <w:p w:rsidR="002D7C9B" w:rsidRDefault="002D7C9B" w:rsidP="002D7C9B">
      <w:pPr>
        <w:rPr>
          <w:rFonts w:ascii="Times New Roman" w:hAnsi="Times New Roman" w:cs="Times New Roman"/>
          <w:b/>
          <w:sz w:val="24"/>
          <w:szCs w:val="24"/>
        </w:rPr>
      </w:pPr>
      <w:r>
        <w:rPr>
          <w:rFonts w:ascii="Times New Roman" w:hAnsi="Times New Roman" w:cs="Times New Roman"/>
          <w:b/>
          <w:sz w:val="24"/>
          <w:szCs w:val="24"/>
        </w:rPr>
        <w:br w:type="page"/>
      </w:r>
    </w:p>
    <w:p w:rsidR="002D7C9B" w:rsidRPr="00F92416" w:rsidRDefault="002D7C9B" w:rsidP="002D7C9B">
      <w:pPr>
        <w:spacing w:after="120" w:line="360" w:lineRule="auto"/>
        <w:jc w:val="both"/>
        <w:rPr>
          <w:rFonts w:ascii="Times New Roman" w:hAnsi="Times New Roman" w:cs="Times New Roman"/>
          <w:sz w:val="24"/>
          <w:szCs w:val="24"/>
        </w:rPr>
      </w:pPr>
      <w:proofErr w:type="gramStart"/>
      <w:r w:rsidRPr="00F92416">
        <w:rPr>
          <w:rFonts w:ascii="Times New Roman" w:hAnsi="Times New Roman" w:cs="Times New Roman"/>
          <w:b/>
          <w:sz w:val="24"/>
          <w:szCs w:val="24"/>
        </w:rPr>
        <w:lastRenderedPageBreak/>
        <w:t>Figure 3.1</w:t>
      </w:r>
      <w:r>
        <w:rPr>
          <w:rFonts w:ascii="Times New Roman" w:hAnsi="Times New Roman" w:cs="Times New Roman"/>
          <w:b/>
          <w:sz w:val="24"/>
          <w:szCs w:val="24"/>
        </w:rPr>
        <w:t>3</w:t>
      </w:r>
      <w:r w:rsidRPr="00F92416">
        <w:rPr>
          <w:rFonts w:ascii="Times New Roman" w:hAnsi="Times New Roman" w:cs="Times New Roman"/>
          <w:b/>
          <w:sz w:val="24"/>
          <w:szCs w:val="24"/>
        </w:rPr>
        <w:t>.</w:t>
      </w:r>
      <w:proofErr w:type="gramEnd"/>
      <w:r w:rsidRPr="00F92416">
        <w:rPr>
          <w:rFonts w:ascii="Times New Roman" w:hAnsi="Times New Roman" w:cs="Times New Roman"/>
          <w:b/>
          <w:sz w:val="24"/>
          <w:szCs w:val="24"/>
        </w:rPr>
        <w:t xml:space="preserve"> </w:t>
      </w:r>
      <w:proofErr w:type="gramStart"/>
      <w:r w:rsidRPr="00F92416">
        <w:rPr>
          <w:rFonts w:ascii="Times New Roman" w:hAnsi="Times New Roman" w:cs="Times New Roman"/>
          <w:b/>
          <w:sz w:val="24"/>
          <w:szCs w:val="24"/>
        </w:rPr>
        <w:t xml:space="preserve">AFM gallery showing the interior peptidoglycan architecture of </w:t>
      </w:r>
      <w:r w:rsidRPr="00F92416">
        <w:rPr>
          <w:rFonts w:ascii="Times New Roman" w:hAnsi="Times New Roman" w:cs="Times New Roman"/>
          <w:b/>
          <w:i/>
          <w:sz w:val="24"/>
          <w:szCs w:val="24"/>
        </w:rPr>
        <w:t>S. pneumoniae</w:t>
      </w:r>
      <w:r w:rsidRPr="00F92416">
        <w:rPr>
          <w:rFonts w:ascii="Times New Roman" w:hAnsi="Times New Roman" w:cs="Times New Roman"/>
          <w:b/>
          <w:sz w:val="24"/>
          <w:szCs w:val="24"/>
        </w:rPr>
        <w:t xml:space="preserve"> sacculi.</w:t>
      </w:r>
      <w:proofErr w:type="gramEnd"/>
      <w:r w:rsidRPr="00F92416">
        <w:rPr>
          <w:rFonts w:ascii="Times New Roman" w:hAnsi="Times New Roman" w:cs="Times New Roman"/>
          <w:sz w:val="24"/>
          <w:szCs w:val="24"/>
        </w:rPr>
        <w:t xml:space="preserve"> AFM height (H) and phase (P) images showing the architecture of the sacculus interior in </w:t>
      </w:r>
      <w:r w:rsidRPr="00F92416">
        <w:rPr>
          <w:rFonts w:ascii="Times New Roman" w:hAnsi="Times New Roman" w:cs="Times New Roman"/>
          <w:i/>
          <w:sz w:val="24"/>
          <w:szCs w:val="24"/>
        </w:rPr>
        <w:t>S. pneumoniae</w:t>
      </w:r>
      <w:r w:rsidRPr="00F92416">
        <w:rPr>
          <w:rFonts w:ascii="Times New Roman" w:hAnsi="Times New Roman" w:cs="Times New Roman"/>
          <w:sz w:val="24"/>
          <w:szCs w:val="24"/>
        </w:rPr>
        <w:t xml:space="preserve"> R6. (A) </w:t>
      </w:r>
      <w:proofErr w:type="gramStart"/>
      <w:r w:rsidRPr="00F92416">
        <w:rPr>
          <w:rFonts w:ascii="Times New Roman" w:hAnsi="Times New Roman" w:cs="Times New Roman"/>
          <w:sz w:val="24"/>
          <w:szCs w:val="24"/>
        </w:rPr>
        <w:t>to</w:t>
      </w:r>
      <w:proofErr w:type="gramEnd"/>
      <w:r w:rsidRPr="00F92416">
        <w:rPr>
          <w:rFonts w:ascii="Times New Roman" w:hAnsi="Times New Roman" w:cs="Times New Roman"/>
          <w:sz w:val="24"/>
          <w:szCs w:val="24"/>
        </w:rPr>
        <w:t xml:space="preserve"> (E) Images show broken sacculi with exposed peripheral wall displaying a circumferential banding pattern running across the short axis of the cell. Exposed poles display a smooth and centripetal architecture. (F) Architecture of an incomplete septum revealing a centripetal pattern (left)</w:t>
      </w:r>
      <w:r>
        <w:rPr>
          <w:rFonts w:ascii="Times New Roman" w:hAnsi="Times New Roman" w:cs="Times New Roman"/>
          <w:sz w:val="24"/>
          <w:szCs w:val="24"/>
        </w:rPr>
        <w:t>.</w:t>
      </w:r>
      <w:r w:rsidRPr="00F92416">
        <w:rPr>
          <w:rFonts w:ascii="Times New Roman" w:hAnsi="Times New Roman" w:cs="Times New Roman"/>
          <w:sz w:val="24"/>
          <w:szCs w:val="24"/>
        </w:rPr>
        <w:t xml:space="preserve"> (</w:t>
      </w:r>
      <w:r>
        <w:rPr>
          <w:rFonts w:ascii="Times New Roman" w:hAnsi="Times New Roman" w:cs="Times New Roman"/>
          <w:sz w:val="24"/>
          <w:szCs w:val="24"/>
        </w:rPr>
        <w:t>R</w:t>
      </w:r>
      <w:r w:rsidRPr="00F92416">
        <w:rPr>
          <w:rFonts w:ascii="Times New Roman" w:hAnsi="Times New Roman" w:cs="Times New Roman"/>
          <w:sz w:val="24"/>
          <w:szCs w:val="24"/>
        </w:rPr>
        <w:t>ight) a closing septal annulus (top) with 3D height render (bottom). Scales: (left to right) (A) H 15 nm P 16°; (B) H 10 nm P 21° (</w:t>
      </w:r>
      <w:r w:rsidRPr="00F92416">
        <w:rPr>
          <w:rFonts w:ascii="Times New Roman" w:hAnsi="Times New Roman" w:cs="Times New Roman"/>
          <w:bCs/>
          <w:sz w:val="24"/>
          <w:szCs w:val="24"/>
        </w:rPr>
        <w:t>C</w:t>
      </w:r>
      <w:r w:rsidRPr="00F92416">
        <w:rPr>
          <w:rFonts w:ascii="Times New Roman" w:hAnsi="Times New Roman" w:cs="Times New Roman"/>
          <w:sz w:val="24"/>
          <w:szCs w:val="24"/>
        </w:rPr>
        <w:t>)</w:t>
      </w:r>
      <w:r w:rsidRPr="00F92416">
        <w:rPr>
          <w:rFonts w:ascii="Arial" w:hAnsi="Arial" w:cs="Arial"/>
          <w:sz w:val="24"/>
          <w:szCs w:val="24"/>
        </w:rPr>
        <w:t xml:space="preserve"> </w:t>
      </w:r>
      <w:r w:rsidRPr="00F92416">
        <w:rPr>
          <w:rFonts w:ascii="Times New Roman" w:hAnsi="Times New Roman" w:cs="Times New Roman"/>
          <w:sz w:val="24"/>
          <w:szCs w:val="24"/>
        </w:rPr>
        <w:t>H 15 nm P 18°, inset H 10 nm P 20°; (</w:t>
      </w:r>
      <w:r w:rsidRPr="00F92416">
        <w:rPr>
          <w:rFonts w:ascii="Times New Roman" w:hAnsi="Times New Roman" w:cs="Times New Roman"/>
          <w:bCs/>
          <w:sz w:val="24"/>
          <w:szCs w:val="24"/>
        </w:rPr>
        <w:t>D</w:t>
      </w:r>
      <w:r w:rsidRPr="00F92416">
        <w:rPr>
          <w:rFonts w:ascii="Times New Roman" w:hAnsi="Times New Roman" w:cs="Times New Roman"/>
          <w:sz w:val="24"/>
          <w:szCs w:val="24"/>
        </w:rPr>
        <w:t>) H 15 nm P 10°, inset H 15 nm P 6°; (</w:t>
      </w:r>
      <w:r w:rsidRPr="00F92416">
        <w:rPr>
          <w:rFonts w:ascii="Times New Roman" w:hAnsi="Times New Roman" w:cs="Times New Roman"/>
          <w:bCs/>
          <w:sz w:val="24"/>
          <w:szCs w:val="24"/>
        </w:rPr>
        <w:t>E)</w:t>
      </w:r>
      <w:r w:rsidRPr="00F92416">
        <w:rPr>
          <w:rFonts w:ascii="Times New Roman" w:hAnsi="Times New Roman" w:cs="Times New Roman"/>
          <w:sz w:val="24"/>
          <w:szCs w:val="24"/>
        </w:rPr>
        <w:t xml:space="preserve"> H 10 nm P 9°; (F) H 8 nm P 9° (left), H 17 nm P 18° (right).</w:t>
      </w:r>
    </w:p>
    <w:p w:rsidR="002D7C9B" w:rsidRPr="00F92416" w:rsidRDefault="002D7C9B" w:rsidP="002D7C9B">
      <w:pPr>
        <w:spacing w:after="120" w:line="360" w:lineRule="auto"/>
        <w:rPr>
          <w:rFonts w:ascii="Times New Roman" w:hAnsi="Times New Roman" w:cs="Times New Roman"/>
          <w:sz w:val="24"/>
          <w:szCs w:val="24"/>
        </w:rPr>
      </w:pPr>
      <w:r w:rsidRPr="00F92416">
        <w:rPr>
          <w:sz w:val="24"/>
          <w:szCs w:val="24"/>
        </w:rPr>
        <w:t xml:space="preserve"> </w:t>
      </w:r>
      <w:r w:rsidRPr="00F92416">
        <w:rPr>
          <w:rFonts w:ascii="Times New Roman" w:hAnsi="Times New Roman" w:cs="Times New Roman"/>
          <w:sz w:val="24"/>
          <w:szCs w:val="24"/>
        </w:rPr>
        <w:br w:type="page"/>
      </w:r>
    </w:p>
    <w:p w:rsidR="002D7C9B" w:rsidRDefault="002D7C9B" w:rsidP="002D7C9B">
      <w:pPr>
        <w:jc w:val="both"/>
        <w:rPr>
          <w:rFonts w:ascii="Times New Roman" w:hAnsi="Times New Roman" w:cs="Times New Roman"/>
          <w:sz w:val="28"/>
          <w:szCs w:val="28"/>
        </w:rPr>
      </w:pPr>
      <w:r w:rsidRPr="008014D5">
        <w:rPr>
          <w:rFonts w:ascii="Times New Roman" w:hAnsi="Times New Roman" w:cs="Times New Roman"/>
          <w:noProof/>
          <w:sz w:val="28"/>
          <w:szCs w:val="28"/>
          <w:lang w:eastAsia="en-GB"/>
        </w:rPr>
        <w:lastRenderedPageBreak/>
        <w:drawing>
          <wp:inline distT="0" distB="0" distL="0" distR="0">
            <wp:extent cx="5277600" cy="4038164"/>
            <wp:effectExtent l="0" t="0" r="0" b="0"/>
            <wp:docPr id="36" name="Picture 3"/>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0" cstate="print"/>
                    <a:srcRect/>
                    <a:stretch>
                      <a:fillRect/>
                    </a:stretch>
                  </pic:blipFill>
                  <pic:spPr bwMode="auto">
                    <a:xfrm>
                      <a:off x="0" y="0"/>
                      <a:ext cx="5277600" cy="4038164"/>
                    </a:xfrm>
                    <a:prstGeom prst="rect">
                      <a:avLst/>
                    </a:prstGeom>
                    <a:noFill/>
                    <a:ln w="9525">
                      <a:noFill/>
                      <a:miter lim="800000"/>
                      <a:headEnd/>
                      <a:tailEnd/>
                    </a:ln>
                    <a:effectLst/>
                  </pic:spPr>
                </pic:pic>
              </a:graphicData>
            </a:graphic>
          </wp:inline>
        </w:drawing>
      </w:r>
    </w:p>
    <w:p w:rsidR="002D7C9B" w:rsidRPr="00C00F77" w:rsidRDefault="002D7C9B" w:rsidP="002D7C9B">
      <w:pPr>
        <w:spacing w:line="360" w:lineRule="auto"/>
        <w:jc w:val="both"/>
        <w:rPr>
          <w:rFonts w:ascii="Times New Roman" w:hAnsi="Times New Roman" w:cs="Times New Roman"/>
          <w:color w:val="000000" w:themeColor="text1"/>
          <w:sz w:val="24"/>
          <w:szCs w:val="24"/>
        </w:rPr>
      </w:pPr>
      <w:proofErr w:type="gramStart"/>
      <w:r w:rsidRPr="007F4C56">
        <w:rPr>
          <w:rFonts w:ascii="Times New Roman" w:hAnsi="Times New Roman" w:cs="Times New Roman"/>
          <w:b/>
          <w:sz w:val="24"/>
          <w:szCs w:val="24"/>
        </w:rPr>
        <w:t>Figure 3.1</w:t>
      </w:r>
      <w:r>
        <w:rPr>
          <w:rFonts w:ascii="Times New Roman" w:hAnsi="Times New Roman" w:cs="Times New Roman"/>
          <w:b/>
          <w:sz w:val="24"/>
          <w:szCs w:val="24"/>
        </w:rPr>
        <w:t>4.</w:t>
      </w:r>
      <w:proofErr w:type="gramEnd"/>
      <w:r>
        <w:rPr>
          <w:rFonts w:ascii="Times New Roman" w:hAnsi="Times New Roman" w:cs="Times New Roman"/>
          <w:b/>
          <w:sz w:val="24"/>
          <w:szCs w:val="24"/>
        </w:rPr>
        <w:t xml:space="preserve"> </w:t>
      </w:r>
      <w:proofErr w:type="gramStart"/>
      <w:r>
        <w:rPr>
          <w:rFonts w:ascii="Times New Roman" w:hAnsi="Times New Roman" w:cs="Times New Roman"/>
          <w:b/>
          <w:sz w:val="24"/>
          <w:szCs w:val="24"/>
        </w:rPr>
        <w:t xml:space="preserve">Interior peptidoglycan architecture of </w:t>
      </w:r>
      <w:r>
        <w:rPr>
          <w:rFonts w:ascii="Times New Roman" w:hAnsi="Times New Roman" w:cs="Times New Roman"/>
          <w:b/>
          <w:i/>
          <w:sz w:val="24"/>
          <w:szCs w:val="24"/>
        </w:rPr>
        <w:t>L. lactis and E. faecalis</w:t>
      </w:r>
      <w:r>
        <w:rPr>
          <w:rFonts w:ascii="Times New Roman" w:hAnsi="Times New Roman" w:cs="Times New Roman"/>
          <w:b/>
          <w:sz w:val="24"/>
          <w:szCs w:val="24"/>
        </w:rPr>
        <w:t>.</w:t>
      </w:r>
      <w:proofErr w:type="gramEnd"/>
      <w:r>
        <w:rPr>
          <w:rFonts w:ascii="Times New Roman" w:hAnsi="Times New Roman" w:cs="Times New Roman"/>
          <w:b/>
          <w:sz w:val="24"/>
          <w:szCs w:val="24"/>
        </w:rPr>
        <w:t xml:space="preserve"> </w:t>
      </w:r>
      <w:proofErr w:type="gramStart"/>
      <w:r>
        <w:rPr>
          <w:rFonts w:ascii="Times New Roman" w:hAnsi="Times New Roman" w:cs="Times New Roman"/>
          <w:sz w:val="24"/>
          <w:szCs w:val="24"/>
        </w:rPr>
        <w:t xml:space="preserve">AFM height (H) and phase (P) images showing the interior peripheral wall architecture of </w:t>
      </w:r>
      <w:r>
        <w:rPr>
          <w:rFonts w:ascii="Times New Roman" w:hAnsi="Times New Roman" w:cs="Times New Roman"/>
          <w:i/>
          <w:sz w:val="24"/>
          <w:szCs w:val="24"/>
        </w:rPr>
        <w:t xml:space="preserve">L. </w:t>
      </w:r>
      <w:r w:rsidRPr="00C00F77">
        <w:rPr>
          <w:rFonts w:ascii="Times New Roman" w:hAnsi="Times New Roman" w:cs="Times New Roman"/>
          <w:i/>
          <w:color w:val="000000" w:themeColor="text1"/>
          <w:sz w:val="24"/>
          <w:szCs w:val="24"/>
        </w:rPr>
        <w:t>lactis</w:t>
      </w:r>
      <w:r w:rsidRPr="00C00F77">
        <w:rPr>
          <w:rFonts w:ascii="Times New Roman" w:hAnsi="Times New Roman" w:cs="Times New Roman"/>
          <w:color w:val="000000" w:themeColor="text1"/>
          <w:sz w:val="24"/>
          <w:szCs w:val="24"/>
        </w:rPr>
        <w:t xml:space="preserve"> MG1363, VES5751 and </w:t>
      </w:r>
      <w:r w:rsidRPr="00C00F77">
        <w:rPr>
          <w:rFonts w:ascii="Times New Roman" w:hAnsi="Times New Roman" w:cs="Times New Roman"/>
          <w:i/>
          <w:color w:val="000000" w:themeColor="text1"/>
          <w:sz w:val="24"/>
          <w:szCs w:val="24"/>
        </w:rPr>
        <w:t>E. faecalis</w:t>
      </w:r>
      <w:r w:rsidRPr="00C00F77">
        <w:rPr>
          <w:rFonts w:ascii="Times New Roman" w:hAnsi="Times New Roman" w:cs="Times New Roman"/>
          <w:color w:val="000000" w:themeColor="text1"/>
          <w:sz w:val="24"/>
          <w:szCs w:val="24"/>
        </w:rPr>
        <w:t xml:space="preserve"> JH2-2.</w:t>
      </w:r>
      <w:proofErr w:type="gramEnd"/>
      <w:r w:rsidRPr="00C00F77">
        <w:rPr>
          <w:rFonts w:ascii="Times New Roman" w:hAnsi="Times New Roman" w:cs="Times New Roman"/>
          <w:color w:val="000000" w:themeColor="text1"/>
          <w:sz w:val="24"/>
          <w:szCs w:val="24"/>
        </w:rPr>
        <w:t xml:space="preserve"> The architecture at the peripheral wall in these species is less pronounced than that observed for </w:t>
      </w:r>
      <w:r w:rsidRPr="00C00F77">
        <w:rPr>
          <w:rFonts w:ascii="Times New Roman" w:hAnsi="Times New Roman" w:cs="Times New Roman"/>
          <w:i/>
          <w:color w:val="000000" w:themeColor="text1"/>
          <w:sz w:val="24"/>
          <w:szCs w:val="24"/>
        </w:rPr>
        <w:t>S. pneumoniae</w:t>
      </w:r>
      <w:r w:rsidRPr="00C00F77">
        <w:rPr>
          <w:rFonts w:ascii="Times New Roman" w:hAnsi="Times New Roman" w:cs="Times New Roman"/>
          <w:color w:val="000000" w:themeColor="text1"/>
          <w:sz w:val="24"/>
          <w:szCs w:val="24"/>
        </w:rPr>
        <w:t xml:space="preserve"> R6 (</w:t>
      </w:r>
      <w:r>
        <w:rPr>
          <w:rFonts w:ascii="Times New Roman" w:hAnsi="Times New Roman" w:cs="Times New Roman"/>
          <w:color w:val="000000" w:themeColor="text1"/>
          <w:sz w:val="24"/>
          <w:szCs w:val="24"/>
        </w:rPr>
        <w:t>Figure 3.13</w:t>
      </w:r>
      <w:r w:rsidRPr="00C00F77">
        <w:rPr>
          <w:rFonts w:ascii="Times New Roman" w:hAnsi="Times New Roman" w:cs="Times New Roman"/>
          <w:color w:val="000000" w:themeColor="text1"/>
          <w:sz w:val="24"/>
          <w:szCs w:val="24"/>
        </w:rPr>
        <w:t>). Scales: (A) H 30 nm P 19° (MG1363); (B) H22 nm P 10° (VES5751); (C) H 14 nm P 11° (JH2-2).</w:t>
      </w:r>
    </w:p>
    <w:p w:rsidR="002D7C9B" w:rsidRDefault="002D7C9B" w:rsidP="002D7C9B">
      <w:pPr>
        <w:rPr>
          <w:rFonts w:ascii="Times New Roman" w:hAnsi="Times New Roman" w:cs="Times New Roman"/>
          <w:sz w:val="28"/>
          <w:szCs w:val="28"/>
        </w:rPr>
      </w:pPr>
      <w:r>
        <w:rPr>
          <w:rFonts w:ascii="Times New Roman" w:hAnsi="Times New Roman" w:cs="Times New Roman"/>
          <w:sz w:val="28"/>
          <w:szCs w:val="28"/>
        </w:rPr>
        <w:br w:type="page"/>
      </w:r>
    </w:p>
    <w:p w:rsidR="002D7C9B" w:rsidRPr="00C00F77" w:rsidRDefault="002D7C9B" w:rsidP="002D7C9B">
      <w:pPr>
        <w:autoSpaceDE w:val="0"/>
        <w:autoSpaceDN w:val="0"/>
        <w:adjustRightInd w:val="0"/>
        <w:spacing w:after="120" w:line="480" w:lineRule="auto"/>
        <w:jc w:val="both"/>
        <w:rPr>
          <w:rFonts w:ascii="Times New Roman" w:hAnsi="Times New Roman" w:cs="Times New Roman"/>
          <w:color w:val="000000" w:themeColor="text1"/>
          <w:sz w:val="24"/>
          <w:szCs w:val="24"/>
        </w:rPr>
      </w:pPr>
      <w:r w:rsidRPr="00131379">
        <w:rPr>
          <w:rFonts w:ascii="Times New Roman" w:hAnsi="Times New Roman" w:cs="Times New Roman"/>
          <w:sz w:val="24"/>
          <w:szCs w:val="24"/>
        </w:rPr>
        <w:lastRenderedPageBreak/>
        <w:t xml:space="preserve">Overall </w:t>
      </w:r>
      <w:r w:rsidRPr="00C00F77">
        <w:rPr>
          <w:rFonts w:ascii="Times New Roman" w:hAnsi="Times New Roman" w:cs="Times New Roman"/>
          <w:color w:val="000000" w:themeColor="text1"/>
          <w:sz w:val="24"/>
          <w:szCs w:val="24"/>
        </w:rPr>
        <w:t xml:space="preserve">shape and cell dimensions appeared most similar between </w:t>
      </w:r>
      <w:r w:rsidRPr="00C00F77">
        <w:rPr>
          <w:rFonts w:ascii="Times New Roman" w:hAnsi="Times New Roman" w:cs="Times New Roman"/>
          <w:i/>
          <w:color w:val="000000" w:themeColor="text1"/>
          <w:sz w:val="24"/>
          <w:szCs w:val="24"/>
        </w:rPr>
        <w:t>S. pneumoniae</w:t>
      </w:r>
      <w:r w:rsidRPr="00C00F77">
        <w:rPr>
          <w:rFonts w:ascii="Times New Roman" w:hAnsi="Times New Roman" w:cs="Times New Roman"/>
          <w:color w:val="000000" w:themeColor="text1"/>
          <w:sz w:val="24"/>
          <w:szCs w:val="24"/>
        </w:rPr>
        <w:t xml:space="preserve"> and </w:t>
      </w:r>
      <w:r w:rsidRPr="00C00F77">
        <w:rPr>
          <w:rFonts w:ascii="Times New Roman" w:hAnsi="Times New Roman" w:cs="Times New Roman"/>
          <w:i/>
          <w:color w:val="000000" w:themeColor="text1"/>
          <w:sz w:val="24"/>
          <w:szCs w:val="24"/>
        </w:rPr>
        <w:t>L. lactis</w:t>
      </w:r>
      <w:r w:rsidRPr="00C00F77">
        <w:rPr>
          <w:rFonts w:ascii="Times New Roman" w:hAnsi="Times New Roman" w:cs="Times New Roman"/>
          <w:color w:val="000000" w:themeColor="text1"/>
          <w:sz w:val="24"/>
          <w:szCs w:val="24"/>
        </w:rPr>
        <w:t>,</w:t>
      </w:r>
      <w:r w:rsidRPr="00C00F77">
        <w:rPr>
          <w:rFonts w:ascii="Times New Roman" w:hAnsi="Times New Roman" w:cs="Times New Roman"/>
          <w:i/>
          <w:color w:val="000000" w:themeColor="text1"/>
          <w:sz w:val="24"/>
          <w:szCs w:val="24"/>
        </w:rPr>
        <w:t xml:space="preserve"> </w:t>
      </w:r>
      <w:r w:rsidRPr="00C00F77">
        <w:rPr>
          <w:rFonts w:ascii="Times New Roman" w:hAnsi="Times New Roman" w:cs="Times New Roman"/>
          <w:color w:val="000000" w:themeColor="text1"/>
          <w:sz w:val="24"/>
          <w:szCs w:val="24"/>
        </w:rPr>
        <w:t xml:space="preserve">which were more elongated than </w:t>
      </w:r>
      <w:r w:rsidRPr="00C00F77">
        <w:rPr>
          <w:rFonts w:ascii="Times New Roman" w:hAnsi="Times New Roman" w:cs="Times New Roman"/>
          <w:i/>
          <w:color w:val="000000" w:themeColor="text1"/>
          <w:sz w:val="24"/>
          <w:szCs w:val="24"/>
        </w:rPr>
        <w:t>E. faecalis</w:t>
      </w:r>
      <w:r w:rsidRPr="00C00F77">
        <w:rPr>
          <w:rFonts w:ascii="Times New Roman" w:hAnsi="Times New Roman" w:cs="Times New Roman"/>
          <w:color w:val="000000" w:themeColor="text1"/>
          <w:sz w:val="24"/>
          <w:szCs w:val="24"/>
        </w:rPr>
        <w:t xml:space="preserve"> (Table 3.2). As expected for cells </w:t>
      </w:r>
      <w:r w:rsidRPr="00C00F77">
        <w:rPr>
          <w:rFonts w:ascii="Times New Roman" w:eastAsia="Calibri" w:hAnsi="Times New Roman" w:cs="Times New Roman"/>
          <w:color w:val="000000" w:themeColor="text1"/>
          <w:sz w:val="24"/>
          <w:szCs w:val="24"/>
        </w:rPr>
        <w:t xml:space="preserve">which divide in a plane perpendicular to the long axis and parallel to the short axis, significant variation was observed in cell length, whereas </w:t>
      </w:r>
      <w:r w:rsidRPr="00C00F77">
        <w:rPr>
          <w:rFonts w:ascii="Times New Roman" w:hAnsi="Times New Roman" w:cs="Times New Roman"/>
          <w:color w:val="000000" w:themeColor="text1"/>
          <w:sz w:val="24"/>
          <w:szCs w:val="24"/>
        </w:rPr>
        <w:t>maximum cell width showed little variation throughout the cell cycle (Table 3.2).</w:t>
      </w:r>
    </w:p>
    <w:p w:rsidR="002D7C9B" w:rsidRPr="00C00F77" w:rsidRDefault="002D7C9B" w:rsidP="002D7C9B">
      <w:pPr>
        <w:autoSpaceDE w:val="0"/>
        <w:autoSpaceDN w:val="0"/>
        <w:adjustRightInd w:val="0"/>
        <w:spacing w:after="120" w:line="480" w:lineRule="auto"/>
        <w:jc w:val="both"/>
        <w:rPr>
          <w:rFonts w:ascii="Times New Roman" w:hAnsi="Times New Roman" w:cs="Times New Roman"/>
          <w:color w:val="000000" w:themeColor="text1"/>
          <w:sz w:val="24"/>
          <w:szCs w:val="24"/>
        </w:rPr>
      </w:pPr>
    </w:p>
    <w:p w:rsidR="002D7C9B" w:rsidRPr="00C00F77" w:rsidRDefault="002D7C9B" w:rsidP="002D7C9B">
      <w:pPr>
        <w:spacing w:before="120" w:after="120" w:line="480" w:lineRule="auto"/>
        <w:jc w:val="both"/>
        <w:rPr>
          <w:rFonts w:ascii="Times New Roman" w:eastAsia="Calibri" w:hAnsi="Times New Roman" w:cs="Times New Roman"/>
          <w:b/>
          <w:color w:val="000000" w:themeColor="text1"/>
          <w:sz w:val="28"/>
          <w:szCs w:val="28"/>
        </w:rPr>
      </w:pPr>
      <w:r w:rsidRPr="00C00F77">
        <w:rPr>
          <w:rFonts w:ascii="Times New Roman" w:eastAsia="Calibri" w:hAnsi="Times New Roman" w:cs="Times New Roman"/>
          <w:color w:val="000000" w:themeColor="text1"/>
          <w:sz w:val="28"/>
          <w:szCs w:val="28"/>
        </w:rPr>
        <w:t>3.2.6</w:t>
      </w:r>
      <w:r w:rsidRPr="00C00F77">
        <w:rPr>
          <w:rFonts w:ascii="Times New Roman" w:eastAsia="Calibri" w:hAnsi="Times New Roman" w:cs="Times New Roman"/>
          <w:color w:val="000000" w:themeColor="text1"/>
          <w:sz w:val="28"/>
          <w:szCs w:val="28"/>
        </w:rPr>
        <w:tab/>
      </w:r>
      <w:r>
        <w:rPr>
          <w:rFonts w:ascii="Times New Roman" w:eastAsia="Calibri" w:hAnsi="Times New Roman" w:cs="Times New Roman"/>
          <w:color w:val="000000" w:themeColor="text1"/>
          <w:sz w:val="28"/>
          <w:szCs w:val="28"/>
        </w:rPr>
        <w:tab/>
      </w:r>
      <w:r w:rsidRPr="00C00F77">
        <w:rPr>
          <w:rFonts w:ascii="Times New Roman" w:eastAsia="Calibri" w:hAnsi="Times New Roman" w:cs="Times New Roman"/>
          <w:color w:val="000000" w:themeColor="text1"/>
          <w:sz w:val="28"/>
          <w:szCs w:val="28"/>
        </w:rPr>
        <w:t>Temporal and spatial regulation of the cell cycle in ovococci</w:t>
      </w:r>
    </w:p>
    <w:p w:rsidR="002D7C9B" w:rsidRPr="00994F87" w:rsidRDefault="002D7C9B" w:rsidP="002D7C9B">
      <w:pPr>
        <w:spacing w:before="120" w:after="120" w:line="480" w:lineRule="auto"/>
        <w:jc w:val="both"/>
        <w:rPr>
          <w:rFonts w:ascii="Times New Roman" w:eastAsia="Calibri" w:hAnsi="Times New Roman" w:cs="Times New Roman"/>
          <w:b/>
          <w:sz w:val="24"/>
          <w:szCs w:val="24"/>
        </w:rPr>
        <w:sectPr w:rsidR="002D7C9B" w:rsidRPr="00994F87" w:rsidSect="002D7C9B">
          <w:type w:val="continuous"/>
          <w:pgSz w:w="11906" w:h="16838"/>
          <w:pgMar w:top="1440" w:right="1134" w:bottom="1440" w:left="2268" w:header="709" w:footer="709" w:gutter="0"/>
          <w:cols w:space="708"/>
          <w:docGrid w:linePitch="360"/>
        </w:sectPr>
      </w:pPr>
      <w:r w:rsidRPr="00C00F77">
        <w:rPr>
          <w:rFonts w:ascii="Times New Roman" w:hAnsi="Times New Roman" w:cs="Times New Roman"/>
          <w:color w:val="000000" w:themeColor="text1"/>
          <w:sz w:val="24"/>
          <w:szCs w:val="24"/>
        </w:rPr>
        <w:t>We analysed the temporal regulation of successive rounds of division in non-limiting growth conditions, where growth rates were comparable between ovococci (between 48 and 56 minutes per generation). A complete division began with the appearance of vancomycin labelling at the mid-cell and ended when the diameter of the septal aperture was zero. We recorded the appearance of new labelling foci in presumptive daughter cells during progression of septation. Progression of septation was followed by plotting septal aperture against cross-wall diameter (</w:t>
      </w:r>
      <w:r>
        <w:rPr>
          <w:rFonts w:ascii="Times New Roman" w:hAnsi="Times New Roman" w:cs="Times New Roman"/>
          <w:color w:val="000000" w:themeColor="text1"/>
          <w:sz w:val="24"/>
          <w:szCs w:val="24"/>
        </w:rPr>
        <w:t>Figure 3.17</w:t>
      </w:r>
      <w:r w:rsidRPr="00C00F77">
        <w:rPr>
          <w:rFonts w:ascii="Times New Roman" w:hAnsi="Times New Roman" w:cs="Times New Roman"/>
          <w:color w:val="000000" w:themeColor="text1"/>
          <w:sz w:val="24"/>
          <w:szCs w:val="24"/>
        </w:rPr>
        <w:t>).</w:t>
      </w:r>
      <w:r w:rsidRPr="00C00F77">
        <w:rPr>
          <w:rFonts w:ascii="Times New Roman" w:hAnsi="Times New Roman" w:cs="Times New Roman"/>
          <w:i/>
          <w:color w:val="000000" w:themeColor="text1"/>
          <w:sz w:val="24"/>
          <w:szCs w:val="24"/>
        </w:rPr>
        <w:t xml:space="preserve"> S. pneumoniae</w:t>
      </w:r>
      <w:r w:rsidRPr="00C00F77">
        <w:rPr>
          <w:rFonts w:ascii="Times New Roman" w:hAnsi="Times New Roman" w:cs="Times New Roman"/>
          <w:color w:val="000000" w:themeColor="text1"/>
          <w:sz w:val="24"/>
          <w:szCs w:val="24"/>
        </w:rPr>
        <w:t xml:space="preserve"> displayed overlapping rounds of growth and division, as strong vancomycin labelling was observed in presumptive daughter cells before closure of the septum (</w:t>
      </w:r>
      <w:r>
        <w:rPr>
          <w:rFonts w:ascii="Times New Roman" w:hAnsi="Times New Roman" w:cs="Times New Roman"/>
          <w:color w:val="000000" w:themeColor="text1"/>
          <w:sz w:val="24"/>
          <w:szCs w:val="24"/>
        </w:rPr>
        <w:t>Figure 3.17</w:t>
      </w:r>
      <w:r w:rsidRPr="00C00F77">
        <w:rPr>
          <w:rFonts w:ascii="Times New Roman" w:hAnsi="Times New Roman" w:cs="Times New Roman"/>
          <w:color w:val="000000" w:themeColor="text1"/>
          <w:sz w:val="24"/>
          <w:szCs w:val="24"/>
        </w:rPr>
        <w:t xml:space="preserve">A). By contrast, </w:t>
      </w:r>
      <w:r w:rsidRPr="00C00F77">
        <w:rPr>
          <w:rFonts w:ascii="Times New Roman" w:hAnsi="Times New Roman" w:cs="Times New Roman"/>
          <w:i/>
          <w:color w:val="000000" w:themeColor="text1"/>
          <w:sz w:val="24"/>
          <w:szCs w:val="24"/>
        </w:rPr>
        <w:t>E. faecalis</w:t>
      </w:r>
      <w:r w:rsidRPr="00C00F77">
        <w:rPr>
          <w:rFonts w:ascii="Times New Roman" w:hAnsi="Times New Roman" w:cs="Times New Roman"/>
          <w:color w:val="000000" w:themeColor="text1"/>
          <w:sz w:val="24"/>
          <w:szCs w:val="24"/>
        </w:rPr>
        <w:t xml:space="preserve"> and </w:t>
      </w:r>
      <w:r w:rsidRPr="00C00F77">
        <w:rPr>
          <w:rFonts w:ascii="Times New Roman" w:hAnsi="Times New Roman" w:cs="Times New Roman"/>
          <w:i/>
          <w:color w:val="000000" w:themeColor="text1"/>
          <w:sz w:val="24"/>
          <w:szCs w:val="24"/>
        </w:rPr>
        <w:t>L. lactis</w:t>
      </w:r>
      <w:r w:rsidRPr="00C00F77">
        <w:rPr>
          <w:rFonts w:ascii="Times New Roman" w:hAnsi="Times New Roman" w:cs="Times New Roman"/>
          <w:color w:val="000000" w:themeColor="text1"/>
          <w:sz w:val="24"/>
          <w:szCs w:val="24"/>
        </w:rPr>
        <w:t xml:space="preserve"> displayed discrete rounds of growth and division. In </w:t>
      </w:r>
      <w:r w:rsidRPr="00C00F77">
        <w:rPr>
          <w:rFonts w:ascii="Times New Roman" w:hAnsi="Times New Roman" w:cs="Times New Roman"/>
          <w:i/>
          <w:color w:val="000000" w:themeColor="text1"/>
          <w:sz w:val="24"/>
          <w:szCs w:val="24"/>
        </w:rPr>
        <w:t>E. faecalis,</w:t>
      </w:r>
      <w:r w:rsidRPr="00C00F77">
        <w:rPr>
          <w:rFonts w:ascii="Times New Roman" w:hAnsi="Times New Roman" w:cs="Times New Roman"/>
          <w:color w:val="000000" w:themeColor="text1"/>
          <w:sz w:val="24"/>
          <w:szCs w:val="24"/>
        </w:rPr>
        <w:t xml:space="preserve"> vancomycin labelling was detected in presumptive daughter cells only when the septum had closed, but simultaneous with splitting of the septal cross-wall (diameter of aperture equal to zero, see red circles in (</w:t>
      </w:r>
      <w:r>
        <w:rPr>
          <w:rFonts w:ascii="Times New Roman" w:hAnsi="Times New Roman" w:cs="Times New Roman"/>
          <w:color w:val="000000" w:themeColor="text1"/>
          <w:sz w:val="24"/>
          <w:szCs w:val="24"/>
        </w:rPr>
        <w:t>Figure 3.17</w:t>
      </w:r>
      <w:r w:rsidRPr="00C00F77">
        <w:rPr>
          <w:rFonts w:ascii="Times New Roman" w:hAnsi="Times New Roman" w:cs="Times New Roman"/>
          <w:color w:val="000000" w:themeColor="text1"/>
          <w:sz w:val="24"/>
          <w:szCs w:val="24"/>
        </w:rPr>
        <w:t xml:space="preserve">B). In </w:t>
      </w:r>
      <w:r w:rsidRPr="00C00F77">
        <w:rPr>
          <w:rFonts w:ascii="Times New Roman" w:hAnsi="Times New Roman" w:cs="Times New Roman"/>
          <w:i/>
          <w:color w:val="000000" w:themeColor="text1"/>
          <w:sz w:val="24"/>
          <w:szCs w:val="24"/>
        </w:rPr>
        <w:t>L. lactis</w:t>
      </w:r>
      <w:r w:rsidRPr="00C00F77">
        <w:rPr>
          <w:rFonts w:ascii="Times New Roman" w:hAnsi="Times New Roman" w:cs="Times New Roman"/>
          <w:color w:val="000000" w:themeColor="text1"/>
          <w:sz w:val="24"/>
          <w:szCs w:val="24"/>
        </w:rPr>
        <w:t xml:space="preserve">, vancomycin labelling was never observed in presumptive daughter cells (resulting in the absence of red circles in </w:t>
      </w:r>
      <w:r>
        <w:rPr>
          <w:rFonts w:ascii="Times New Roman" w:hAnsi="Times New Roman" w:cs="Times New Roman"/>
          <w:color w:val="000000" w:themeColor="text1"/>
          <w:sz w:val="24"/>
          <w:szCs w:val="24"/>
        </w:rPr>
        <w:t>Figure 3.17</w:t>
      </w:r>
      <w:r w:rsidRPr="00C00F77">
        <w:rPr>
          <w:rFonts w:ascii="Times New Roman" w:hAnsi="Times New Roman" w:cs="Times New Roman"/>
          <w:color w:val="000000" w:themeColor="text1"/>
          <w:sz w:val="24"/>
          <w:szCs w:val="24"/>
        </w:rPr>
        <w:t>C) indicating that, in this organism, division</w:t>
      </w:r>
      <w:r w:rsidRPr="00131379">
        <w:rPr>
          <w:rFonts w:ascii="Times New Roman" w:hAnsi="Times New Roman" w:cs="Times New Roman"/>
          <w:sz w:val="24"/>
          <w:szCs w:val="24"/>
        </w:rPr>
        <w:t xml:space="preserve"> (i.e. septum synthesis and splitting) must be completed before a new round of division </w:t>
      </w:r>
      <w:r>
        <w:rPr>
          <w:rFonts w:ascii="Times New Roman" w:hAnsi="Times New Roman" w:cs="Times New Roman"/>
          <w:sz w:val="24"/>
          <w:szCs w:val="24"/>
        </w:rPr>
        <w:t>is initiated</w:t>
      </w:r>
      <w:r w:rsidRPr="00131379">
        <w:rPr>
          <w:rFonts w:ascii="Times New Roman" w:hAnsi="Times New Roman" w:cs="Times New Roman"/>
          <w:sz w:val="24"/>
          <w:szCs w:val="24"/>
        </w:rPr>
        <w:t>.</w:t>
      </w:r>
    </w:p>
    <w:p w:rsidR="002D7C9B" w:rsidRDefault="002D7C9B" w:rsidP="002D7C9B">
      <w:pPr>
        <w:autoSpaceDE w:val="0"/>
        <w:autoSpaceDN w:val="0"/>
        <w:adjustRightInd w:val="0"/>
        <w:spacing w:after="120" w:line="480" w:lineRule="auto"/>
        <w:jc w:val="both"/>
        <w:rPr>
          <w:rFonts w:ascii="Times New Roman" w:hAnsi="Times New Roman" w:cs="Times New Roman"/>
          <w:szCs w:val="24"/>
        </w:rPr>
      </w:pPr>
      <w:r>
        <w:rPr>
          <w:rFonts w:ascii="Times New Roman" w:hAnsi="Times New Roman" w:cs="Times New Roman"/>
          <w:noProof/>
          <w:szCs w:val="24"/>
          <w:lang w:eastAsia="en-GB"/>
        </w:rPr>
        <w:lastRenderedPageBreak/>
        <w:drawing>
          <wp:inline distT="0" distB="0" distL="0" distR="0">
            <wp:extent cx="5277600" cy="8710709"/>
            <wp:effectExtent l="0" t="0" r="0" b="0"/>
            <wp:docPr id="38" name="Picture 37" descr="Figure 3.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4a.png"/>
                    <pic:cNvPicPr/>
                  </pic:nvPicPr>
                  <pic:blipFill>
                    <a:blip r:embed="rId51" cstate="print"/>
                    <a:srcRect l="3947" t="2432"/>
                    <a:stretch>
                      <a:fillRect/>
                    </a:stretch>
                  </pic:blipFill>
                  <pic:spPr>
                    <a:xfrm>
                      <a:off x="0" y="0"/>
                      <a:ext cx="5277600" cy="8710709"/>
                    </a:xfrm>
                    <a:prstGeom prst="rect">
                      <a:avLst/>
                    </a:prstGeom>
                  </pic:spPr>
                </pic:pic>
              </a:graphicData>
            </a:graphic>
          </wp:inline>
        </w:drawing>
      </w:r>
    </w:p>
    <w:p w:rsidR="002D7C9B" w:rsidRPr="00CA34D4" w:rsidRDefault="002D7C9B" w:rsidP="002D7C9B">
      <w:pPr>
        <w:autoSpaceDE w:val="0"/>
        <w:autoSpaceDN w:val="0"/>
        <w:adjustRightInd w:val="0"/>
        <w:spacing w:after="120" w:line="360" w:lineRule="auto"/>
        <w:jc w:val="both"/>
        <w:rPr>
          <w:rFonts w:ascii="Times New Roman" w:hAnsi="Times New Roman" w:cs="Times New Roman"/>
          <w:sz w:val="24"/>
          <w:szCs w:val="24"/>
        </w:rPr>
      </w:pPr>
      <w:r w:rsidRPr="008D5E9D">
        <w:rPr>
          <w:rFonts w:ascii="Times New Roman" w:hAnsi="Times New Roman" w:cs="Times New Roman"/>
          <w:b/>
          <w:sz w:val="24"/>
          <w:szCs w:val="24"/>
        </w:rPr>
        <w:lastRenderedPageBreak/>
        <w:t>Fig</w:t>
      </w:r>
      <w:r>
        <w:rPr>
          <w:rFonts w:ascii="Times New Roman" w:hAnsi="Times New Roman" w:cs="Times New Roman"/>
          <w:b/>
          <w:sz w:val="24"/>
          <w:szCs w:val="24"/>
        </w:rPr>
        <w:t>ure</w:t>
      </w:r>
      <w:r w:rsidRPr="008D5E9D">
        <w:rPr>
          <w:rFonts w:ascii="Times New Roman" w:hAnsi="Times New Roman" w:cs="Times New Roman"/>
          <w:b/>
          <w:sz w:val="24"/>
          <w:szCs w:val="24"/>
        </w:rPr>
        <w:t xml:space="preserve"> 3.1</w:t>
      </w:r>
      <w:r>
        <w:rPr>
          <w:rFonts w:ascii="Times New Roman" w:hAnsi="Times New Roman" w:cs="Times New Roman"/>
          <w:b/>
          <w:sz w:val="24"/>
          <w:szCs w:val="24"/>
        </w:rPr>
        <w:t>5</w:t>
      </w:r>
      <w:r w:rsidRPr="008D5E9D">
        <w:rPr>
          <w:rFonts w:ascii="Times New Roman" w:hAnsi="Times New Roman" w:cs="Times New Roman"/>
          <w:b/>
          <w:sz w:val="24"/>
          <w:szCs w:val="24"/>
        </w:rPr>
        <w:t xml:space="preserve"> Structured Illumination OMX microscopy of vancomycin labelled ovococci.</w:t>
      </w: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Fields of (A) </w:t>
      </w:r>
      <w:r>
        <w:rPr>
          <w:rFonts w:ascii="Times New Roman" w:hAnsi="Times New Roman" w:cs="Times New Roman"/>
          <w:i/>
          <w:sz w:val="24"/>
          <w:szCs w:val="24"/>
        </w:rPr>
        <w:t>S. pneumoniae</w:t>
      </w:r>
      <w:r>
        <w:rPr>
          <w:rFonts w:ascii="Times New Roman" w:hAnsi="Times New Roman" w:cs="Times New Roman"/>
          <w:sz w:val="24"/>
          <w:szCs w:val="24"/>
        </w:rPr>
        <w:t xml:space="preserve"> R6, (B) </w:t>
      </w:r>
      <w:r>
        <w:rPr>
          <w:rFonts w:ascii="Times New Roman" w:hAnsi="Times New Roman" w:cs="Times New Roman"/>
          <w:i/>
          <w:sz w:val="24"/>
          <w:szCs w:val="24"/>
        </w:rPr>
        <w:t xml:space="preserve">L. lactis </w:t>
      </w:r>
      <w:r>
        <w:rPr>
          <w:rFonts w:ascii="Times New Roman" w:hAnsi="Times New Roman" w:cs="Times New Roman"/>
          <w:sz w:val="24"/>
          <w:szCs w:val="24"/>
        </w:rPr>
        <w:t xml:space="preserve">MG1363 and (C) </w:t>
      </w:r>
      <w:r>
        <w:rPr>
          <w:rFonts w:ascii="Times New Roman" w:hAnsi="Times New Roman" w:cs="Times New Roman"/>
          <w:i/>
          <w:sz w:val="24"/>
          <w:szCs w:val="24"/>
        </w:rPr>
        <w:t xml:space="preserve">E. faecalis </w:t>
      </w:r>
      <w:r>
        <w:rPr>
          <w:rFonts w:ascii="Times New Roman" w:hAnsi="Times New Roman" w:cs="Times New Roman"/>
          <w:sz w:val="24"/>
          <w:szCs w:val="24"/>
        </w:rPr>
        <w:t>JH2-2 displaying subtle differences in vancomycin-BODIPY labelling patterns when imaged by 3D-SIM (OMX).</w:t>
      </w:r>
      <w:proofErr w:type="gramEnd"/>
      <w:r>
        <w:rPr>
          <w:rFonts w:ascii="Times New Roman" w:hAnsi="Times New Roman" w:cs="Times New Roman"/>
          <w:sz w:val="24"/>
          <w:szCs w:val="24"/>
        </w:rPr>
        <w:t xml:space="preserve"> Scale bar: 2 µm.</w:t>
      </w:r>
    </w:p>
    <w:p w:rsidR="002D7C9B" w:rsidRDefault="002D7C9B" w:rsidP="002D7C9B">
      <w:pPr>
        <w:rPr>
          <w:rFonts w:ascii="Times New Roman" w:hAnsi="Times New Roman" w:cs="Times New Roman"/>
          <w:szCs w:val="24"/>
        </w:rPr>
      </w:pPr>
      <w:r>
        <w:rPr>
          <w:rFonts w:ascii="Times New Roman" w:hAnsi="Times New Roman" w:cs="Times New Roman"/>
          <w:szCs w:val="24"/>
        </w:rPr>
        <w:br w:type="page"/>
      </w:r>
    </w:p>
    <w:p w:rsidR="002D7C9B" w:rsidRDefault="002D7C9B" w:rsidP="002D7C9B">
      <w:pPr>
        <w:spacing w:before="120" w:after="120" w:line="48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lastRenderedPageBreak/>
        <w:drawing>
          <wp:inline distT="0" distB="0" distL="0" distR="0">
            <wp:extent cx="5277600" cy="7996807"/>
            <wp:effectExtent l="0" t="0" r="0" b="0"/>
            <wp:docPr id="44" name="Picture 43" descr="Figure 3.1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5.emf"/>
                    <pic:cNvPicPr/>
                  </pic:nvPicPr>
                  <pic:blipFill>
                    <a:blip r:embed="rId52" cstate="print"/>
                    <a:stretch>
                      <a:fillRect/>
                    </a:stretch>
                  </pic:blipFill>
                  <pic:spPr>
                    <a:xfrm>
                      <a:off x="0" y="0"/>
                      <a:ext cx="5277600" cy="7996807"/>
                    </a:xfrm>
                    <a:prstGeom prst="rect">
                      <a:avLst/>
                    </a:prstGeom>
                  </pic:spPr>
                </pic:pic>
              </a:graphicData>
            </a:graphic>
          </wp:inline>
        </w:drawing>
      </w:r>
    </w:p>
    <w:p w:rsidR="002D7C9B" w:rsidRDefault="002D7C9B" w:rsidP="002D7C9B">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rsidR="002D7C9B" w:rsidRPr="00CA34D4" w:rsidRDefault="002D7C9B" w:rsidP="002D7C9B">
      <w:pPr>
        <w:autoSpaceDE w:val="0"/>
        <w:autoSpaceDN w:val="0"/>
        <w:adjustRightInd w:val="0"/>
        <w:spacing w:after="120"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lastRenderedPageBreak/>
        <w:t>Figure 3.16</w:t>
      </w:r>
      <w:r w:rsidRPr="00CA34D4">
        <w:rPr>
          <w:rFonts w:ascii="Times New Roman" w:hAnsi="Times New Roman" w:cs="Times New Roman"/>
          <w:b/>
          <w:sz w:val="24"/>
          <w:szCs w:val="24"/>
        </w:rPr>
        <w:t xml:space="preserve"> Comparison between deconvolut</w:t>
      </w:r>
      <w:r>
        <w:rPr>
          <w:rFonts w:ascii="Times New Roman" w:hAnsi="Times New Roman" w:cs="Times New Roman"/>
          <w:b/>
          <w:sz w:val="24"/>
          <w:szCs w:val="24"/>
        </w:rPr>
        <w:t>ion microscopy</w:t>
      </w:r>
      <w:r w:rsidRPr="00CA34D4">
        <w:rPr>
          <w:rFonts w:ascii="Times New Roman" w:hAnsi="Times New Roman" w:cs="Times New Roman"/>
          <w:b/>
          <w:sz w:val="24"/>
          <w:szCs w:val="24"/>
        </w:rPr>
        <w:t xml:space="preserve"> and structured illumination microscopy of vancomycin labelled ovococci.</w:t>
      </w:r>
      <w:r>
        <w:rPr>
          <w:rFonts w:ascii="Times New Roman" w:hAnsi="Times New Roman" w:cs="Times New Roman"/>
          <w:sz w:val="24"/>
          <w:szCs w:val="24"/>
        </w:rPr>
        <w:t xml:space="preserve"> </w:t>
      </w:r>
      <w:proofErr w:type="gramStart"/>
      <w:r w:rsidRPr="00CA34D4">
        <w:rPr>
          <w:rFonts w:ascii="Times New Roman" w:hAnsi="Times New Roman" w:cs="Times New Roman"/>
          <w:sz w:val="24"/>
          <w:szCs w:val="24"/>
        </w:rPr>
        <w:t xml:space="preserve">(A) </w:t>
      </w:r>
      <w:r w:rsidRPr="00CA34D4">
        <w:rPr>
          <w:rFonts w:ascii="Times New Roman" w:hAnsi="Times New Roman" w:cs="Times New Roman"/>
          <w:i/>
          <w:iCs/>
          <w:sz w:val="24"/>
          <w:szCs w:val="24"/>
        </w:rPr>
        <w:t xml:space="preserve">S. pneumoniae </w:t>
      </w:r>
      <w:r w:rsidRPr="00CA34D4">
        <w:rPr>
          <w:rFonts w:ascii="Times New Roman" w:hAnsi="Times New Roman" w:cs="Times New Roman"/>
          <w:sz w:val="24"/>
          <w:szCs w:val="24"/>
        </w:rPr>
        <w:t xml:space="preserve">R6, (B) </w:t>
      </w:r>
      <w:r w:rsidRPr="00CA34D4">
        <w:rPr>
          <w:rFonts w:ascii="Times New Roman" w:hAnsi="Times New Roman" w:cs="Times New Roman"/>
          <w:i/>
          <w:iCs/>
          <w:sz w:val="24"/>
          <w:szCs w:val="24"/>
        </w:rPr>
        <w:t xml:space="preserve">L. lactis </w:t>
      </w:r>
      <w:r w:rsidRPr="00CA34D4">
        <w:rPr>
          <w:rFonts w:ascii="Times New Roman" w:hAnsi="Times New Roman" w:cs="Times New Roman"/>
          <w:sz w:val="24"/>
          <w:szCs w:val="24"/>
        </w:rPr>
        <w:t>MG1363 and (C)</w:t>
      </w:r>
      <w:r>
        <w:rPr>
          <w:rFonts w:ascii="Times New Roman" w:hAnsi="Times New Roman" w:cs="Times New Roman"/>
          <w:sz w:val="24"/>
          <w:szCs w:val="24"/>
        </w:rPr>
        <w:t xml:space="preserve"> </w:t>
      </w:r>
      <w:r w:rsidRPr="00CA34D4">
        <w:rPr>
          <w:rFonts w:ascii="Times New Roman" w:hAnsi="Times New Roman" w:cs="Times New Roman"/>
          <w:i/>
          <w:iCs/>
          <w:sz w:val="24"/>
          <w:szCs w:val="24"/>
        </w:rPr>
        <w:t xml:space="preserve">E. faecalis </w:t>
      </w:r>
      <w:r w:rsidRPr="00CA34D4">
        <w:rPr>
          <w:rFonts w:ascii="Times New Roman" w:hAnsi="Times New Roman" w:cs="Times New Roman"/>
          <w:sz w:val="24"/>
          <w:szCs w:val="24"/>
        </w:rPr>
        <w:t>JH2-2.</w:t>
      </w:r>
      <w:proofErr w:type="gramEnd"/>
      <w:r w:rsidRPr="00CA34D4">
        <w:rPr>
          <w:rFonts w:ascii="Times New Roman" w:hAnsi="Times New Roman" w:cs="Times New Roman"/>
          <w:sz w:val="24"/>
          <w:szCs w:val="24"/>
        </w:rPr>
        <w:t xml:space="preserve"> Images show a comparison between standard</w:t>
      </w:r>
      <w:r>
        <w:rPr>
          <w:rFonts w:ascii="Times New Roman" w:hAnsi="Times New Roman" w:cs="Times New Roman"/>
          <w:sz w:val="24"/>
          <w:szCs w:val="24"/>
        </w:rPr>
        <w:t xml:space="preserve"> </w:t>
      </w:r>
      <w:r w:rsidRPr="00CA34D4">
        <w:rPr>
          <w:rFonts w:ascii="Times New Roman" w:hAnsi="Times New Roman" w:cs="Times New Roman"/>
          <w:sz w:val="24"/>
          <w:szCs w:val="24"/>
        </w:rPr>
        <w:t>deconvolution microscopy (DeltaVision, DV) and structured</w:t>
      </w:r>
      <w:r>
        <w:rPr>
          <w:rFonts w:ascii="Times New Roman" w:hAnsi="Times New Roman" w:cs="Times New Roman"/>
          <w:sz w:val="24"/>
          <w:szCs w:val="24"/>
        </w:rPr>
        <w:t xml:space="preserve"> </w:t>
      </w:r>
      <w:r w:rsidRPr="00CA34D4">
        <w:rPr>
          <w:rFonts w:ascii="Times New Roman" w:hAnsi="Times New Roman" w:cs="Times New Roman"/>
          <w:sz w:val="24"/>
          <w:szCs w:val="24"/>
        </w:rPr>
        <w:t xml:space="preserve">illumination (OMX) microscopy of the </w:t>
      </w:r>
      <w:r>
        <w:rPr>
          <w:rFonts w:ascii="Times New Roman" w:hAnsi="Times New Roman" w:cs="Times New Roman"/>
          <w:sz w:val="24"/>
          <w:szCs w:val="24"/>
        </w:rPr>
        <w:t>same cell in each of the ovococci</w:t>
      </w:r>
      <w:r w:rsidRPr="00CA34D4">
        <w:rPr>
          <w:rFonts w:ascii="Times New Roman" w:hAnsi="Times New Roman" w:cs="Times New Roman"/>
          <w:sz w:val="24"/>
          <w:szCs w:val="24"/>
        </w:rPr>
        <w:t>.</w:t>
      </w:r>
      <w:r>
        <w:rPr>
          <w:rFonts w:ascii="Times New Roman" w:hAnsi="Times New Roman" w:cs="Times New Roman"/>
          <w:sz w:val="24"/>
          <w:szCs w:val="24"/>
        </w:rPr>
        <w:t xml:space="preserve"> (</w:t>
      </w:r>
      <w:r w:rsidRPr="00CA34D4">
        <w:rPr>
          <w:rFonts w:ascii="Times New Roman" w:hAnsi="Times New Roman" w:cs="Times New Roman"/>
          <w:sz w:val="24"/>
          <w:szCs w:val="24"/>
        </w:rPr>
        <w:t>D</w:t>
      </w:r>
      <w:r>
        <w:rPr>
          <w:rFonts w:ascii="Times New Roman" w:hAnsi="Times New Roman" w:cs="Times New Roman"/>
          <w:sz w:val="24"/>
          <w:szCs w:val="24"/>
        </w:rPr>
        <w:t>)</w:t>
      </w:r>
      <w:r w:rsidRPr="00CA34D4">
        <w:rPr>
          <w:rFonts w:ascii="Times New Roman" w:hAnsi="Times New Roman" w:cs="Times New Roman"/>
          <w:sz w:val="24"/>
          <w:szCs w:val="24"/>
        </w:rPr>
        <w:t xml:space="preserve"> Schematic </w:t>
      </w:r>
      <w:r>
        <w:rPr>
          <w:rFonts w:ascii="Times New Roman" w:hAnsi="Times New Roman" w:cs="Times New Roman"/>
          <w:sz w:val="24"/>
          <w:szCs w:val="24"/>
        </w:rPr>
        <w:t>showing</w:t>
      </w:r>
      <w:r w:rsidRPr="00CA34D4">
        <w:rPr>
          <w:rFonts w:ascii="Times New Roman" w:hAnsi="Times New Roman" w:cs="Times New Roman"/>
          <w:sz w:val="24"/>
          <w:szCs w:val="24"/>
        </w:rPr>
        <w:t xml:space="preserve"> the measurements </w:t>
      </w:r>
      <w:r>
        <w:rPr>
          <w:rFonts w:ascii="Times New Roman" w:hAnsi="Times New Roman" w:cs="Times New Roman"/>
          <w:sz w:val="24"/>
          <w:szCs w:val="24"/>
        </w:rPr>
        <w:t>recorded</w:t>
      </w:r>
      <w:r w:rsidRPr="00CA34D4">
        <w:rPr>
          <w:rFonts w:ascii="Times New Roman" w:hAnsi="Times New Roman" w:cs="Times New Roman"/>
          <w:sz w:val="24"/>
          <w:szCs w:val="24"/>
        </w:rPr>
        <w:t xml:space="preserve"> </w:t>
      </w:r>
      <w:r>
        <w:rPr>
          <w:rFonts w:ascii="Times New Roman" w:hAnsi="Times New Roman" w:cs="Times New Roman"/>
          <w:sz w:val="24"/>
          <w:szCs w:val="24"/>
        </w:rPr>
        <w:t xml:space="preserve">for ovococcal cells imaged by OMX, </w:t>
      </w:r>
      <w:r w:rsidRPr="00CA34D4">
        <w:rPr>
          <w:rFonts w:ascii="Times New Roman" w:hAnsi="Times New Roman" w:cs="Times New Roman"/>
          <w:sz w:val="24"/>
          <w:szCs w:val="24"/>
        </w:rPr>
        <w:t xml:space="preserve">to analyse </w:t>
      </w:r>
      <w:r>
        <w:rPr>
          <w:rFonts w:ascii="Times New Roman" w:hAnsi="Times New Roman" w:cs="Times New Roman"/>
          <w:sz w:val="24"/>
          <w:szCs w:val="24"/>
        </w:rPr>
        <w:t xml:space="preserve">the </w:t>
      </w:r>
      <w:r w:rsidRPr="00CA34D4">
        <w:rPr>
          <w:rFonts w:ascii="Times New Roman" w:hAnsi="Times New Roman" w:cs="Times New Roman"/>
          <w:sz w:val="24"/>
          <w:szCs w:val="24"/>
        </w:rPr>
        <w:t>cell cycle in</w:t>
      </w:r>
      <w:r>
        <w:rPr>
          <w:rFonts w:ascii="Times New Roman" w:hAnsi="Times New Roman" w:cs="Times New Roman"/>
          <w:sz w:val="24"/>
          <w:szCs w:val="24"/>
        </w:rPr>
        <w:t xml:space="preserve"> ovococci.</w:t>
      </w:r>
      <w:r w:rsidRPr="00CA34D4">
        <w:rPr>
          <w:rFonts w:ascii="Times New Roman" w:hAnsi="Times New Roman" w:cs="Times New Roman"/>
          <w:sz w:val="24"/>
          <w:szCs w:val="24"/>
        </w:rPr>
        <w:t xml:space="preserve"> </w:t>
      </w:r>
      <w:proofErr w:type="gramStart"/>
      <w:r w:rsidRPr="00CA34D4">
        <w:rPr>
          <w:rFonts w:ascii="Times New Roman" w:hAnsi="Times New Roman" w:cs="Times New Roman"/>
          <w:sz w:val="24"/>
          <w:szCs w:val="24"/>
        </w:rPr>
        <w:t>A, septal aperture; C, maximal cross-wall diameter; L,</w:t>
      </w:r>
      <w:r>
        <w:rPr>
          <w:rFonts w:ascii="Times New Roman" w:hAnsi="Times New Roman" w:cs="Times New Roman"/>
          <w:sz w:val="24"/>
          <w:szCs w:val="24"/>
        </w:rPr>
        <w:t xml:space="preserve"> </w:t>
      </w:r>
      <w:r w:rsidRPr="00CA34D4">
        <w:rPr>
          <w:rFonts w:ascii="Times New Roman" w:hAnsi="Times New Roman" w:cs="Times New Roman"/>
          <w:sz w:val="24"/>
          <w:szCs w:val="24"/>
        </w:rPr>
        <w:t>total cell length; W, maximal cell width.</w:t>
      </w:r>
      <w:proofErr w:type="gramEnd"/>
    </w:p>
    <w:p w:rsidR="002D7C9B" w:rsidRDefault="002D7C9B" w:rsidP="002D7C9B">
      <w:pPr>
        <w:rPr>
          <w:rFonts w:ascii="Times New Roman" w:eastAsia="Calibri" w:hAnsi="Times New Roman" w:cs="Times New Roman"/>
          <w:szCs w:val="24"/>
        </w:rPr>
      </w:pPr>
      <w:r>
        <w:rPr>
          <w:rFonts w:ascii="Times New Roman" w:eastAsia="Calibri" w:hAnsi="Times New Roman" w:cs="Times New Roman"/>
          <w:szCs w:val="24"/>
        </w:rPr>
        <w:br w:type="page"/>
      </w:r>
    </w:p>
    <w:p w:rsidR="002D7C9B" w:rsidRPr="00C00F77" w:rsidRDefault="002D7C9B" w:rsidP="002D7C9B">
      <w:pPr>
        <w:spacing w:before="120" w:after="120" w:line="480" w:lineRule="auto"/>
        <w:jc w:val="both"/>
        <w:rPr>
          <w:rFonts w:ascii="Times New Roman" w:hAnsi="Times New Roman" w:cs="Times New Roman"/>
          <w:color w:val="000000" w:themeColor="text1"/>
          <w:sz w:val="24"/>
          <w:szCs w:val="24"/>
        </w:rPr>
      </w:pPr>
      <w:r w:rsidRPr="00131379">
        <w:rPr>
          <w:rFonts w:ascii="Times New Roman" w:hAnsi="Times New Roman" w:cs="Times New Roman"/>
          <w:sz w:val="24"/>
          <w:szCs w:val="24"/>
        </w:rPr>
        <w:lastRenderedPageBreak/>
        <w:t xml:space="preserve">The synchronisation of septum synthesis and septum hydrolysis varies between the ovococci. In </w:t>
      </w:r>
      <w:r w:rsidRPr="00131379">
        <w:rPr>
          <w:rFonts w:ascii="Times New Roman" w:hAnsi="Times New Roman" w:cs="Times New Roman"/>
          <w:i/>
          <w:sz w:val="24"/>
          <w:szCs w:val="24"/>
        </w:rPr>
        <w:t xml:space="preserve">L. </w:t>
      </w:r>
      <w:r w:rsidRPr="00C00F77">
        <w:rPr>
          <w:rFonts w:ascii="Times New Roman" w:hAnsi="Times New Roman" w:cs="Times New Roman"/>
          <w:i/>
          <w:color w:val="000000" w:themeColor="text1"/>
          <w:sz w:val="24"/>
          <w:szCs w:val="24"/>
        </w:rPr>
        <w:t>lactis</w:t>
      </w:r>
      <w:r w:rsidRPr="00C00F77">
        <w:rPr>
          <w:rFonts w:ascii="Times New Roman" w:hAnsi="Times New Roman" w:cs="Times New Roman"/>
          <w:color w:val="000000" w:themeColor="text1"/>
          <w:sz w:val="24"/>
          <w:szCs w:val="24"/>
        </w:rPr>
        <w:t xml:space="preserve">, and more prominently in </w:t>
      </w:r>
      <w:r w:rsidRPr="00C00F77">
        <w:rPr>
          <w:rFonts w:ascii="Times New Roman" w:hAnsi="Times New Roman" w:cs="Times New Roman"/>
          <w:i/>
          <w:color w:val="000000" w:themeColor="text1"/>
          <w:sz w:val="24"/>
          <w:szCs w:val="24"/>
        </w:rPr>
        <w:t>S. pneumoniae</w:t>
      </w:r>
      <w:r w:rsidRPr="00C00F77">
        <w:rPr>
          <w:rFonts w:ascii="Times New Roman" w:hAnsi="Times New Roman" w:cs="Times New Roman"/>
          <w:color w:val="000000" w:themeColor="text1"/>
          <w:sz w:val="24"/>
          <w:szCs w:val="24"/>
        </w:rPr>
        <w:t>,</w:t>
      </w:r>
      <w:r w:rsidRPr="00C00F77">
        <w:rPr>
          <w:rFonts w:ascii="Times New Roman" w:hAnsi="Times New Roman" w:cs="Times New Roman"/>
          <w:i/>
          <w:color w:val="000000" w:themeColor="text1"/>
          <w:sz w:val="24"/>
          <w:szCs w:val="24"/>
        </w:rPr>
        <w:t xml:space="preserve"> </w:t>
      </w:r>
      <w:r w:rsidRPr="00C00F77">
        <w:rPr>
          <w:rFonts w:ascii="Times New Roman" w:hAnsi="Times New Roman" w:cs="Times New Roman"/>
          <w:color w:val="000000" w:themeColor="text1"/>
          <w:sz w:val="24"/>
          <w:szCs w:val="24"/>
        </w:rPr>
        <w:t>labelled peptidoglycan mainly occurred as thin rings (</w:t>
      </w:r>
      <w:r>
        <w:rPr>
          <w:rFonts w:ascii="Times New Roman" w:hAnsi="Times New Roman" w:cs="Times New Roman"/>
          <w:color w:val="000000" w:themeColor="text1"/>
          <w:sz w:val="24"/>
          <w:szCs w:val="24"/>
        </w:rPr>
        <w:t>Figure 3.15</w:t>
      </w:r>
      <w:r w:rsidRPr="00C00F77">
        <w:rPr>
          <w:rFonts w:ascii="Times New Roman" w:hAnsi="Times New Roman" w:cs="Times New Roman"/>
          <w:color w:val="000000" w:themeColor="text1"/>
          <w:sz w:val="24"/>
          <w:szCs w:val="24"/>
        </w:rPr>
        <w:t xml:space="preserve">A-B and Movie 3.1A-B), indicating that in these ovococci septum progression is concomitant with hydrolysis for daughter cell separation. Consistent with AFM observations, broad septal discs were frequently visualized by fluorescence microscopy in </w:t>
      </w:r>
      <w:r w:rsidRPr="00C00F77">
        <w:rPr>
          <w:rFonts w:ascii="Times New Roman" w:hAnsi="Times New Roman" w:cs="Times New Roman"/>
          <w:i/>
          <w:color w:val="000000" w:themeColor="text1"/>
          <w:sz w:val="24"/>
          <w:szCs w:val="24"/>
        </w:rPr>
        <w:t xml:space="preserve">E. faecalis </w:t>
      </w:r>
      <w:r w:rsidRPr="00C00F77">
        <w:rPr>
          <w:rFonts w:ascii="Times New Roman" w:hAnsi="Times New Roman" w:cs="Times New Roman"/>
          <w:color w:val="000000" w:themeColor="text1"/>
          <w:sz w:val="24"/>
          <w:szCs w:val="24"/>
        </w:rPr>
        <w:t>samples (</w:t>
      </w:r>
      <w:r>
        <w:rPr>
          <w:rFonts w:ascii="Times New Roman" w:hAnsi="Times New Roman" w:cs="Times New Roman"/>
          <w:color w:val="000000" w:themeColor="text1"/>
          <w:sz w:val="24"/>
          <w:szCs w:val="24"/>
        </w:rPr>
        <w:t>Figure 3.15</w:t>
      </w:r>
      <w:r w:rsidRPr="00C00F77">
        <w:rPr>
          <w:rFonts w:ascii="Times New Roman" w:hAnsi="Times New Roman" w:cs="Times New Roman"/>
          <w:color w:val="000000" w:themeColor="text1"/>
          <w:sz w:val="24"/>
          <w:szCs w:val="24"/>
        </w:rPr>
        <w:t xml:space="preserve">C and Movie 3.1C) suggesting that septum formation and hydrolysis are not tightly synchronized processes in this organism. In </w:t>
      </w:r>
      <w:r w:rsidRPr="00C00F77">
        <w:rPr>
          <w:rFonts w:ascii="Times New Roman" w:hAnsi="Times New Roman" w:cs="Times New Roman"/>
          <w:i/>
          <w:color w:val="000000" w:themeColor="text1"/>
          <w:sz w:val="24"/>
          <w:szCs w:val="24"/>
        </w:rPr>
        <w:t>L. lactis</w:t>
      </w:r>
      <w:r w:rsidRPr="00C00F7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Figure 3.15</w:t>
      </w:r>
      <w:r w:rsidRPr="00C00F77">
        <w:rPr>
          <w:rFonts w:ascii="Times New Roman" w:hAnsi="Times New Roman" w:cs="Times New Roman"/>
          <w:color w:val="000000" w:themeColor="text1"/>
          <w:sz w:val="24"/>
          <w:szCs w:val="24"/>
        </w:rPr>
        <w:t xml:space="preserve">B and Movie 3.1B) vancomycin labelling occurs as a thin ring at mid-cell, but also relatively uniformly over the area of the cell wall associated with peripheral wall synthesis. This may suggest longevity of the maintenance of </w:t>
      </w:r>
      <w:r w:rsidRPr="00C00F77">
        <w:rPr>
          <w:rFonts w:ascii="Times New Roman" w:hAnsi="Times New Roman" w:cs="Times New Roman"/>
          <w:color w:val="000000" w:themeColor="text1"/>
          <w:sz w:val="16"/>
          <w:szCs w:val="16"/>
        </w:rPr>
        <w:t>D</w:t>
      </w:r>
      <w:r w:rsidRPr="00C00F77">
        <w:rPr>
          <w:rFonts w:ascii="Times New Roman" w:hAnsi="Times New Roman" w:cs="Times New Roman"/>
          <w:color w:val="000000" w:themeColor="text1"/>
          <w:sz w:val="24"/>
          <w:szCs w:val="24"/>
        </w:rPr>
        <w:t>-ala-</w:t>
      </w:r>
      <w:r w:rsidRPr="00C00F77">
        <w:rPr>
          <w:rFonts w:ascii="Times New Roman" w:hAnsi="Times New Roman" w:cs="Times New Roman"/>
          <w:color w:val="000000" w:themeColor="text1"/>
          <w:sz w:val="16"/>
          <w:szCs w:val="16"/>
        </w:rPr>
        <w:t>D</w:t>
      </w:r>
      <w:r w:rsidRPr="00C00F77">
        <w:rPr>
          <w:rFonts w:ascii="Times New Roman" w:hAnsi="Times New Roman" w:cs="Times New Roman"/>
          <w:color w:val="000000" w:themeColor="text1"/>
          <w:sz w:val="24"/>
          <w:szCs w:val="24"/>
        </w:rPr>
        <w:t>-ala residues which are able to bind vancomycin within the peripheral wall.</w:t>
      </w:r>
    </w:p>
    <w:p w:rsidR="002D7C9B" w:rsidRDefault="002D7C9B" w:rsidP="002D7C9B">
      <w:pPr>
        <w:spacing w:before="120" w:after="120" w:line="480" w:lineRule="auto"/>
        <w:jc w:val="both"/>
        <w:rPr>
          <w:rStyle w:val="justifytxt"/>
          <w:rFonts w:ascii="Times New Roman" w:hAnsi="Times New Roman" w:cs="Times New Roman"/>
          <w:sz w:val="24"/>
          <w:szCs w:val="24"/>
        </w:rPr>
        <w:sectPr w:rsidR="002D7C9B" w:rsidSect="002D7C9B">
          <w:type w:val="continuous"/>
          <w:pgSz w:w="11906" w:h="16838"/>
          <w:pgMar w:top="1440" w:right="1134" w:bottom="1440" w:left="2268" w:header="709" w:footer="709" w:gutter="0"/>
          <w:cols w:space="708"/>
          <w:docGrid w:linePitch="360"/>
        </w:sectPr>
      </w:pPr>
      <w:r w:rsidRPr="00C00F77">
        <w:rPr>
          <w:rStyle w:val="justifytxt"/>
          <w:rFonts w:ascii="Times New Roman" w:hAnsi="Times New Roman" w:cs="Times New Roman"/>
          <w:color w:val="000000" w:themeColor="text1"/>
          <w:sz w:val="24"/>
          <w:szCs w:val="24"/>
        </w:rPr>
        <w:t xml:space="preserve">The dynamics of cell division were investigated for each of the ovococci using the ratio between cross-wall diameter and maximal cell width (C/W), plotted against cell length, as an indicator of septum constriction. Three developmental phases were defined corresponding to </w:t>
      </w:r>
      <w:r w:rsidRPr="00C00F77">
        <w:rPr>
          <w:rFonts w:ascii="Times New Roman" w:eastAsia="+mn-ea" w:hAnsi="Times New Roman" w:cs="Times New Roman"/>
          <w:bCs/>
          <w:color w:val="000000" w:themeColor="text1"/>
          <w:sz w:val="24"/>
          <w:szCs w:val="24"/>
        </w:rPr>
        <w:t>elongation (C/W&gt;0.95), transition to constriction (0.7&lt;C/W&lt;0.95) and constriction (C/W&lt;0.7)</w:t>
      </w:r>
      <w:r w:rsidRPr="00C00F77">
        <w:rPr>
          <w:rStyle w:val="justifytxt"/>
          <w:rFonts w:ascii="Times New Roman" w:hAnsi="Times New Roman" w:cs="Times New Roman"/>
          <w:color w:val="000000" w:themeColor="text1"/>
          <w:sz w:val="24"/>
          <w:szCs w:val="24"/>
        </w:rPr>
        <w:t xml:space="preserve">. </w:t>
      </w:r>
      <w:r w:rsidRPr="00C00F77">
        <w:rPr>
          <w:rStyle w:val="justifytxt"/>
          <w:rFonts w:ascii="Times New Roman" w:hAnsi="Times New Roman" w:cs="Times New Roman"/>
          <w:i/>
          <w:color w:val="000000" w:themeColor="text1"/>
          <w:sz w:val="24"/>
          <w:szCs w:val="24"/>
        </w:rPr>
        <w:t>L. lactis</w:t>
      </w:r>
      <w:r w:rsidRPr="00C00F77">
        <w:rPr>
          <w:rStyle w:val="justifytxt"/>
          <w:rFonts w:ascii="Times New Roman" w:hAnsi="Times New Roman" w:cs="Times New Roman"/>
          <w:color w:val="000000" w:themeColor="text1"/>
          <w:sz w:val="24"/>
          <w:szCs w:val="24"/>
        </w:rPr>
        <w:t xml:space="preserve"> was the only organism for which a strict elongation phase was observed, accounting for an increase in cell length of approximately 600 nm. This phase was followed by transition to cell constriction (0.7&lt;C/W&lt;0.95) during which the cell length continued to increase by up to 700 nm (</w:t>
      </w:r>
      <w:r>
        <w:rPr>
          <w:rStyle w:val="justifytxt"/>
          <w:rFonts w:ascii="Times New Roman" w:hAnsi="Times New Roman" w:cs="Times New Roman"/>
          <w:color w:val="000000" w:themeColor="text1"/>
          <w:sz w:val="24"/>
          <w:szCs w:val="24"/>
        </w:rPr>
        <w:t>Figure 3.18</w:t>
      </w:r>
      <w:r w:rsidRPr="00C00F77">
        <w:rPr>
          <w:rStyle w:val="justifytxt"/>
          <w:rFonts w:ascii="Times New Roman" w:hAnsi="Times New Roman" w:cs="Times New Roman"/>
          <w:color w:val="000000" w:themeColor="text1"/>
          <w:sz w:val="24"/>
          <w:szCs w:val="24"/>
        </w:rPr>
        <w:t xml:space="preserve">A). By contrast, a short cell elongation phase corresponding to an increase in cell length of approximately 300 nm was detected in </w:t>
      </w:r>
      <w:r w:rsidRPr="00C00F77">
        <w:rPr>
          <w:rStyle w:val="justifytxt"/>
          <w:rFonts w:ascii="Times New Roman" w:hAnsi="Times New Roman" w:cs="Times New Roman"/>
          <w:i/>
          <w:color w:val="000000" w:themeColor="text1"/>
          <w:sz w:val="24"/>
          <w:szCs w:val="24"/>
        </w:rPr>
        <w:t>S. pneumoniae</w:t>
      </w:r>
      <w:r w:rsidRPr="00C00F77">
        <w:rPr>
          <w:rStyle w:val="justifytxt"/>
          <w:rFonts w:ascii="Times New Roman" w:hAnsi="Times New Roman" w:cs="Times New Roman"/>
          <w:color w:val="000000" w:themeColor="text1"/>
          <w:sz w:val="24"/>
          <w:szCs w:val="24"/>
        </w:rPr>
        <w:t xml:space="preserve"> before transition to septation (</w:t>
      </w:r>
      <w:r>
        <w:rPr>
          <w:rStyle w:val="justifytxt"/>
          <w:rFonts w:ascii="Times New Roman" w:hAnsi="Times New Roman" w:cs="Times New Roman"/>
          <w:color w:val="000000" w:themeColor="text1"/>
          <w:sz w:val="24"/>
          <w:szCs w:val="24"/>
        </w:rPr>
        <w:t>Figure 3.18</w:t>
      </w:r>
      <w:r w:rsidRPr="00C00F77">
        <w:rPr>
          <w:rStyle w:val="justifytxt"/>
          <w:rFonts w:ascii="Times New Roman" w:hAnsi="Times New Roman" w:cs="Times New Roman"/>
          <w:color w:val="000000" w:themeColor="text1"/>
          <w:sz w:val="24"/>
          <w:szCs w:val="24"/>
        </w:rPr>
        <w:t>B). Instead, cell constriction occurred simultaneously with elongation at the equatorial rings of the forming daughter cells. The existence of overlapping rounds of cell division and a greater variation in cell width (Table 3.2) gave rise to a more heterogeneous</w:t>
      </w:r>
      <w:r w:rsidRPr="00131379">
        <w:rPr>
          <w:rStyle w:val="justifytxt"/>
          <w:rFonts w:ascii="Times New Roman" w:hAnsi="Times New Roman" w:cs="Times New Roman"/>
          <w:sz w:val="24"/>
          <w:szCs w:val="24"/>
        </w:rPr>
        <w:t xml:space="preserve"> distribution </w:t>
      </w:r>
    </w:p>
    <w:p w:rsidR="002D7C9B" w:rsidRPr="003A3B85" w:rsidRDefault="002D7C9B" w:rsidP="002D7C9B">
      <w:pPr>
        <w:spacing w:before="120" w:after="120" w:line="480" w:lineRule="auto"/>
        <w:jc w:val="both"/>
        <w:rPr>
          <w:rStyle w:val="justifytxt"/>
          <w:rFonts w:ascii="Times New Roman" w:hAnsi="Times New Roman" w:cs="Times New Roman"/>
        </w:rPr>
      </w:pPr>
      <w:proofErr w:type="gramStart"/>
      <w:r w:rsidRPr="008936DC">
        <w:rPr>
          <w:rStyle w:val="justifytxt"/>
          <w:rFonts w:ascii="Times New Roman" w:hAnsi="Times New Roman" w:cs="Times New Roman"/>
          <w:b/>
        </w:rPr>
        <w:lastRenderedPageBreak/>
        <w:t>Table 3.2</w:t>
      </w:r>
      <w:r w:rsidRPr="003A3B85">
        <w:rPr>
          <w:rStyle w:val="justifytxt"/>
          <w:rFonts w:ascii="Times New Roman" w:hAnsi="Times New Roman" w:cs="Times New Roman"/>
        </w:rPr>
        <w:t>.</w:t>
      </w:r>
      <w:proofErr w:type="gramEnd"/>
      <w:r w:rsidRPr="003A3B85">
        <w:rPr>
          <w:rStyle w:val="justifytxt"/>
          <w:rFonts w:ascii="Times New Roman" w:hAnsi="Times New Roman" w:cs="Times New Roman"/>
        </w:rPr>
        <w:t xml:space="preserve"> </w:t>
      </w:r>
      <w:proofErr w:type="gramStart"/>
      <w:r w:rsidRPr="001C40BB">
        <w:rPr>
          <w:rStyle w:val="justifytxt"/>
          <w:rFonts w:ascii="Times New Roman" w:hAnsi="Times New Roman" w:cs="Times New Roman"/>
          <w:b/>
        </w:rPr>
        <w:t>Average cell length and width of ovococci</w:t>
      </w:r>
      <w:r w:rsidRPr="003A3B85">
        <w:rPr>
          <w:rStyle w:val="justifytxt"/>
          <w:rFonts w:ascii="Times New Roman" w:hAnsi="Times New Roman" w:cs="Times New Roman"/>
        </w:rPr>
        <w:t>.</w:t>
      </w:r>
      <w:proofErr w:type="gramEnd"/>
      <w:r w:rsidRPr="003A3B85">
        <w:rPr>
          <w:rStyle w:val="justifytxt"/>
          <w:rFonts w:ascii="Times New Roman" w:hAnsi="Times New Roman" w:cs="Times New Roman"/>
        </w:rPr>
        <w:t xml:space="preserve"> Average cell dimensions and standard deviations are in nm (n=50).</w:t>
      </w:r>
    </w:p>
    <w:tbl>
      <w:tblPr>
        <w:tblW w:w="6459" w:type="dxa"/>
        <w:jc w:val="center"/>
        <w:tblLook w:val="04A0"/>
      </w:tblPr>
      <w:tblGrid>
        <w:gridCol w:w="1951"/>
        <w:gridCol w:w="1815"/>
        <w:gridCol w:w="2693"/>
      </w:tblGrid>
      <w:tr w:rsidR="002D7C9B" w:rsidRPr="003A3B85" w:rsidTr="002D7C9B">
        <w:trPr>
          <w:jc w:val="center"/>
        </w:trPr>
        <w:tc>
          <w:tcPr>
            <w:tcW w:w="1951" w:type="dxa"/>
            <w:tcBorders>
              <w:top w:val="single" w:sz="12" w:space="0" w:color="auto"/>
              <w:bottom w:val="single" w:sz="4" w:space="0" w:color="auto"/>
            </w:tcBorders>
            <w:shd w:val="clear" w:color="auto" w:fill="auto"/>
          </w:tcPr>
          <w:p w:rsidR="002D7C9B" w:rsidRPr="008936DC" w:rsidRDefault="002D7C9B" w:rsidP="002D7C9B">
            <w:pPr>
              <w:spacing w:after="120" w:line="440" w:lineRule="exact"/>
              <w:rPr>
                <w:rStyle w:val="justifytxt"/>
                <w:rFonts w:ascii="Times New Roman" w:hAnsi="Times New Roman" w:cs="Times New Roman"/>
                <w:b/>
              </w:rPr>
            </w:pPr>
            <w:r w:rsidRPr="008936DC">
              <w:rPr>
                <w:rStyle w:val="justifytxt"/>
                <w:rFonts w:ascii="Times New Roman" w:hAnsi="Times New Roman" w:cs="Times New Roman"/>
                <w:b/>
              </w:rPr>
              <w:t>Species</w:t>
            </w:r>
          </w:p>
        </w:tc>
        <w:tc>
          <w:tcPr>
            <w:tcW w:w="1815" w:type="dxa"/>
            <w:tcBorders>
              <w:top w:val="single" w:sz="12" w:space="0" w:color="auto"/>
              <w:bottom w:val="single" w:sz="4" w:space="0" w:color="auto"/>
            </w:tcBorders>
            <w:shd w:val="clear" w:color="auto" w:fill="auto"/>
          </w:tcPr>
          <w:p w:rsidR="002D7C9B" w:rsidRPr="008936DC" w:rsidRDefault="002D7C9B" w:rsidP="002D7C9B">
            <w:pPr>
              <w:spacing w:after="120" w:line="440" w:lineRule="exact"/>
              <w:jc w:val="center"/>
              <w:rPr>
                <w:rStyle w:val="justifytxt"/>
                <w:rFonts w:ascii="Times New Roman" w:hAnsi="Times New Roman" w:cs="Times New Roman"/>
                <w:b/>
              </w:rPr>
            </w:pPr>
            <w:r w:rsidRPr="008936DC">
              <w:rPr>
                <w:rStyle w:val="justifytxt"/>
                <w:rFonts w:ascii="Times New Roman" w:hAnsi="Times New Roman" w:cs="Times New Roman"/>
                <w:b/>
              </w:rPr>
              <w:t>Length (L)</w:t>
            </w:r>
          </w:p>
        </w:tc>
        <w:tc>
          <w:tcPr>
            <w:tcW w:w="2693" w:type="dxa"/>
            <w:tcBorders>
              <w:top w:val="single" w:sz="12" w:space="0" w:color="auto"/>
              <w:bottom w:val="single" w:sz="4" w:space="0" w:color="auto"/>
            </w:tcBorders>
            <w:shd w:val="clear" w:color="auto" w:fill="auto"/>
          </w:tcPr>
          <w:p w:rsidR="002D7C9B" w:rsidRPr="008936DC" w:rsidRDefault="002D7C9B" w:rsidP="002D7C9B">
            <w:pPr>
              <w:spacing w:after="120" w:line="440" w:lineRule="exact"/>
              <w:jc w:val="center"/>
              <w:rPr>
                <w:rStyle w:val="justifytxt"/>
                <w:rFonts w:ascii="Times New Roman" w:hAnsi="Times New Roman" w:cs="Times New Roman"/>
                <w:b/>
              </w:rPr>
            </w:pPr>
            <w:r w:rsidRPr="008936DC">
              <w:rPr>
                <w:rStyle w:val="justifytxt"/>
                <w:rFonts w:ascii="Times New Roman" w:hAnsi="Times New Roman" w:cs="Times New Roman"/>
                <w:b/>
              </w:rPr>
              <w:t>Maximal width (W)</w:t>
            </w:r>
          </w:p>
        </w:tc>
      </w:tr>
      <w:tr w:rsidR="002D7C9B" w:rsidRPr="003A3B85" w:rsidTr="002D7C9B">
        <w:trPr>
          <w:jc w:val="center"/>
        </w:trPr>
        <w:tc>
          <w:tcPr>
            <w:tcW w:w="1951" w:type="dxa"/>
            <w:tcBorders>
              <w:top w:val="single" w:sz="4" w:space="0" w:color="auto"/>
            </w:tcBorders>
            <w:shd w:val="clear" w:color="auto" w:fill="auto"/>
          </w:tcPr>
          <w:p w:rsidR="002D7C9B" w:rsidRPr="003A3B85" w:rsidRDefault="002D7C9B" w:rsidP="002D7C9B">
            <w:pPr>
              <w:spacing w:line="440" w:lineRule="exact"/>
              <w:rPr>
                <w:rStyle w:val="justifytxt"/>
                <w:rFonts w:ascii="Times New Roman" w:hAnsi="Times New Roman" w:cs="Times New Roman"/>
                <w:i/>
              </w:rPr>
            </w:pPr>
            <w:r w:rsidRPr="003A3B85">
              <w:rPr>
                <w:rStyle w:val="justifytxt"/>
                <w:rFonts w:ascii="Times New Roman" w:hAnsi="Times New Roman" w:cs="Times New Roman"/>
                <w:i/>
              </w:rPr>
              <w:t>S. pneumoniae</w:t>
            </w:r>
          </w:p>
        </w:tc>
        <w:tc>
          <w:tcPr>
            <w:tcW w:w="1815" w:type="dxa"/>
            <w:tcBorders>
              <w:top w:val="single" w:sz="4" w:space="0" w:color="auto"/>
            </w:tcBorders>
            <w:shd w:val="clear" w:color="auto" w:fill="auto"/>
          </w:tcPr>
          <w:p w:rsidR="002D7C9B" w:rsidRPr="003A3B85" w:rsidRDefault="002D7C9B" w:rsidP="002D7C9B">
            <w:pPr>
              <w:spacing w:line="440" w:lineRule="exact"/>
              <w:jc w:val="center"/>
              <w:rPr>
                <w:rStyle w:val="justifytxt"/>
                <w:rFonts w:ascii="Times New Roman" w:hAnsi="Times New Roman" w:cs="Times New Roman"/>
              </w:rPr>
            </w:pPr>
            <w:r w:rsidRPr="003A3B85">
              <w:rPr>
                <w:rStyle w:val="justifytxt"/>
                <w:rFonts w:ascii="Times New Roman" w:hAnsi="Times New Roman" w:cs="Times New Roman"/>
              </w:rPr>
              <w:t>1870 ± 520</w:t>
            </w:r>
          </w:p>
        </w:tc>
        <w:tc>
          <w:tcPr>
            <w:tcW w:w="2693" w:type="dxa"/>
            <w:tcBorders>
              <w:top w:val="single" w:sz="4" w:space="0" w:color="auto"/>
            </w:tcBorders>
            <w:shd w:val="clear" w:color="auto" w:fill="auto"/>
          </w:tcPr>
          <w:p w:rsidR="002D7C9B" w:rsidRPr="003A3B85" w:rsidRDefault="002D7C9B" w:rsidP="002D7C9B">
            <w:pPr>
              <w:spacing w:line="440" w:lineRule="exact"/>
              <w:jc w:val="center"/>
              <w:rPr>
                <w:rStyle w:val="justifytxt"/>
                <w:rFonts w:ascii="Times New Roman" w:hAnsi="Times New Roman" w:cs="Times New Roman"/>
              </w:rPr>
            </w:pPr>
            <w:r w:rsidRPr="003A3B85">
              <w:rPr>
                <w:rStyle w:val="justifytxt"/>
                <w:rFonts w:ascii="Times New Roman" w:hAnsi="Times New Roman" w:cs="Times New Roman"/>
              </w:rPr>
              <w:t>820 ± 70</w:t>
            </w:r>
          </w:p>
        </w:tc>
      </w:tr>
      <w:tr w:rsidR="002D7C9B" w:rsidRPr="003A3B85" w:rsidTr="002D7C9B">
        <w:trPr>
          <w:jc w:val="center"/>
        </w:trPr>
        <w:tc>
          <w:tcPr>
            <w:tcW w:w="1951" w:type="dxa"/>
            <w:shd w:val="clear" w:color="auto" w:fill="auto"/>
          </w:tcPr>
          <w:p w:rsidR="002D7C9B" w:rsidRPr="003A3B85" w:rsidRDefault="002D7C9B" w:rsidP="002D7C9B">
            <w:pPr>
              <w:spacing w:line="440" w:lineRule="exact"/>
              <w:rPr>
                <w:rStyle w:val="justifytxt"/>
                <w:rFonts w:ascii="Times New Roman" w:hAnsi="Times New Roman" w:cs="Times New Roman"/>
              </w:rPr>
            </w:pPr>
            <w:r w:rsidRPr="003A3B85">
              <w:rPr>
                <w:rStyle w:val="justifytxt"/>
                <w:rFonts w:ascii="Times New Roman" w:hAnsi="Times New Roman" w:cs="Times New Roman"/>
                <w:i/>
              </w:rPr>
              <w:t>E. faecalis</w:t>
            </w:r>
          </w:p>
        </w:tc>
        <w:tc>
          <w:tcPr>
            <w:tcW w:w="1815" w:type="dxa"/>
            <w:shd w:val="clear" w:color="auto" w:fill="auto"/>
          </w:tcPr>
          <w:p w:rsidR="002D7C9B" w:rsidRPr="003A3B85" w:rsidRDefault="002D7C9B" w:rsidP="002D7C9B">
            <w:pPr>
              <w:spacing w:line="440" w:lineRule="exact"/>
              <w:jc w:val="center"/>
              <w:rPr>
                <w:rStyle w:val="justifytxt"/>
                <w:rFonts w:ascii="Times New Roman" w:hAnsi="Times New Roman" w:cs="Times New Roman"/>
              </w:rPr>
            </w:pPr>
            <w:r w:rsidRPr="003A3B85">
              <w:rPr>
                <w:rStyle w:val="justifytxt"/>
                <w:rFonts w:ascii="Times New Roman" w:hAnsi="Times New Roman" w:cs="Times New Roman"/>
              </w:rPr>
              <w:t>1370 ± 320</w:t>
            </w:r>
          </w:p>
        </w:tc>
        <w:tc>
          <w:tcPr>
            <w:tcW w:w="2693" w:type="dxa"/>
            <w:shd w:val="clear" w:color="auto" w:fill="auto"/>
          </w:tcPr>
          <w:p w:rsidR="002D7C9B" w:rsidRPr="003A3B85" w:rsidRDefault="002D7C9B" w:rsidP="002D7C9B">
            <w:pPr>
              <w:spacing w:line="440" w:lineRule="exact"/>
              <w:jc w:val="center"/>
              <w:rPr>
                <w:rStyle w:val="justifytxt"/>
                <w:rFonts w:ascii="Times New Roman" w:hAnsi="Times New Roman" w:cs="Times New Roman"/>
              </w:rPr>
            </w:pPr>
            <w:r w:rsidRPr="003A3B85">
              <w:rPr>
                <w:rStyle w:val="justifytxt"/>
                <w:rFonts w:ascii="Times New Roman" w:hAnsi="Times New Roman" w:cs="Times New Roman"/>
              </w:rPr>
              <w:t>860 ± 40</w:t>
            </w:r>
          </w:p>
        </w:tc>
      </w:tr>
      <w:tr w:rsidR="002D7C9B" w:rsidRPr="003A3B85" w:rsidTr="002D7C9B">
        <w:trPr>
          <w:jc w:val="center"/>
        </w:trPr>
        <w:tc>
          <w:tcPr>
            <w:tcW w:w="1951" w:type="dxa"/>
            <w:tcBorders>
              <w:bottom w:val="single" w:sz="12" w:space="0" w:color="auto"/>
            </w:tcBorders>
            <w:shd w:val="clear" w:color="auto" w:fill="auto"/>
          </w:tcPr>
          <w:p w:rsidR="002D7C9B" w:rsidRPr="003A3B85" w:rsidRDefault="002D7C9B" w:rsidP="002D7C9B">
            <w:pPr>
              <w:spacing w:line="440" w:lineRule="exact"/>
              <w:rPr>
                <w:rStyle w:val="justifytxt"/>
                <w:rFonts w:ascii="Times New Roman" w:hAnsi="Times New Roman" w:cs="Times New Roman"/>
              </w:rPr>
            </w:pPr>
            <w:r w:rsidRPr="003A3B85">
              <w:rPr>
                <w:rStyle w:val="justifytxt"/>
                <w:rFonts w:ascii="Times New Roman" w:hAnsi="Times New Roman" w:cs="Times New Roman"/>
                <w:i/>
              </w:rPr>
              <w:t>L. lactis</w:t>
            </w:r>
          </w:p>
        </w:tc>
        <w:tc>
          <w:tcPr>
            <w:tcW w:w="1815" w:type="dxa"/>
            <w:tcBorders>
              <w:bottom w:val="single" w:sz="12" w:space="0" w:color="auto"/>
            </w:tcBorders>
            <w:shd w:val="clear" w:color="auto" w:fill="auto"/>
          </w:tcPr>
          <w:p w:rsidR="002D7C9B" w:rsidRPr="003A3B85" w:rsidRDefault="002D7C9B" w:rsidP="002D7C9B">
            <w:pPr>
              <w:spacing w:line="440" w:lineRule="exact"/>
              <w:jc w:val="center"/>
              <w:rPr>
                <w:rStyle w:val="justifytxt"/>
                <w:rFonts w:ascii="Times New Roman" w:hAnsi="Times New Roman" w:cs="Times New Roman"/>
              </w:rPr>
            </w:pPr>
            <w:r w:rsidRPr="003A3B85">
              <w:rPr>
                <w:rStyle w:val="justifytxt"/>
                <w:rFonts w:ascii="Times New Roman" w:hAnsi="Times New Roman" w:cs="Times New Roman"/>
              </w:rPr>
              <w:t>1920 ± 360</w:t>
            </w:r>
          </w:p>
        </w:tc>
        <w:tc>
          <w:tcPr>
            <w:tcW w:w="2693" w:type="dxa"/>
            <w:tcBorders>
              <w:bottom w:val="single" w:sz="12" w:space="0" w:color="auto"/>
            </w:tcBorders>
            <w:shd w:val="clear" w:color="auto" w:fill="auto"/>
          </w:tcPr>
          <w:p w:rsidR="002D7C9B" w:rsidRPr="003A3B85" w:rsidRDefault="002D7C9B" w:rsidP="002D7C9B">
            <w:pPr>
              <w:spacing w:line="440" w:lineRule="exact"/>
              <w:jc w:val="center"/>
              <w:rPr>
                <w:rStyle w:val="justifytxt"/>
                <w:rFonts w:ascii="Times New Roman" w:hAnsi="Times New Roman" w:cs="Times New Roman"/>
              </w:rPr>
            </w:pPr>
            <w:r w:rsidRPr="003A3B85">
              <w:rPr>
                <w:rStyle w:val="justifytxt"/>
                <w:rFonts w:ascii="Times New Roman" w:hAnsi="Times New Roman" w:cs="Times New Roman"/>
              </w:rPr>
              <w:t>890 ± 30</w:t>
            </w:r>
          </w:p>
        </w:tc>
      </w:tr>
    </w:tbl>
    <w:p w:rsidR="002D7C9B" w:rsidRDefault="002D7C9B" w:rsidP="002D7C9B">
      <w:pPr>
        <w:rPr>
          <w:rStyle w:val="justifytxt"/>
          <w:rFonts w:ascii="Times New Roman" w:hAnsi="Times New Roman" w:cs="Times New Roman"/>
        </w:rPr>
      </w:pPr>
    </w:p>
    <w:p w:rsidR="002D7C9B" w:rsidRDefault="002D7C9B" w:rsidP="002D7C9B">
      <w:pPr>
        <w:rPr>
          <w:rStyle w:val="justifytxt"/>
          <w:rFonts w:ascii="Times New Roman" w:hAnsi="Times New Roman" w:cs="Times New Roman"/>
          <w:sz w:val="24"/>
          <w:szCs w:val="24"/>
        </w:rPr>
      </w:pPr>
      <w:r>
        <w:rPr>
          <w:rStyle w:val="justifytxt"/>
          <w:rFonts w:ascii="Times New Roman" w:hAnsi="Times New Roman" w:cs="Times New Roman"/>
          <w:sz w:val="24"/>
          <w:szCs w:val="24"/>
        </w:rPr>
        <w:br w:type="page"/>
      </w:r>
    </w:p>
    <w:p w:rsidR="002D7C9B" w:rsidRDefault="002D7C9B" w:rsidP="002D7C9B">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3466155" cy="5760000"/>
            <wp:effectExtent l="19050" t="0" r="945" b="0"/>
            <wp:docPr id="37" name="Picture 0" descr="Figure 5 Wheeler et 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 Wheeler et al.tif"/>
                    <pic:cNvPicPr/>
                  </pic:nvPicPr>
                  <pic:blipFill>
                    <a:blip r:embed="rId53" cstate="print"/>
                    <a:srcRect l="6680" t="16071" r="49449" b="32526"/>
                    <a:stretch>
                      <a:fillRect/>
                    </a:stretch>
                  </pic:blipFill>
                  <pic:spPr>
                    <a:xfrm>
                      <a:off x="0" y="0"/>
                      <a:ext cx="3466155" cy="5760000"/>
                    </a:xfrm>
                    <a:prstGeom prst="rect">
                      <a:avLst/>
                    </a:prstGeom>
                  </pic:spPr>
                </pic:pic>
              </a:graphicData>
            </a:graphic>
          </wp:inline>
        </w:drawing>
      </w:r>
    </w:p>
    <w:p w:rsidR="002D7C9B" w:rsidRDefault="002D7C9B" w:rsidP="002D7C9B">
      <w:pPr>
        <w:spacing w:before="200" w:after="120" w:line="360" w:lineRule="auto"/>
        <w:jc w:val="both"/>
        <w:rPr>
          <w:rFonts w:ascii="Times New Roman" w:eastAsia="+mn-ea" w:hAnsi="Times New Roman" w:cs="Times New Roman"/>
          <w:bCs/>
          <w:sz w:val="24"/>
          <w:szCs w:val="24"/>
        </w:rPr>
      </w:pPr>
      <w:proofErr w:type="gramStart"/>
      <w:r w:rsidRPr="001473AC">
        <w:rPr>
          <w:rFonts w:ascii="Times New Roman" w:hAnsi="Times New Roman" w:cs="Times New Roman"/>
          <w:b/>
          <w:sz w:val="24"/>
          <w:szCs w:val="24"/>
        </w:rPr>
        <w:t>Figure 3.1</w:t>
      </w:r>
      <w:r>
        <w:rPr>
          <w:rFonts w:ascii="Times New Roman" w:hAnsi="Times New Roman" w:cs="Times New Roman"/>
          <w:b/>
          <w:sz w:val="24"/>
          <w:szCs w:val="24"/>
        </w:rPr>
        <w:t>7</w:t>
      </w:r>
      <w:r w:rsidRPr="001473AC">
        <w:rPr>
          <w:rFonts w:ascii="Times New Roman" w:hAnsi="Times New Roman" w:cs="Times New Roman"/>
          <w:b/>
          <w:sz w:val="24"/>
          <w:szCs w:val="24"/>
        </w:rPr>
        <w:t>.</w:t>
      </w:r>
      <w:proofErr w:type="gramEnd"/>
      <w:r w:rsidRPr="001473AC">
        <w:rPr>
          <w:rFonts w:ascii="Times New Roman" w:hAnsi="Times New Roman" w:cs="Times New Roman"/>
          <w:b/>
          <w:sz w:val="24"/>
          <w:szCs w:val="24"/>
        </w:rPr>
        <w:t xml:space="preserve"> </w:t>
      </w:r>
      <w:proofErr w:type="gramStart"/>
      <w:r w:rsidRPr="001473AC">
        <w:rPr>
          <w:rFonts w:ascii="Times New Roman" w:eastAsia="+mn-ea" w:hAnsi="Times New Roman" w:cs="Times New Roman"/>
          <w:b/>
          <w:bCs/>
          <w:sz w:val="24"/>
          <w:szCs w:val="24"/>
        </w:rPr>
        <w:t>Peptidoglycan synthesis during growth and division of the ovococci.</w:t>
      </w:r>
      <w:proofErr w:type="gramEnd"/>
      <w:r w:rsidRPr="001473AC">
        <w:rPr>
          <w:rFonts w:ascii="Times New Roman" w:eastAsia="+mn-ea" w:hAnsi="Times New Roman" w:cs="Times New Roman"/>
          <w:bCs/>
          <w:sz w:val="24"/>
          <w:szCs w:val="24"/>
        </w:rPr>
        <w:t xml:space="preserve"> T</w:t>
      </w:r>
      <w:r>
        <w:rPr>
          <w:rFonts w:ascii="Times New Roman" w:eastAsia="+mn-ea" w:hAnsi="Times New Roman" w:cs="Times New Roman"/>
          <w:bCs/>
          <w:sz w:val="24"/>
          <w:szCs w:val="24"/>
        </w:rPr>
        <w:t>he t</w:t>
      </w:r>
      <w:r w:rsidRPr="001473AC">
        <w:rPr>
          <w:rFonts w:ascii="Times New Roman" w:eastAsia="+mn-ea" w:hAnsi="Times New Roman" w:cs="Times New Roman"/>
          <w:bCs/>
          <w:sz w:val="24"/>
          <w:szCs w:val="24"/>
        </w:rPr>
        <w:t xml:space="preserve">iming of successive rounds of cell </w:t>
      </w:r>
      <w:r w:rsidRPr="00C00F77">
        <w:rPr>
          <w:rFonts w:ascii="Times New Roman" w:eastAsia="+mn-ea" w:hAnsi="Times New Roman" w:cs="Times New Roman"/>
          <w:bCs/>
          <w:color w:val="000000" w:themeColor="text1"/>
          <w:sz w:val="24"/>
          <w:szCs w:val="24"/>
        </w:rPr>
        <w:t>division was followed in (</w:t>
      </w:r>
      <w:r w:rsidRPr="00C00F77">
        <w:rPr>
          <w:rFonts w:ascii="Times New Roman" w:eastAsia="+mn-ea" w:hAnsi="Times New Roman" w:cs="Times New Roman"/>
          <w:b/>
          <w:bCs/>
          <w:color w:val="000000" w:themeColor="text1"/>
          <w:sz w:val="24"/>
          <w:szCs w:val="24"/>
        </w:rPr>
        <w:t>A</w:t>
      </w:r>
      <w:r w:rsidRPr="00C00F77">
        <w:rPr>
          <w:rFonts w:ascii="Times New Roman" w:eastAsia="+mn-ea" w:hAnsi="Times New Roman" w:cs="Times New Roman"/>
          <w:bCs/>
          <w:color w:val="000000" w:themeColor="text1"/>
          <w:sz w:val="24"/>
          <w:szCs w:val="24"/>
        </w:rPr>
        <w:t xml:space="preserve">) </w:t>
      </w:r>
      <w:r w:rsidRPr="00C00F77">
        <w:rPr>
          <w:rFonts w:ascii="Times New Roman" w:eastAsia="+mn-ea" w:hAnsi="Times New Roman" w:cs="Times New Roman"/>
          <w:bCs/>
          <w:i/>
          <w:color w:val="000000" w:themeColor="text1"/>
          <w:sz w:val="24"/>
          <w:szCs w:val="24"/>
        </w:rPr>
        <w:t>S. pneumoniae</w:t>
      </w:r>
      <w:r w:rsidRPr="00C00F77">
        <w:rPr>
          <w:rFonts w:ascii="Times New Roman" w:eastAsia="+mn-ea" w:hAnsi="Times New Roman" w:cs="Times New Roman"/>
          <w:bCs/>
          <w:color w:val="000000" w:themeColor="text1"/>
          <w:sz w:val="24"/>
          <w:szCs w:val="24"/>
        </w:rPr>
        <w:t xml:space="preserve"> R6, (</w:t>
      </w:r>
      <w:r w:rsidRPr="00C00F77">
        <w:rPr>
          <w:rFonts w:ascii="Times New Roman" w:eastAsia="+mn-ea" w:hAnsi="Times New Roman" w:cs="Times New Roman"/>
          <w:b/>
          <w:bCs/>
          <w:color w:val="000000" w:themeColor="text1"/>
          <w:sz w:val="24"/>
          <w:szCs w:val="24"/>
        </w:rPr>
        <w:t>B</w:t>
      </w:r>
      <w:r w:rsidRPr="00C00F77">
        <w:rPr>
          <w:rFonts w:ascii="Times New Roman" w:eastAsia="+mn-ea" w:hAnsi="Times New Roman" w:cs="Times New Roman"/>
          <w:bCs/>
          <w:color w:val="000000" w:themeColor="text1"/>
          <w:sz w:val="24"/>
          <w:szCs w:val="24"/>
        </w:rPr>
        <w:t xml:space="preserve">) </w:t>
      </w:r>
      <w:r w:rsidRPr="00C00F77">
        <w:rPr>
          <w:rFonts w:ascii="Times New Roman" w:eastAsia="+mn-ea" w:hAnsi="Times New Roman" w:cs="Times New Roman"/>
          <w:bCs/>
          <w:i/>
          <w:color w:val="000000" w:themeColor="text1"/>
          <w:sz w:val="24"/>
          <w:szCs w:val="24"/>
        </w:rPr>
        <w:t>E. faecalis</w:t>
      </w:r>
      <w:r w:rsidRPr="00C00F77">
        <w:rPr>
          <w:rFonts w:ascii="Times New Roman" w:eastAsia="+mn-ea" w:hAnsi="Times New Roman" w:cs="Times New Roman"/>
          <w:bCs/>
          <w:color w:val="000000" w:themeColor="text1"/>
          <w:sz w:val="24"/>
          <w:szCs w:val="24"/>
        </w:rPr>
        <w:t xml:space="preserve"> JH2-2 and (</w:t>
      </w:r>
      <w:r w:rsidRPr="00C00F77">
        <w:rPr>
          <w:rFonts w:ascii="Times New Roman" w:eastAsia="+mn-ea" w:hAnsi="Times New Roman" w:cs="Times New Roman"/>
          <w:b/>
          <w:bCs/>
          <w:color w:val="000000" w:themeColor="text1"/>
          <w:sz w:val="24"/>
          <w:szCs w:val="24"/>
        </w:rPr>
        <w:t>C</w:t>
      </w:r>
      <w:r w:rsidRPr="00C00F77">
        <w:rPr>
          <w:rFonts w:ascii="Times New Roman" w:eastAsia="+mn-ea" w:hAnsi="Times New Roman" w:cs="Times New Roman"/>
          <w:bCs/>
          <w:color w:val="000000" w:themeColor="text1"/>
          <w:sz w:val="24"/>
          <w:szCs w:val="24"/>
        </w:rPr>
        <w:t>)</w:t>
      </w:r>
      <w:r w:rsidRPr="00C00F77">
        <w:rPr>
          <w:rFonts w:ascii="Times New Roman" w:eastAsia="+mn-ea" w:hAnsi="Times New Roman" w:cs="Times New Roman"/>
          <w:bCs/>
          <w:i/>
          <w:color w:val="000000" w:themeColor="text1"/>
          <w:sz w:val="24"/>
          <w:szCs w:val="24"/>
        </w:rPr>
        <w:t xml:space="preserve"> L. lactis </w:t>
      </w:r>
      <w:r w:rsidRPr="00C00F77">
        <w:rPr>
          <w:rFonts w:ascii="Times New Roman" w:eastAsia="+mn-ea" w:hAnsi="Times New Roman" w:cs="Times New Roman"/>
          <w:bCs/>
          <w:color w:val="000000" w:themeColor="text1"/>
          <w:sz w:val="24"/>
          <w:szCs w:val="24"/>
        </w:rPr>
        <w:t xml:space="preserve">MG1363 by plotting the diameter of the septal aperture (as an indicator of septum progression; see </w:t>
      </w:r>
      <w:r>
        <w:rPr>
          <w:rFonts w:ascii="Times New Roman" w:eastAsia="+mn-ea" w:hAnsi="Times New Roman" w:cs="Times New Roman"/>
          <w:bCs/>
          <w:color w:val="000000" w:themeColor="text1"/>
          <w:sz w:val="24"/>
          <w:szCs w:val="24"/>
        </w:rPr>
        <w:t>Figure 3.16</w:t>
      </w:r>
      <w:r w:rsidRPr="00C00F77">
        <w:rPr>
          <w:rFonts w:ascii="Times New Roman" w:eastAsia="+mn-ea" w:hAnsi="Times New Roman" w:cs="Times New Roman"/>
          <w:bCs/>
          <w:color w:val="000000" w:themeColor="text1"/>
          <w:sz w:val="24"/>
          <w:szCs w:val="24"/>
        </w:rPr>
        <w:t xml:space="preserve">D) against the diameter of the septal cross-wall (as an indicator of cell separation; see </w:t>
      </w:r>
      <w:r>
        <w:rPr>
          <w:rFonts w:ascii="Times New Roman" w:eastAsia="+mn-ea" w:hAnsi="Times New Roman" w:cs="Times New Roman"/>
          <w:bCs/>
          <w:color w:val="000000" w:themeColor="text1"/>
          <w:sz w:val="24"/>
          <w:szCs w:val="24"/>
        </w:rPr>
        <w:t>Figure 3.16</w:t>
      </w:r>
      <w:r w:rsidRPr="00C00F77">
        <w:rPr>
          <w:rFonts w:ascii="Times New Roman" w:eastAsia="+mn-ea" w:hAnsi="Times New Roman" w:cs="Times New Roman"/>
          <w:bCs/>
          <w:color w:val="000000" w:themeColor="text1"/>
          <w:sz w:val="24"/>
          <w:szCs w:val="24"/>
        </w:rPr>
        <w:t>D).</w:t>
      </w:r>
      <w:r w:rsidRPr="001473AC">
        <w:rPr>
          <w:rFonts w:ascii="Times New Roman" w:eastAsia="+mn-ea" w:hAnsi="Times New Roman" w:cs="Times New Roman"/>
          <w:bCs/>
          <w:sz w:val="24"/>
          <w:szCs w:val="24"/>
        </w:rPr>
        <w:t xml:space="preserve"> All strains were grown in non-limiting conditions to ensure equivalent doubling times. (</w:t>
      </w:r>
      <w:r w:rsidRPr="001473AC">
        <w:rPr>
          <w:rFonts w:ascii="Times New Roman" w:eastAsia="+mn-ea" w:hAnsi="Times New Roman" w:cs="Times New Roman"/>
          <w:bCs/>
          <w:sz w:val="24"/>
          <w:szCs w:val="24"/>
        </w:rPr>
        <w:sym w:font="Symbol" w:char="F0B7"/>
      </w:r>
      <w:r w:rsidRPr="001473AC">
        <w:rPr>
          <w:rFonts w:ascii="Times New Roman" w:eastAsia="+mn-ea" w:hAnsi="Times New Roman" w:cs="Times New Roman"/>
          <w:bCs/>
          <w:sz w:val="24"/>
          <w:szCs w:val="24"/>
        </w:rPr>
        <w:t>), cells showing a single ring of vancomycin labelling at the septum; (</w:t>
      </w:r>
      <w:r w:rsidRPr="001473AC">
        <w:rPr>
          <w:rFonts w:ascii="Times New Roman" w:eastAsia="+mn-ea" w:hAnsi="Times New Roman" w:cs="Times New Roman"/>
          <w:bCs/>
          <w:color w:val="FF0000"/>
          <w:sz w:val="24"/>
          <w:szCs w:val="24"/>
        </w:rPr>
        <w:t>○</w:t>
      </w:r>
      <w:r w:rsidRPr="001473AC">
        <w:rPr>
          <w:rFonts w:ascii="Times New Roman" w:eastAsia="+mn-ea" w:hAnsi="Times New Roman" w:cs="Times New Roman"/>
          <w:bCs/>
          <w:sz w:val="24"/>
          <w:szCs w:val="24"/>
        </w:rPr>
        <w:t xml:space="preserve">), cells with additional rings of labelling at equators of presumptive daughter cells. </w:t>
      </w:r>
      <w:r w:rsidRPr="001473AC">
        <w:rPr>
          <w:rFonts w:ascii="Times New Roman" w:eastAsia="+mn-ea" w:hAnsi="Times New Roman" w:cs="Times New Roman"/>
          <w:bCs/>
          <w:i/>
          <w:sz w:val="24"/>
          <w:szCs w:val="24"/>
        </w:rPr>
        <w:t>S. pneumoniae</w:t>
      </w:r>
      <w:r w:rsidRPr="001473AC">
        <w:rPr>
          <w:rFonts w:ascii="Times New Roman" w:eastAsia="+mn-ea" w:hAnsi="Times New Roman" w:cs="Times New Roman"/>
          <w:bCs/>
          <w:sz w:val="24"/>
          <w:szCs w:val="24"/>
        </w:rPr>
        <w:t xml:space="preserve"> shows overlapping rounds of synthesis, whereas </w:t>
      </w:r>
      <w:r w:rsidRPr="001473AC">
        <w:rPr>
          <w:rFonts w:ascii="Times New Roman" w:eastAsia="+mn-ea" w:hAnsi="Times New Roman" w:cs="Times New Roman"/>
          <w:bCs/>
          <w:i/>
          <w:sz w:val="24"/>
          <w:szCs w:val="24"/>
        </w:rPr>
        <w:t>E. faecalis</w:t>
      </w:r>
      <w:r w:rsidRPr="001473AC">
        <w:rPr>
          <w:rFonts w:ascii="Times New Roman" w:eastAsia="+mn-ea" w:hAnsi="Times New Roman" w:cs="Times New Roman"/>
          <w:bCs/>
          <w:sz w:val="24"/>
          <w:szCs w:val="24"/>
        </w:rPr>
        <w:t xml:space="preserve"> and </w:t>
      </w:r>
      <w:r w:rsidRPr="001473AC">
        <w:rPr>
          <w:rFonts w:ascii="Times New Roman" w:eastAsia="+mn-ea" w:hAnsi="Times New Roman" w:cs="Times New Roman"/>
          <w:bCs/>
          <w:i/>
          <w:sz w:val="24"/>
          <w:szCs w:val="24"/>
        </w:rPr>
        <w:t>L. lactis</w:t>
      </w:r>
      <w:r w:rsidRPr="001473AC">
        <w:rPr>
          <w:rFonts w:ascii="Times New Roman" w:eastAsia="+mn-ea" w:hAnsi="Times New Roman" w:cs="Times New Roman"/>
          <w:bCs/>
          <w:sz w:val="24"/>
          <w:szCs w:val="24"/>
        </w:rPr>
        <w:t xml:space="preserve"> show discrete rounds of division</w:t>
      </w:r>
      <w:r>
        <w:rPr>
          <w:rFonts w:ascii="Times New Roman" w:eastAsia="+mn-ea" w:hAnsi="Times New Roman" w:cs="Times New Roman"/>
          <w:bCs/>
          <w:sz w:val="24"/>
          <w:szCs w:val="24"/>
        </w:rPr>
        <w:t xml:space="preserve">, however </w:t>
      </w:r>
      <w:r w:rsidRPr="001473AC">
        <w:rPr>
          <w:rFonts w:ascii="Times New Roman" w:eastAsia="+mn-ea" w:hAnsi="Times New Roman" w:cs="Times New Roman"/>
          <w:bCs/>
          <w:i/>
          <w:sz w:val="24"/>
          <w:szCs w:val="24"/>
        </w:rPr>
        <w:t>E. faecalis</w:t>
      </w:r>
      <w:r w:rsidRPr="001473AC">
        <w:rPr>
          <w:rFonts w:ascii="Times New Roman" w:eastAsia="+mn-ea" w:hAnsi="Times New Roman" w:cs="Times New Roman"/>
          <w:bCs/>
          <w:sz w:val="24"/>
          <w:szCs w:val="24"/>
        </w:rPr>
        <w:t xml:space="preserve"> initiates </w:t>
      </w:r>
      <w:r>
        <w:rPr>
          <w:rFonts w:ascii="Times New Roman" w:eastAsia="+mn-ea" w:hAnsi="Times New Roman" w:cs="Times New Roman"/>
          <w:bCs/>
          <w:sz w:val="24"/>
          <w:szCs w:val="24"/>
        </w:rPr>
        <w:t xml:space="preserve">the next round of </w:t>
      </w:r>
      <w:r w:rsidRPr="001473AC">
        <w:rPr>
          <w:rFonts w:ascii="Times New Roman" w:eastAsia="+mn-ea" w:hAnsi="Times New Roman" w:cs="Times New Roman"/>
          <w:bCs/>
          <w:sz w:val="24"/>
          <w:szCs w:val="24"/>
        </w:rPr>
        <w:t xml:space="preserve">division </w:t>
      </w:r>
      <w:r>
        <w:rPr>
          <w:rFonts w:ascii="Times New Roman" w:eastAsia="+mn-ea" w:hAnsi="Times New Roman" w:cs="Times New Roman"/>
          <w:bCs/>
          <w:sz w:val="24"/>
          <w:szCs w:val="24"/>
        </w:rPr>
        <w:t>before</w:t>
      </w:r>
      <w:r w:rsidRPr="001473AC">
        <w:rPr>
          <w:rFonts w:ascii="Times New Roman" w:eastAsia="+mn-ea" w:hAnsi="Times New Roman" w:cs="Times New Roman"/>
          <w:bCs/>
          <w:sz w:val="24"/>
          <w:szCs w:val="24"/>
        </w:rPr>
        <w:t xml:space="preserve"> </w:t>
      </w:r>
      <w:r>
        <w:rPr>
          <w:rFonts w:ascii="Times New Roman" w:eastAsia="+mn-ea" w:hAnsi="Times New Roman" w:cs="Times New Roman"/>
          <w:bCs/>
          <w:sz w:val="24"/>
          <w:szCs w:val="24"/>
        </w:rPr>
        <w:t xml:space="preserve">cell </w:t>
      </w:r>
      <w:r w:rsidRPr="001473AC">
        <w:rPr>
          <w:rFonts w:ascii="Times New Roman" w:eastAsia="+mn-ea" w:hAnsi="Times New Roman" w:cs="Times New Roman"/>
          <w:bCs/>
          <w:sz w:val="24"/>
          <w:szCs w:val="24"/>
        </w:rPr>
        <w:t xml:space="preserve">separation is </w:t>
      </w:r>
      <w:r>
        <w:rPr>
          <w:rFonts w:ascii="Times New Roman" w:eastAsia="+mn-ea" w:hAnsi="Times New Roman" w:cs="Times New Roman"/>
          <w:bCs/>
          <w:sz w:val="24"/>
          <w:szCs w:val="24"/>
        </w:rPr>
        <w:t>completed</w:t>
      </w:r>
      <w:r w:rsidRPr="001473AC">
        <w:rPr>
          <w:rFonts w:ascii="Times New Roman" w:eastAsia="+mn-ea" w:hAnsi="Times New Roman" w:cs="Times New Roman"/>
          <w:bCs/>
          <w:sz w:val="24"/>
          <w:szCs w:val="24"/>
        </w:rPr>
        <w:t>.</w:t>
      </w:r>
    </w:p>
    <w:p w:rsidR="002D7C9B" w:rsidRPr="00C00F77" w:rsidRDefault="002D7C9B" w:rsidP="002D7C9B">
      <w:pPr>
        <w:spacing w:before="120" w:after="120" w:line="480" w:lineRule="auto"/>
        <w:jc w:val="both"/>
        <w:rPr>
          <w:rStyle w:val="justifytxt"/>
          <w:rFonts w:ascii="Times New Roman" w:hAnsi="Times New Roman" w:cs="Times New Roman"/>
          <w:color w:val="000000" w:themeColor="text1"/>
          <w:sz w:val="24"/>
          <w:szCs w:val="24"/>
        </w:rPr>
      </w:pPr>
      <w:proofErr w:type="gramStart"/>
      <w:r w:rsidRPr="00131379">
        <w:rPr>
          <w:rStyle w:val="justifytxt"/>
          <w:rFonts w:ascii="Times New Roman" w:hAnsi="Times New Roman" w:cs="Times New Roman"/>
          <w:sz w:val="24"/>
          <w:szCs w:val="24"/>
        </w:rPr>
        <w:lastRenderedPageBreak/>
        <w:t>of</w:t>
      </w:r>
      <w:proofErr w:type="gramEnd"/>
      <w:r w:rsidRPr="00131379">
        <w:rPr>
          <w:rStyle w:val="justifytxt"/>
          <w:rFonts w:ascii="Times New Roman" w:hAnsi="Times New Roman" w:cs="Times New Roman"/>
          <w:sz w:val="24"/>
          <w:szCs w:val="24"/>
        </w:rPr>
        <w:t xml:space="preserve"> cell dimensions. In addition, a proportion of the cells (~ 6%) did not undergo septation but continued to elongate at multiple vancomycin labelling foci. Similar to </w:t>
      </w:r>
      <w:r w:rsidRPr="00131379">
        <w:rPr>
          <w:rStyle w:val="justifytxt"/>
          <w:rFonts w:ascii="Times New Roman" w:hAnsi="Times New Roman" w:cs="Times New Roman"/>
          <w:i/>
          <w:sz w:val="24"/>
          <w:szCs w:val="24"/>
        </w:rPr>
        <w:t xml:space="preserve">S. </w:t>
      </w:r>
      <w:r w:rsidRPr="00C00F77">
        <w:rPr>
          <w:rStyle w:val="justifytxt"/>
          <w:rFonts w:ascii="Times New Roman" w:hAnsi="Times New Roman" w:cs="Times New Roman"/>
          <w:i/>
          <w:color w:val="000000" w:themeColor="text1"/>
          <w:sz w:val="24"/>
          <w:szCs w:val="24"/>
        </w:rPr>
        <w:t>pneumoniae</w:t>
      </w:r>
      <w:r w:rsidRPr="00C00F77">
        <w:rPr>
          <w:rStyle w:val="justifytxt"/>
          <w:rFonts w:ascii="Times New Roman" w:hAnsi="Times New Roman" w:cs="Times New Roman"/>
          <w:color w:val="000000" w:themeColor="text1"/>
          <w:sz w:val="24"/>
          <w:szCs w:val="24"/>
        </w:rPr>
        <w:t>, a relatively short elongation phase was detected prior</w:t>
      </w:r>
      <w:r w:rsidRPr="00C00F77">
        <w:rPr>
          <w:rStyle w:val="justifytxt"/>
          <w:rFonts w:ascii="Times New Roman" w:hAnsi="Times New Roman" w:cs="Times New Roman"/>
          <w:i/>
          <w:color w:val="000000" w:themeColor="text1"/>
          <w:sz w:val="24"/>
          <w:szCs w:val="24"/>
        </w:rPr>
        <w:t xml:space="preserve"> </w:t>
      </w:r>
      <w:r w:rsidRPr="00C00F77">
        <w:rPr>
          <w:rStyle w:val="justifytxt"/>
          <w:rFonts w:ascii="Times New Roman" w:hAnsi="Times New Roman" w:cs="Times New Roman"/>
          <w:color w:val="000000" w:themeColor="text1"/>
          <w:sz w:val="24"/>
          <w:szCs w:val="24"/>
        </w:rPr>
        <w:t xml:space="preserve">to cell constriction in </w:t>
      </w:r>
      <w:r w:rsidRPr="00C00F77">
        <w:rPr>
          <w:rStyle w:val="justifytxt"/>
          <w:rFonts w:ascii="Times New Roman" w:hAnsi="Times New Roman" w:cs="Times New Roman"/>
          <w:i/>
          <w:color w:val="000000" w:themeColor="text1"/>
          <w:sz w:val="24"/>
          <w:szCs w:val="24"/>
        </w:rPr>
        <w:t xml:space="preserve">E. faecalis </w:t>
      </w:r>
      <w:r w:rsidRPr="00C00F77">
        <w:rPr>
          <w:rStyle w:val="justifytxt"/>
          <w:rFonts w:ascii="Times New Roman" w:hAnsi="Times New Roman" w:cs="Times New Roman"/>
          <w:color w:val="000000" w:themeColor="text1"/>
          <w:sz w:val="24"/>
          <w:szCs w:val="24"/>
        </w:rPr>
        <w:t>(</w:t>
      </w:r>
      <w:r>
        <w:rPr>
          <w:rStyle w:val="justifytxt"/>
          <w:rFonts w:ascii="Times New Roman" w:hAnsi="Times New Roman" w:cs="Times New Roman"/>
          <w:color w:val="000000" w:themeColor="text1"/>
          <w:sz w:val="24"/>
          <w:szCs w:val="24"/>
        </w:rPr>
        <w:t>Figure 3.18</w:t>
      </w:r>
      <w:r w:rsidRPr="00C00F77">
        <w:rPr>
          <w:rStyle w:val="justifytxt"/>
          <w:rFonts w:ascii="Times New Roman" w:hAnsi="Times New Roman" w:cs="Times New Roman"/>
          <w:color w:val="000000" w:themeColor="text1"/>
          <w:sz w:val="24"/>
          <w:szCs w:val="24"/>
        </w:rPr>
        <w:t>C). Elongation accounted for an approximate length increase of 300 nm. Septum constriction and cell elongation progressed simultaneously throughout the cell cycle.</w:t>
      </w:r>
    </w:p>
    <w:p w:rsidR="002D7C9B" w:rsidRPr="00131379" w:rsidRDefault="002D7C9B" w:rsidP="002D7C9B">
      <w:pPr>
        <w:spacing w:before="120" w:after="120" w:line="480" w:lineRule="auto"/>
        <w:jc w:val="both"/>
        <w:rPr>
          <w:rStyle w:val="justifytxt"/>
          <w:rFonts w:ascii="Times New Roman" w:hAnsi="Times New Roman" w:cs="Times New Roman"/>
          <w:sz w:val="24"/>
          <w:szCs w:val="24"/>
        </w:rPr>
      </w:pPr>
      <w:r w:rsidRPr="00C00F77">
        <w:rPr>
          <w:rStyle w:val="justifytxt"/>
          <w:rFonts w:ascii="Times New Roman" w:hAnsi="Times New Roman" w:cs="Times New Roman"/>
          <w:color w:val="000000" w:themeColor="text1"/>
          <w:sz w:val="24"/>
          <w:szCs w:val="24"/>
        </w:rPr>
        <w:t>The overall distribution of cell numbers in each phase was similar between the ovococci (</w:t>
      </w:r>
      <w:r>
        <w:rPr>
          <w:rStyle w:val="justifytxt"/>
          <w:rFonts w:ascii="Times New Roman" w:hAnsi="Times New Roman" w:cs="Times New Roman"/>
          <w:color w:val="000000" w:themeColor="text1"/>
          <w:sz w:val="24"/>
          <w:szCs w:val="24"/>
        </w:rPr>
        <w:t>Figure 3.18</w:t>
      </w:r>
      <w:r w:rsidRPr="00C00F77">
        <w:rPr>
          <w:rStyle w:val="justifytxt"/>
          <w:rFonts w:ascii="Times New Roman" w:hAnsi="Times New Roman" w:cs="Times New Roman"/>
          <w:color w:val="000000" w:themeColor="text1"/>
          <w:sz w:val="24"/>
          <w:szCs w:val="24"/>
        </w:rPr>
        <w:t>). Most of the cell cycle was devoted to elongation (46% to 54% of cells). The number of cells undergoing</w:t>
      </w:r>
      <w:r w:rsidRPr="00131379">
        <w:rPr>
          <w:rStyle w:val="justifytxt"/>
          <w:rFonts w:ascii="Times New Roman" w:hAnsi="Times New Roman" w:cs="Times New Roman"/>
          <w:sz w:val="24"/>
          <w:szCs w:val="24"/>
        </w:rPr>
        <w:t xml:space="preserve"> transition to septation was slightly lower in </w:t>
      </w:r>
      <w:r w:rsidRPr="00131379">
        <w:rPr>
          <w:rStyle w:val="justifytxt"/>
          <w:rFonts w:ascii="Times New Roman" w:hAnsi="Times New Roman" w:cs="Times New Roman"/>
          <w:i/>
          <w:sz w:val="24"/>
          <w:szCs w:val="24"/>
        </w:rPr>
        <w:t>E. faecalis</w:t>
      </w:r>
      <w:r w:rsidRPr="00131379">
        <w:rPr>
          <w:rStyle w:val="justifytxt"/>
          <w:rFonts w:ascii="Times New Roman" w:hAnsi="Times New Roman" w:cs="Times New Roman"/>
          <w:sz w:val="24"/>
          <w:szCs w:val="24"/>
        </w:rPr>
        <w:t xml:space="preserve"> (26%)</w:t>
      </w:r>
      <w:r>
        <w:rPr>
          <w:rStyle w:val="justifytxt"/>
          <w:rFonts w:ascii="Times New Roman" w:hAnsi="Times New Roman" w:cs="Times New Roman"/>
          <w:sz w:val="24"/>
          <w:szCs w:val="24"/>
        </w:rPr>
        <w:t xml:space="preserve"> as</w:t>
      </w:r>
      <w:r w:rsidRPr="00131379">
        <w:rPr>
          <w:rStyle w:val="justifytxt"/>
          <w:rFonts w:ascii="Times New Roman" w:hAnsi="Times New Roman" w:cs="Times New Roman"/>
          <w:sz w:val="24"/>
          <w:szCs w:val="24"/>
        </w:rPr>
        <w:t xml:space="preserve"> compared to </w:t>
      </w:r>
      <w:r w:rsidRPr="00131379">
        <w:rPr>
          <w:rStyle w:val="justifytxt"/>
          <w:rFonts w:ascii="Times New Roman" w:hAnsi="Times New Roman" w:cs="Times New Roman"/>
          <w:i/>
          <w:sz w:val="24"/>
          <w:szCs w:val="24"/>
        </w:rPr>
        <w:t>L. lactis</w:t>
      </w:r>
      <w:r w:rsidRPr="00131379">
        <w:rPr>
          <w:rStyle w:val="justifytxt"/>
          <w:rFonts w:ascii="Times New Roman" w:hAnsi="Times New Roman" w:cs="Times New Roman"/>
          <w:sz w:val="24"/>
          <w:szCs w:val="24"/>
        </w:rPr>
        <w:t xml:space="preserve"> and </w:t>
      </w:r>
      <w:r w:rsidRPr="00131379">
        <w:rPr>
          <w:rStyle w:val="justifytxt"/>
          <w:rFonts w:ascii="Times New Roman" w:hAnsi="Times New Roman" w:cs="Times New Roman"/>
          <w:i/>
          <w:sz w:val="24"/>
          <w:szCs w:val="24"/>
        </w:rPr>
        <w:t>S. pneumoniae</w:t>
      </w:r>
      <w:r w:rsidRPr="00131379">
        <w:rPr>
          <w:rStyle w:val="justifytxt"/>
          <w:rFonts w:ascii="Times New Roman" w:hAnsi="Times New Roman" w:cs="Times New Roman"/>
          <w:sz w:val="24"/>
          <w:szCs w:val="24"/>
        </w:rPr>
        <w:t xml:space="preserve"> (46% and 38% respectively), suggesting that in this organism septation occurs more rapidly. </w:t>
      </w:r>
    </w:p>
    <w:p w:rsidR="002D7C9B" w:rsidRDefault="002D7C9B" w:rsidP="002D7C9B">
      <w:pPr>
        <w:rPr>
          <w:rFonts w:ascii="Times New Roman" w:hAnsi="Times New Roman" w:cs="Times New Roman"/>
          <w:sz w:val="24"/>
          <w:szCs w:val="24"/>
        </w:rPr>
      </w:pPr>
      <w:r>
        <w:rPr>
          <w:rFonts w:ascii="Times New Roman" w:hAnsi="Times New Roman" w:cs="Times New Roman"/>
          <w:sz w:val="24"/>
          <w:szCs w:val="24"/>
        </w:rPr>
        <w:br w:type="page"/>
      </w:r>
    </w:p>
    <w:p w:rsidR="002D7C9B" w:rsidRDefault="002D7C9B" w:rsidP="002D7C9B">
      <w:pP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5277600" cy="3965128"/>
            <wp:effectExtent l="19050" t="0" r="0" b="0"/>
            <wp:docPr id="39" name="Picture 1" descr="Figure 6 Wheeler et 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Wheeler et al.tif"/>
                    <pic:cNvPicPr/>
                  </pic:nvPicPr>
                  <pic:blipFill>
                    <a:blip r:embed="rId54" cstate="print"/>
                    <a:srcRect l="5235" t="18106" r="5054" b="34319"/>
                    <a:stretch>
                      <a:fillRect/>
                    </a:stretch>
                  </pic:blipFill>
                  <pic:spPr>
                    <a:xfrm>
                      <a:off x="0" y="0"/>
                      <a:ext cx="5277600" cy="3965128"/>
                    </a:xfrm>
                    <a:prstGeom prst="rect">
                      <a:avLst/>
                    </a:prstGeom>
                  </pic:spPr>
                </pic:pic>
              </a:graphicData>
            </a:graphic>
          </wp:inline>
        </w:drawing>
      </w:r>
    </w:p>
    <w:p w:rsidR="002D7C9B" w:rsidRDefault="002D7C9B" w:rsidP="002D7C9B">
      <w:pPr>
        <w:spacing w:line="360" w:lineRule="auto"/>
        <w:jc w:val="both"/>
        <w:rPr>
          <w:rFonts w:ascii="Times New Roman" w:hAnsi="Times New Roman" w:cs="Times New Roman"/>
          <w:sz w:val="24"/>
          <w:szCs w:val="24"/>
        </w:rPr>
      </w:pPr>
      <w:proofErr w:type="gramStart"/>
      <w:r w:rsidRPr="001473AC">
        <w:rPr>
          <w:rFonts w:ascii="Times New Roman" w:eastAsia="+mn-ea" w:hAnsi="Times New Roman" w:cs="Times New Roman"/>
          <w:b/>
          <w:bCs/>
          <w:sz w:val="24"/>
          <w:szCs w:val="24"/>
        </w:rPr>
        <w:t xml:space="preserve">Figure </w:t>
      </w:r>
      <w:r>
        <w:rPr>
          <w:rFonts w:ascii="Times New Roman" w:eastAsia="+mn-ea" w:hAnsi="Times New Roman" w:cs="Times New Roman"/>
          <w:b/>
          <w:bCs/>
          <w:sz w:val="24"/>
          <w:szCs w:val="24"/>
        </w:rPr>
        <w:t>3.18</w:t>
      </w:r>
      <w:r w:rsidRPr="001473AC">
        <w:rPr>
          <w:rFonts w:ascii="Times New Roman" w:eastAsia="+mn-ea" w:hAnsi="Times New Roman" w:cs="Times New Roman"/>
          <w:b/>
          <w:bCs/>
          <w:sz w:val="24"/>
          <w:szCs w:val="24"/>
        </w:rPr>
        <w:t>.</w:t>
      </w:r>
      <w:proofErr w:type="gramEnd"/>
      <w:r w:rsidRPr="001473AC">
        <w:rPr>
          <w:rFonts w:ascii="Times New Roman" w:eastAsia="+mn-ea" w:hAnsi="Times New Roman" w:cs="Times New Roman"/>
          <w:b/>
          <w:bCs/>
          <w:sz w:val="24"/>
          <w:szCs w:val="24"/>
        </w:rPr>
        <w:t xml:space="preserve"> </w:t>
      </w:r>
      <w:proofErr w:type="gramStart"/>
      <w:r w:rsidRPr="001473AC">
        <w:rPr>
          <w:rFonts w:ascii="Times New Roman" w:eastAsia="+mn-ea" w:hAnsi="Times New Roman" w:cs="Times New Roman"/>
          <w:b/>
          <w:bCs/>
          <w:sz w:val="24"/>
          <w:szCs w:val="24"/>
        </w:rPr>
        <w:t>Dynamics of cell growth and division in ovococci.</w:t>
      </w:r>
      <w:proofErr w:type="gramEnd"/>
      <w:r w:rsidRPr="001473AC">
        <w:rPr>
          <w:rFonts w:ascii="Times New Roman" w:eastAsia="+mn-ea" w:hAnsi="Times New Roman" w:cs="Times New Roman"/>
          <w:bCs/>
          <w:sz w:val="24"/>
          <w:szCs w:val="24"/>
        </w:rPr>
        <w:t xml:space="preserve"> Cell cycle progression was followed in (</w:t>
      </w:r>
      <w:r w:rsidRPr="00A07414">
        <w:rPr>
          <w:rFonts w:ascii="Times New Roman" w:eastAsia="+mn-ea" w:hAnsi="Times New Roman" w:cs="Times New Roman"/>
          <w:bCs/>
          <w:sz w:val="24"/>
          <w:szCs w:val="24"/>
        </w:rPr>
        <w:t>A</w:t>
      </w:r>
      <w:r w:rsidRPr="001473AC">
        <w:rPr>
          <w:rFonts w:ascii="Times New Roman" w:eastAsia="+mn-ea" w:hAnsi="Times New Roman" w:cs="Times New Roman"/>
          <w:bCs/>
          <w:sz w:val="24"/>
          <w:szCs w:val="24"/>
        </w:rPr>
        <w:t xml:space="preserve">) </w:t>
      </w:r>
      <w:r w:rsidRPr="001473AC">
        <w:rPr>
          <w:rFonts w:ascii="Times New Roman" w:eastAsia="+mn-ea" w:hAnsi="Times New Roman" w:cs="Times New Roman"/>
          <w:bCs/>
          <w:i/>
          <w:sz w:val="24"/>
          <w:szCs w:val="24"/>
        </w:rPr>
        <w:t xml:space="preserve">L. lactis </w:t>
      </w:r>
      <w:r w:rsidRPr="001473AC">
        <w:rPr>
          <w:rFonts w:ascii="Times New Roman" w:eastAsia="+mn-ea" w:hAnsi="Times New Roman" w:cs="Times New Roman"/>
          <w:bCs/>
          <w:sz w:val="24"/>
          <w:szCs w:val="24"/>
        </w:rPr>
        <w:t xml:space="preserve">MG1363, </w:t>
      </w:r>
      <w:r w:rsidRPr="00A07414">
        <w:rPr>
          <w:rFonts w:ascii="Times New Roman" w:eastAsia="+mn-ea" w:hAnsi="Times New Roman" w:cs="Times New Roman"/>
          <w:bCs/>
          <w:sz w:val="24"/>
          <w:szCs w:val="24"/>
        </w:rPr>
        <w:t>(B)</w:t>
      </w:r>
      <w:r w:rsidRPr="001473AC">
        <w:rPr>
          <w:rFonts w:ascii="Times New Roman" w:eastAsia="+mn-ea" w:hAnsi="Times New Roman" w:cs="Times New Roman"/>
          <w:bCs/>
          <w:sz w:val="24"/>
          <w:szCs w:val="24"/>
        </w:rPr>
        <w:t xml:space="preserve"> </w:t>
      </w:r>
      <w:r w:rsidRPr="001473AC">
        <w:rPr>
          <w:rFonts w:ascii="Times New Roman" w:eastAsia="+mn-ea" w:hAnsi="Times New Roman" w:cs="Times New Roman"/>
          <w:bCs/>
          <w:i/>
          <w:sz w:val="24"/>
          <w:szCs w:val="24"/>
        </w:rPr>
        <w:t>S. pneumoniae</w:t>
      </w:r>
      <w:r w:rsidRPr="001473AC">
        <w:rPr>
          <w:rFonts w:ascii="Times New Roman" w:eastAsia="+mn-ea" w:hAnsi="Times New Roman" w:cs="Times New Roman"/>
          <w:bCs/>
          <w:sz w:val="24"/>
          <w:szCs w:val="24"/>
        </w:rPr>
        <w:t xml:space="preserve"> R6 and (</w:t>
      </w:r>
      <w:r w:rsidRPr="00A07414">
        <w:rPr>
          <w:rFonts w:ascii="Times New Roman" w:eastAsia="+mn-ea" w:hAnsi="Times New Roman" w:cs="Times New Roman"/>
          <w:bCs/>
          <w:sz w:val="24"/>
          <w:szCs w:val="24"/>
        </w:rPr>
        <w:t>C</w:t>
      </w:r>
      <w:r w:rsidRPr="001473AC">
        <w:rPr>
          <w:rFonts w:ascii="Times New Roman" w:eastAsia="+mn-ea" w:hAnsi="Times New Roman" w:cs="Times New Roman"/>
          <w:bCs/>
          <w:sz w:val="24"/>
          <w:szCs w:val="24"/>
        </w:rPr>
        <w:t xml:space="preserve">) </w:t>
      </w:r>
      <w:r w:rsidRPr="001473AC">
        <w:rPr>
          <w:rFonts w:ascii="Times New Roman" w:eastAsia="+mn-ea" w:hAnsi="Times New Roman" w:cs="Times New Roman"/>
          <w:bCs/>
          <w:i/>
          <w:sz w:val="24"/>
          <w:szCs w:val="24"/>
        </w:rPr>
        <w:t>E. faecalis</w:t>
      </w:r>
      <w:r w:rsidRPr="001473AC">
        <w:rPr>
          <w:rFonts w:ascii="Times New Roman" w:eastAsia="+mn-ea" w:hAnsi="Times New Roman" w:cs="Times New Roman"/>
          <w:bCs/>
          <w:sz w:val="24"/>
          <w:szCs w:val="24"/>
        </w:rPr>
        <w:t xml:space="preserve"> JH2-2 by plotting total cell length against the width ratio (cross-wall diameter over maximal cell </w:t>
      </w:r>
      <w:r w:rsidRPr="00C00F77">
        <w:rPr>
          <w:rFonts w:ascii="Times New Roman" w:eastAsia="+mn-ea" w:hAnsi="Times New Roman" w:cs="Times New Roman"/>
          <w:bCs/>
          <w:color w:val="000000" w:themeColor="text1"/>
          <w:sz w:val="24"/>
          <w:szCs w:val="24"/>
        </w:rPr>
        <w:t xml:space="preserve">width, C/W; see </w:t>
      </w:r>
      <w:r>
        <w:rPr>
          <w:rFonts w:ascii="Times New Roman" w:eastAsia="+mn-ea" w:hAnsi="Times New Roman" w:cs="Times New Roman"/>
          <w:bCs/>
          <w:color w:val="000000" w:themeColor="text1"/>
          <w:sz w:val="24"/>
          <w:szCs w:val="24"/>
        </w:rPr>
        <w:t>Figure 3.16</w:t>
      </w:r>
      <w:r w:rsidRPr="00C00F77">
        <w:rPr>
          <w:rFonts w:ascii="Times New Roman" w:eastAsia="+mn-ea" w:hAnsi="Times New Roman" w:cs="Times New Roman"/>
          <w:bCs/>
          <w:color w:val="000000" w:themeColor="text1"/>
          <w:sz w:val="24"/>
          <w:szCs w:val="24"/>
        </w:rPr>
        <w:t>D) as an indicator</w:t>
      </w:r>
      <w:r w:rsidRPr="001473AC">
        <w:rPr>
          <w:rFonts w:ascii="Times New Roman" w:eastAsia="+mn-ea" w:hAnsi="Times New Roman" w:cs="Times New Roman"/>
          <w:bCs/>
          <w:sz w:val="24"/>
          <w:szCs w:val="24"/>
        </w:rPr>
        <w:t xml:space="preserve"> of septum constriction. Increasing length with little or no change in C/W ratio indicates an elongation phase. Increasing length with decreasing C/W ratio indicates septum constriction during cell growth. The dotted lines indicate threshold values of C/W, defining the developmental stages described in (</w:t>
      </w:r>
      <w:r w:rsidRPr="00A07414">
        <w:rPr>
          <w:rFonts w:ascii="Times New Roman" w:eastAsia="+mn-ea" w:hAnsi="Times New Roman" w:cs="Times New Roman"/>
          <w:bCs/>
          <w:sz w:val="24"/>
          <w:szCs w:val="24"/>
        </w:rPr>
        <w:t>D</w:t>
      </w:r>
      <w:r w:rsidRPr="001473AC">
        <w:rPr>
          <w:rFonts w:ascii="Times New Roman" w:eastAsia="+mn-ea" w:hAnsi="Times New Roman" w:cs="Times New Roman"/>
          <w:bCs/>
          <w:sz w:val="24"/>
          <w:szCs w:val="24"/>
        </w:rPr>
        <w:t>). (</w:t>
      </w:r>
      <w:r w:rsidRPr="00A07414">
        <w:rPr>
          <w:rFonts w:ascii="Times New Roman" w:eastAsia="+mn-ea" w:hAnsi="Times New Roman" w:cs="Times New Roman"/>
          <w:bCs/>
          <w:sz w:val="24"/>
          <w:szCs w:val="24"/>
        </w:rPr>
        <w:t>D</w:t>
      </w:r>
      <w:r w:rsidRPr="001473AC">
        <w:rPr>
          <w:rFonts w:ascii="Times New Roman" w:eastAsia="+mn-ea" w:hAnsi="Times New Roman" w:cs="Times New Roman"/>
          <w:bCs/>
          <w:sz w:val="24"/>
          <w:szCs w:val="24"/>
        </w:rPr>
        <w:t>) Model of cell growth and division in different ovococci. Cells were grouped in three developmental phases: elongation (C/W&gt;0.95), transition to constriction (0.7&lt;C/W&lt;0.95) and constriction (C/W&lt;0.7). For each phase, an interpretive model is provided; (</w:t>
      </w:r>
      <w:r w:rsidRPr="001473AC">
        <w:rPr>
          <w:rFonts w:ascii="Times New Roman" w:eastAsia="+mn-ea" w:hAnsi="Times New Roman" w:cs="Times New Roman"/>
          <w:bCs/>
          <w:color w:val="FF0000"/>
          <w:sz w:val="24"/>
          <w:szCs w:val="24"/>
        </w:rPr>
        <w:sym w:font="Symbol" w:char="F0B7"/>
      </w:r>
      <w:r w:rsidRPr="001473AC">
        <w:rPr>
          <w:rFonts w:ascii="Times New Roman" w:eastAsia="+mn-ea" w:hAnsi="Times New Roman" w:cs="Times New Roman"/>
          <w:bCs/>
          <w:sz w:val="24"/>
          <w:szCs w:val="24"/>
        </w:rPr>
        <w:t>) represent the peripheral peptidoglycan biosynthesis machinery; (</w:t>
      </w:r>
      <w:r w:rsidRPr="001473AC">
        <w:rPr>
          <w:rFonts w:ascii="Times New Roman" w:eastAsia="+mn-ea" w:hAnsi="Times New Roman" w:cs="Times New Roman"/>
          <w:bCs/>
          <w:sz w:val="24"/>
          <w:szCs w:val="24"/>
        </w:rPr>
        <w:sym w:font="Symbol" w:char="F0B7"/>
      </w:r>
      <w:r w:rsidRPr="001473AC">
        <w:rPr>
          <w:rFonts w:ascii="Times New Roman" w:eastAsia="+mn-ea" w:hAnsi="Times New Roman" w:cs="Times New Roman"/>
          <w:bCs/>
          <w:sz w:val="24"/>
          <w:szCs w:val="24"/>
        </w:rPr>
        <w:t>) represent the septal peptidoglycan biosynthesis machinery. Red rings represent peripheral elongation and black rings represent septal synthesis. Annular features of the peptidoglycan in dark blue include the equatorial rings identified by AFM and the cross-wall. Representative vancomycin-labelled cells accompany each diagram. The percentage of cells in each developmental stage (n=50) is shown for each ovococcus.</w:t>
      </w:r>
      <w:r>
        <w:rPr>
          <w:rFonts w:ascii="Times New Roman" w:hAnsi="Times New Roman" w:cs="Times New Roman"/>
          <w:sz w:val="24"/>
          <w:szCs w:val="24"/>
        </w:rPr>
        <w:br w:type="page"/>
      </w:r>
    </w:p>
    <w:p w:rsidR="002D7C9B" w:rsidRDefault="002D7C9B" w:rsidP="002D7C9B">
      <w:pPr>
        <w:rPr>
          <w:rFonts w:ascii="Times New Roman" w:hAnsi="Times New Roman" w:cs="Times New Roman"/>
          <w:sz w:val="28"/>
          <w:szCs w:val="28"/>
        </w:rPr>
      </w:pPr>
      <w:r w:rsidRPr="00F06EE1">
        <w:rPr>
          <w:rFonts w:ascii="Times New Roman" w:hAnsi="Times New Roman" w:cs="Times New Roman"/>
          <w:sz w:val="28"/>
          <w:szCs w:val="28"/>
        </w:rPr>
        <w:lastRenderedPageBreak/>
        <w:t>3.3</w:t>
      </w:r>
      <w:r>
        <w:rPr>
          <w:rFonts w:ascii="Times New Roman" w:hAnsi="Times New Roman" w:cs="Times New Roman"/>
          <w:sz w:val="28"/>
          <w:szCs w:val="28"/>
        </w:rPr>
        <w:tab/>
      </w:r>
      <w:r>
        <w:rPr>
          <w:rFonts w:ascii="Times New Roman" w:hAnsi="Times New Roman" w:cs="Times New Roman"/>
          <w:sz w:val="28"/>
          <w:szCs w:val="28"/>
        </w:rPr>
        <w:tab/>
        <w:t>Discussion</w:t>
      </w:r>
    </w:p>
    <w:p w:rsidR="002D7C9B" w:rsidRPr="00975625" w:rsidRDefault="002D7C9B" w:rsidP="002D7C9B">
      <w:pPr>
        <w:spacing w:after="120" w:line="480" w:lineRule="auto"/>
        <w:jc w:val="both"/>
        <w:rPr>
          <w:rFonts w:ascii="Times New Roman" w:hAnsi="Times New Roman" w:cs="Times New Roman"/>
          <w:sz w:val="24"/>
          <w:szCs w:val="24"/>
        </w:rPr>
      </w:pPr>
      <w:r w:rsidRPr="00975625">
        <w:rPr>
          <w:rFonts w:ascii="Times New Roman" w:hAnsi="Times New Roman" w:cs="Times New Roman"/>
          <w:sz w:val="24"/>
          <w:szCs w:val="24"/>
          <w:lang w:eastAsia="en-GB"/>
        </w:rPr>
        <w:t xml:space="preserve">Computational simulations based on the chain length reported for </w:t>
      </w:r>
      <w:r w:rsidRPr="00975625">
        <w:rPr>
          <w:rFonts w:ascii="Times New Roman" w:hAnsi="Times New Roman" w:cs="Times New Roman"/>
          <w:i/>
          <w:sz w:val="24"/>
          <w:szCs w:val="24"/>
          <w:lang w:eastAsia="en-GB"/>
        </w:rPr>
        <w:t>E. coli</w:t>
      </w:r>
      <w:r w:rsidRPr="00975625">
        <w:rPr>
          <w:rFonts w:ascii="Times New Roman" w:hAnsi="Times New Roman" w:cs="Times New Roman"/>
          <w:sz w:val="24"/>
          <w:szCs w:val="24"/>
          <w:lang w:eastAsia="en-GB"/>
        </w:rPr>
        <w:t xml:space="preserve"> and </w:t>
      </w:r>
      <w:r w:rsidRPr="00975625">
        <w:rPr>
          <w:rFonts w:ascii="Times New Roman" w:hAnsi="Times New Roman" w:cs="Times New Roman"/>
          <w:i/>
          <w:sz w:val="24"/>
          <w:szCs w:val="24"/>
          <w:lang w:eastAsia="en-GB"/>
        </w:rPr>
        <w:t>S. aureus</w:t>
      </w:r>
      <w:r w:rsidRPr="00975625">
        <w:rPr>
          <w:rFonts w:ascii="Times New Roman" w:hAnsi="Times New Roman" w:cs="Times New Roman"/>
          <w:sz w:val="24"/>
          <w:szCs w:val="24"/>
          <w:lang w:eastAsia="en-GB"/>
        </w:rPr>
        <w:t xml:space="preserve"> proposed a scaffold model in these organisms</w:t>
      </w:r>
      <w:r>
        <w:rPr>
          <w:rFonts w:ascii="Times New Roman" w:hAnsi="Times New Roman" w:cs="Times New Roman"/>
          <w:sz w:val="24"/>
          <w:szCs w:val="24"/>
          <w:lang w:eastAsia="en-GB"/>
        </w:rPr>
        <w:t xml:space="preserve">, in which the glycan strands are arranged perpendicular to </w:t>
      </w:r>
      <w:r w:rsidRPr="00C00F77">
        <w:rPr>
          <w:rFonts w:ascii="Times New Roman" w:hAnsi="Times New Roman" w:cs="Times New Roman"/>
          <w:color w:val="000000" w:themeColor="text1"/>
          <w:sz w:val="24"/>
          <w:szCs w:val="24"/>
          <w:lang w:eastAsia="en-GB"/>
        </w:rPr>
        <w:t xml:space="preserve">the cell membrane </w:t>
      </w:r>
      <w:r w:rsidRPr="00C00F77">
        <w:rPr>
          <w:rFonts w:ascii="Times New Roman" w:hAnsi="Times New Roman" w:cs="Times New Roman"/>
          <w:color w:val="000000" w:themeColor="text1"/>
          <w:sz w:val="24"/>
          <w:szCs w:val="24"/>
          <w:lang w:eastAsia="en-GB"/>
        </w:rPr>
        <w:fldChar w:fldCharType="begin"/>
      </w:r>
      <w:r w:rsidRPr="00C00F77">
        <w:rPr>
          <w:rFonts w:ascii="Times New Roman" w:hAnsi="Times New Roman" w:cs="Times New Roman"/>
          <w:color w:val="000000" w:themeColor="text1"/>
          <w:sz w:val="24"/>
          <w:szCs w:val="24"/>
          <w:lang w:eastAsia="en-GB"/>
        </w:rPr>
        <w:instrText xml:space="preserve"> ADDIN ZOTERO_ITEM CSL_CITATION {"citationID":"11ehfpbpfl","properties":{"formattedCitation":"(Dmitriev et al., 2003, 2004)","plainCitation":"(Dmitriev et al., 2003, 2004)"},"citationItems":[{"id":104,"uris":["http://zotero.org/users/944474/items/TJKDCBNG"],"uri":["http://zotero.org/users/944474/items/TJKDCBNG"],"itemData":{"id":104,"type":"article-journal","title":"Tertiary structure of bacterial murein: the scaffold model","container-title":"Journal of Bacteriology","page":"3458-3468","volume":"185","issue":"11","abstract":"Although the chemical structure and physical properties of peptidoglycan have been elucidated for some time, the precise three-dimensional organization of murein has remained elusive. Earlier published computer simulations of the bacterial murein architecture modeled peptidoglycan strands in either a regular (D. Pink, J. Moeller, B. Quinn, M. Jericho, and T. Beveridge, J. Bacteriol. 182: 5925-5930, 2000) or an irregular (A. Koch, J. Theor. Biol. 204: 533-541, 2000) parallel orientation with respect to the plasma membrane. However, after integrating published experimental data on glycan chain length distribution and the degree of peptide side chain cross-linking into this computer simulation, we now report that the proposed planar network of murein appears largely dysfunctional. In contrast, a scaffold model of murein architecture, which assumes that glycan strands extend perpendicularly to the plasma membrane, was found to accommodate published experimental evidence and yield a viable stress-bearing matrix. Moreover, this model is in accordance with the well-established principle of murein assembly in vivo, i.e., sequential attachment of strands to the preexisting structure. For the first time, the phenomenon of division plane alternation in dividing bacteria can be reconciled with a computer model of the molecular architecture of murein.","note":"PMID: 12754246","shortTitle":"Tertiary structure of bacterial murein","journalAbbreviation":"J. Bacteriol.","author":[{"family":"Dmitriev","given":"Boris A"},{"family":"Toukach","given":"Filip V"},{"family":"Schaper","given":"Klaus-Jürgen"},{"family":"Holst","given":"Otto"},{"family":"Rietschel","given":"Ernst T"},{"family":"Ehlers","given":"Stefan"}],"issued":{"year":2003,"month":6},"accessed":{"year":2012,"month":4,"day":2}}},{"id":105,"uris":["http://zotero.org/users/944474/items/TJQSNHHI"],"uri":["http://zotero.org/users/944474/items/TJQSNHHI"],"itemData":{"id":105,"type":"article-journal","title":"Tertiary structure of Staphylococcus aureus cell wall murein","container-title":"Journal of Bacteriology","page":"7141-7148","volume":"186","issue":"21","abstract":"The recently described scaffold model of murein architecture depicts the gram-negative bacterial cell wall as a gel-like matrix composed of cross-linked glycan strands oriented perpendicularly to the plasma membrane while peptide bridges adopt a parallel orientation (B. A. Dmitriev, F. V. Toukach, K. J. Schaper, O. Holst, E. T. Rietschel, and S. Ehlers, J. Bacteriol. 185:3458-3468, 2003). Based on the scaffold model, we now present computer simulation studies on the peptidoglycan arrangement of the gram-positive organism Staphylococcus aureus, which show that the orientation of peptide bridges is critical for the highly cross-linked murein architecture of this microorganism. According to the proposed refined model, staphylococcal murein is composed of glycan and oligopeptide chains, both running in a plane that is perpendicular to the plasma membrane, with oligopeptide chains adopting a zigzag conformation and zippering adjacent glycan strands along their lengths. In contrast to previous models of murein in gram-positive bacteria, this model reflects the high degree of cross-linking that is the hallmark of the staphylococcal cell wall and is compatible with distinguishing features of S. aureus cytokinesis such as the triple consecutive alteration of the division plane orientation and the strictly centripetal mode of septum closure.","DOI":"10.1128/JB.186.21.7141-7148.2004","note":"PMID: 15489425","journalAbbreviation":"J. Bacteriol.","author":[{"family":"Dmitriev","given":"Boris A"},{"family":"Toukach","given":"Filip V"},{"family":"Holst","given":"O"},{"family":"Rietschel","given":"E T"},{"family":"Ehlers","given":"S"}],"issued":{"year":2004,"month":11},"accessed":{"year":2012,"month":4,"day":2}}}],"schema":"https://github.com/citation-style-language/schema/raw/master/csl-citation.json"} </w:instrText>
      </w:r>
      <w:r w:rsidRPr="00C00F77">
        <w:rPr>
          <w:rFonts w:ascii="Times New Roman" w:hAnsi="Times New Roman" w:cs="Times New Roman"/>
          <w:color w:val="000000" w:themeColor="text1"/>
          <w:sz w:val="24"/>
          <w:szCs w:val="24"/>
          <w:lang w:eastAsia="en-GB"/>
        </w:rPr>
        <w:fldChar w:fldCharType="separate"/>
      </w:r>
      <w:r w:rsidRPr="00C00F77">
        <w:rPr>
          <w:rFonts w:ascii="Times New Roman" w:hAnsi="Times New Roman" w:cs="Times New Roman"/>
          <w:color w:val="000000" w:themeColor="text1"/>
          <w:sz w:val="24"/>
          <w:szCs w:val="21"/>
        </w:rPr>
        <w:t xml:space="preserve">(Dmitriev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2003, 2004)</w:t>
      </w:r>
      <w:r w:rsidRPr="00C00F77">
        <w:rPr>
          <w:rFonts w:ascii="Times New Roman" w:hAnsi="Times New Roman" w:cs="Times New Roman"/>
          <w:color w:val="000000" w:themeColor="text1"/>
          <w:sz w:val="24"/>
          <w:szCs w:val="24"/>
          <w:lang w:eastAsia="en-GB"/>
        </w:rPr>
        <w:fldChar w:fldCharType="end"/>
      </w:r>
      <w:r w:rsidRPr="00C00F77">
        <w:rPr>
          <w:rFonts w:ascii="Times New Roman" w:hAnsi="Times New Roman" w:cs="Times New Roman"/>
          <w:color w:val="000000" w:themeColor="text1"/>
          <w:sz w:val="24"/>
          <w:szCs w:val="24"/>
          <w:lang w:eastAsia="en-GB"/>
        </w:rPr>
        <w:t>. This scaffold</w:t>
      </w:r>
      <w:r w:rsidRPr="00975625">
        <w:rPr>
          <w:rFonts w:ascii="Times New Roman" w:hAnsi="Times New Roman" w:cs="Times New Roman"/>
          <w:sz w:val="24"/>
          <w:szCs w:val="24"/>
          <w:lang w:eastAsia="en-GB"/>
        </w:rPr>
        <w:t xml:space="preserve"> </w:t>
      </w:r>
      <w:r w:rsidRPr="00C00F77">
        <w:rPr>
          <w:rFonts w:ascii="Times New Roman" w:hAnsi="Times New Roman" w:cs="Times New Roman"/>
          <w:color w:val="000000" w:themeColor="text1"/>
          <w:sz w:val="24"/>
          <w:szCs w:val="24"/>
          <w:lang w:eastAsia="en-GB"/>
        </w:rPr>
        <w:t xml:space="preserve">organisation remains controversial especially in </w:t>
      </w:r>
      <w:r w:rsidRPr="00C00F77">
        <w:rPr>
          <w:rFonts w:ascii="Times New Roman" w:hAnsi="Times New Roman" w:cs="Times New Roman"/>
          <w:i/>
          <w:color w:val="000000" w:themeColor="text1"/>
          <w:sz w:val="24"/>
          <w:szCs w:val="24"/>
          <w:lang w:eastAsia="en-GB"/>
        </w:rPr>
        <w:t>E. coli</w:t>
      </w:r>
      <w:r w:rsidRPr="00C00F77">
        <w:rPr>
          <w:rFonts w:ascii="Times New Roman" w:hAnsi="Times New Roman" w:cs="Times New Roman"/>
          <w:color w:val="000000" w:themeColor="text1"/>
          <w:sz w:val="24"/>
          <w:szCs w:val="24"/>
          <w:lang w:eastAsia="en-GB"/>
        </w:rPr>
        <w:t xml:space="preserve"> where most of the glycan chains have a length of 20 to 25 disaccharides </w:t>
      </w:r>
      <w:r w:rsidRPr="00C00F77">
        <w:rPr>
          <w:rFonts w:ascii="Times New Roman" w:hAnsi="Times New Roman" w:cs="Times New Roman"/>
          <w:color w:val="000000" w:themeColor="text1"/>
          <w:sz w:val="24"/>
          <w:szCs w:val="24"/>
          <w:lang w:eastAsia="en-GB"/>
        </w:rPr>
        <w:fldChar w:fldCharType="begin"/>
      </w:r>
      <w:r w:rsidRPr="00C00F77">
        <w:rPr>
          <w:rFonts w:ascii="Times New Roman" w:hAnsi="Times New Roman" w:cs="Times New Roman"/>
          <w:color w:val="000000" w:themeColor="text1"/>
          <w:sz w:val="24"/>
          <w:szCs w:val="24"/>
          <w:lang w:eastAsia="en-GB"/>
        </w:rPr>
        <w:instrText xml:space="preserve"> ADDIN ZOTERO_ITEM CSL_CITATION {"citationID":"dtjqv6077","properties":{"formattedCitation":"{\\rtf (Vollmer and H\\uc0\\u246{}ltje, 2004)}","plainCitation":"(Vollmer and Höltje, 2004)"},"citationItems":[{"id":109,"uris":["http://zotero.org/users/944474/items/4MH2TFX5"],"uri":["http://zotero.org/users/944474/items/4MH2TFX5"],"itemData":{"id":109,"type":"article-journal","title":"The architecture of the murein (peptidoglycan) in gram-negative bacteria: vertical scaffold or horizontal layer(s)?","container-title":"Journal of Bacteriology","page":"5978-5987","volume":"186","issue":"18","DOI":"10.1128/JB.186.18.5978-5987.2004","note":"PMID: 15342566","shortTitle":"The architecture of the murein (peptidoglycan) in gram-negative bacteria","journalAbbreviation":"J. Bacteriol.","author":[{"family":"Vollmer","given":"Waldemar"},{"family":"Höltje","given":"Joachim-Volker"}],"issued":{"year":2004,"month":9},"accessed":{"year":2012,"month":4,"day":2}}}],"schema":"https://github.com/citation-style-language/schema/raw/master/csl-citation.json"} </w:instrText>
      </w:r>
      <w:r w:rsidRPr="00C00F77">
        <w:rPr>
          <w:rFonts w:ascii="Times New Roman" w:hAnsi="Times New Roman" w:cs="Times New Roman"/>
          <w:color w:val="000000" w:themeColor="text1"/>
          <w:sz w:val="24"/>
          <w:szCs w:val="24"/>
          <w:lang w:eastAsia="en-GB"/>
        </w:rPr>
        <w:fldChar w:fldCharType="separate"/>
      </w:r>
      <w:r w:rsidRPr="00C00F77">
        <w:rPr>
          <w:rFonts w:ascii="Times New Roman" w:hAnsi="Times New Roman" w:cs="Times New Roman"/>
          <w:color w:val="000000" w:themeColor="text1"/>
          <w:sz w:val="24"/>
          <w:szCs w:val="24"/>
        </w:rPr>
        <w:t>(Vollmer and Höltje, 2004)</w:t>
      </w:r>
      <w:r w:rsidRPr="00C00F77">
        <w:rPr>
          <w:rFonts w:ascii="Times New Roman" w:hAnsi="Times New Roman" w:cs="Times New Roman"/>
          <w:color w:val="000000" w:themeColor="text1"/>
          <w:sz w:val="24"/>
          <w:szCs w:val="24"/>
          <w:lang w:eastAsia="en-GB"/>
        </w:rPr>
        <w:fldChar w:fldCharType="end"/>
      </w:r>
      <w:r w:rsidRPr="00C00F77">
        <w:rPr>
          <w:rFonts w:ascii="Times New Roman" w:hAnsi="Times New Roman" w:cs="Times New Roman"/>
          <w:color w:val="000000" w:themeColor="text1"/>
          <w:sz w:val="24"/>
          <w:szCs w:val="24"/>
          <w:lang w:eastAsia="en-GB"/>
        </w:rPr>
        <w:t>, which is inconsistent with the proposed architecture. Whether the scaffold model can be applied to other bacteria is unknown. To address this issue, we investigated the chain length of the glycan strands, a major</w:t>
      </w:r>
      <w:r w:rsidRPr="00C00F77">
        <w:rPr>
          <w:rFonts w:ascii="Times New Roman" w:eastAsia="Calibri" w:hAnsi="Times New Roman" w:cs="Times New Roman"/>
          <w:color w:val="000000" w:themeColor="text1"/>
          <w:sz w:val="24"/>
          <w:szCs w:val="24"/>
        </w:rPr>
        <w:t xml:space="preserve"> </w:t>
      </w:r>
      <w:r w:rsidRPr="00C00F77">
        <w:rPr>
          <w:rFonts w:ascii="Times New Roman" w:hAnsi="Times New Roman" w:cs="Times New Roman"/>
          <w:color w:val="000000" w:themeColor="text1"/>
          <w:sz w:val="24"/>
          <w:szCs w:val="24"/>
          <w:lang w:eastAsia="en-GB"/>
        </w:rPr>
        <w:t xml:space="preserve">constraint on peptidoglycan architecture, in three ovococci. Several approaches have been previously described to determine glycan chain length </w:t>
      </w:r>
      <w:r w:rsidRPr="00C00F77">
        <w:rPr>
          <w:rFonts w:ascii="Times New Roman" w:hAnsi="Times New Roman" w:cs="Times New Roman"/>
          <w:color w:val="000000" w:themeColor="text1"/>
          <w:sz w:val="24"/>
          <w:szCs w:val="24"/>
          <w:lang w:eastAsia="en-GB"/>
        </w:rPr>
        <w:fldChar w:fldCharType="begin"/>
      </w:r>
      <w:r w:rsidRPr="00C00F77">
        <w:rPr>
          <w:rFonts w:ascii="Times New Roman" w:hAnsi="Times New Roman" w:cs="Times New Roman"/>
          <w:color w:val="000000" w:themeColor="text1"/>
          <w:sz w:val="24"/>
          <w:szCs w:val="24"/>
          <w:lang w:eastAsia="en-GB"/>
        </w:rPr>
        <w:instrText xml:space="preserve"> ADDIN ZOTERO_ITEM CSL_CITATION {"citationID":"2i565tp0c","properties":{"formattedCitation":"(Ward, 1973; Glauner, 1988; Boneca et al., 2000)","plainCitation":"(Ward, 1973; Glauner, 1988; Boneca et al., 2000)"},"citationItems":[{"id":112,"uris":["http://zotero.org/users/944474/items/NRGEXZAR"],"uri":["http://zotero.org/users/944474/items/NRGEXZAR"],"itemData":{"id":112,"type":"article-journal","title":"The chain length of the glycans in bacterial cell walls","container-title":"The Biochemical Journal","page":"395-398","volume":"133","issue":"2","abstract":"The glycan chain length of peptidoglycan was measured by reduction with NaB(3)H(4) and isolation of the resulting muramitol, indicative of the length of the chains as biosynthesized, and glucosaminol, which measured the length of the chains after rupture by endo-beta-N-acetylglucosaminidases. Measurement of the non-reducing terminal N-acetylglucosamine by Smith degradation confirmed the result.","note":"PMID: 4198851","journalAbbreviation":"Biochem. J.","author":[{"family":"Ward","given":"J B"}],"issued":{"year":1973,"month":6},"accessed":{"year":2012,"month":4,"day":2}}},{"id":110,"uris":["http://zotero.org/users/944474/items/TJR5PQD9"],"uri":["http://zotero.org/users/944474/items/TJR5PQD9"],"itemData":{"id":110,"type":"article-journal","title":"Separation and quantification of muropeptides with high-performance liquid chromatography","container-title":"Analytical Biochemistry","page":"451-464","volume":"172","issue":"2","abstract":"About 80 different muropeptides, the subunits which comprise the polymer murein of Escherichia coli, were resolved by high-performance liquid chromatography. The muropeptides were released from isolated murein by complete digestion with muramidase from Chalaropsis spec. The separation method is based on reversed phase chromatography of the sodium borohydride-reduced compounds using ODS (C18) columns and a linear gradient elution with sodium phosphate buffer and methanol as organic modifier. The effect of temperature, pH, ionic strength, and the steepness of the gradient and of different support materials on the separation of the muropeptides was investigated. The new method represents a major improvement over previous methods with respect to resolution, sensitivity, and speed. Analytical as well as preparative separations can be realized. Quantitative analysis of murein composition is achieved by a linear gradient from 50 mM sodium phosphate, pH 4.31, to 75 mM sodium phosphate, pH 4.95, containing 15% methanol for 135 min on a 250 X 4.6 mm 3-micron Hypersil ODS column at 55 degrees C using a flow rate of 0.5 ml/min. With uv detection at 205 nm about 20 micrograms of murein per analysis is sufficient. The detection limit per compound is about 5 ng. A method for the evaluation of the analytical data allowing a convenient comparison of different muropeptide pattern is described.","note":"PMID: 3056100","journalAbbreviation":"Anal. Biochem.","author":[{"family":"Glauner","given":"B"}],"issued":{"year":1988,"month":8,"day":1},"accessed":{"year":2012,"month":4,"day":2}}},{"id":7,"uris":["http://zotero.org/users/944474/items/AQ75H8SX"],"uri":["http://zotero.org/users/944474/items/AQ75H8SX"],"itemData":{"id":7,"type":"article-journal","title":"Characterization of Staphylococcus aureus cell wall glycan strands, evidence for a new beta-N-acetylglucosaminidase activity","container-title":"The Journal of Biological Chemistry","page":"9910-9918","volume":"275","issue":"14","abstract":"Using sequential digestion with the glycyl-glycine endopeptidase lysostaphin followed by the pneumococcal N-acetylmuramyl-L-alanine amidase (amidase), the glycan strands of the peptidoglycan of Staphylococcus aureus were purified and analyzed by a combination of reverse-phase-high pressure liquid chromatography (HPLC) and mass spectrometry. Reverse-phase-HPLC resolved the glycan strands to a family of major peaks, which represented oligosaccharides composed of repeating disaccharide units (N-acetylglucosamine-[beta-1, 4]-N-acetylmuramic acid) with different degrees of polymerization and terminating with N-acetylmuramic acid residues at the reducing ends. The method allowed separation of strands up to 23-26 disaccharide units with a predominant length between 3 and 10 and an average degree of polymerization of approximately 6. Glycan strands with a higher degree of polymerization (&gt;26 disaccharide units) represented 10-15% of the total UV absorbing glycan material. A unique feature of the staphylococcal glycan strands was the presence of minor satellite peaks that were present throughout the HPLC elution profile eluting either just prior or shortly after the major oligosaccharide peaks. A number of observations including mass spectrometric analysis suggest that the satellites are the products of an N-acetylglucosaminidase activity that differs from the atl gene product and that appears to be involved with modification of the glycan strand structure.","note":"PMID: 10744664","journalAbbreviation":"J. Biol. Chem.","author":[{"family":"Boneca","given":"I G"},{"family":"Huang","given":"Z H"},{"family":"Gage","given":"D A"},{"family":"Tomasz","given":"A"}],"issued":{"year":2000,"month":4,"day":7},"accessed":{"year":2012,"month":3,"day":6}}}],"schema":"https://github.com/citation-style-language/schema/raw/master/csl-citation.json"} </w:instrText>
      </w:r>
      <w:r w:rsidRPr="00C00F77">
        <w:rPr>
          <w:rFonts w:ascii="Times New Roman" w:hAnsi="Times New Roman" w:cs="Times New Roman"/>
          <w:color w:val="000000" w:themeColor="text1"/>
          <w:sz w:val="24"/>
          <w:szCs w:val="24"/>
          <w:lang w:eastAsia="en-GB"/>
        </w:rPr>
        <w:fldChar w:fldCharType="separate"/>
      </w:r>
      <w:r w:rsidRPr="00C00F77">
        <w:rPr>
          <w:rFonts w:ascii="Times New Roman" w:hAnsi="Times New Roman" w:cs="Times New Roman"/>
          <w:color w:val="000000" w:themeColor="text1"/>
          <w:sz w:val="24"/>
          <w:szCs w:val="21"/>
        </w:rPr>
        <w:t xml:space="preserve">(Ward, 1973; Glauner, 1988; Boneca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2000)</w:t>
      </w:r>
      <w:r w:rsidRPr="00C00F77">
        <w:rPr>
          <w:rFonts w:ascii="Times New Roman" w:hAnsi="Times New Roman" w:cs="Times New Roman"/>
          <w:color w:val="000000" w:themeColor="text1"/>
          <w:sz w:val="24"/>
          <w:szCs w:val="24"/>
          <w:lang w:eastAsia="en-GB"/>
        </w:rPr>
        <w:fldChar w:fldCharType="end"/>
      </w:r>
      <w:r w:rsidRPr="00C00F77">
        <w:rPr>
          <w:rFonts w:ascii="Times New Roman" w:hAnsi="Times New Roman" w:cs="Times New Roman"/>
          <w:color w:val="000000" w:themeColor="text1"/>
          <w:sz w:val="24"/>
          <w:szCs w:val="24"/>
          <w:lang w:eastAsia="en-GB"/>
        </w:rPr>
        <w:t xml:space="preserve">. Unfortunately, each of these methods introduces bias </w:t>
      </w:r>
      <w:r w:rsidRPr="00C00F77">
        <w:rPr>
          <w:rFonts w:ascii="Times New Roman" w:hAnsi="Times New Roman" w:cs="Times New Roman"/>
          <w:color w:val="000000" w:themeColor="text1"/>
          <w:sz w:val="24"/>
          <w:szCs w:val="24"/>
          <w:lang w:eastAsia="en-GB"/>
        </w:rPr>
        <w:fldChar w:fldCharType="begin"/>
      </w:r>
      <w:r w:rsidRPr="00C00F77">
        <w:rPr>
          <w:rFonts w:ascii="Times New Roman" w:hAnsi="Times New Roman" w:cs="Times New Roman"/>
          <w:color w:val="000000" w:themeColor="text1"/>
          <w:sz w:val="24"/>
          <w:szCs w:val="24"/>
          <w:lang w:eastAsia="en-GB"/>
        </w:rPr>
        <w:instrText xml:space="preserve"> ADDIN ZOTERO_ITEM CSL_CITATION {"citationID":"1jeel91aku","properties":{"formattedCitation":"(Vollmer, 2008)","plainCitation":"(Vollmer, 2008)"},"citationItems":[{"id":113,"uris":["http://zotero.org/users/944474/items/7M9T2M32"],"uri":["http://zotero.org/users/944474/items/7M9T2M32"],"itemData":{"id":113,"type":"article-journal","title":"Structural variation in the glycan strands of bacterial peptidoglycan","container-title":"FEMS Microbiology Reviews","page":"287-306","volume":"32","issue":"2","abstract":"The normal, unmodified glycan strands of bacterial peptidoglycan consist of alternating residues of beta-1,4-linked N-acetylmuramic acid and N-acetylglucosamine. In many species the glycan strands become modified after their insertion into the cell wall. This review describes the structure of secondary modifications and of attachment sites of surface polymers in the glycan strands of peptidoglycan. It also provides an overview of the occurrence of these modifications in various bacterial species. Recently, enzymes responsible for the N-deacetylation, N-glycolylation and O-acetylation of the glycan strands were identified. The presence of these modifications affects the hydrolysis of peptidoglycan and its enlargement during cell growth. Glycan strands are frequently deacetylated and/or O-acetylated in pathogenic species. These alterations affect the recognition of bacteria by host factors, and contribute to the resistance of bacteria to host defence factors such as lysozyme.","DOI":"10.1111/j.1574-6976.2007.00088.x","note":"PMID: 18070068","journalAbbreviation":"FEMS Microbiol. Rev.","author":[{"family":"Vollmer","given":"Waldemar"}],"issued":{"year":2008,"month":3},"accessed":{"year":2012,"month":4,"day":2}}}],"schema":"https://github.com/citation-style-language/schema/raw/master/csl-citation.json"} </w:instrText>
      </w:r>
      <w:r w:rsidRPr="00C00F77">
        <w:rPr>
          <w:rFonts w:ascii="Times New Roman" w:hAnsi="Times New Roman" w:cs="Times New Roman"/>
          <w:color w:val="000000" w:themeColor="text1"/>
          <w:sz w:val="24"/>
          <w:szCs w:val="24"/>
          <w:lang w:eastAsia="en-GB"/>
        </w:rPr>
        <w:fldChar w:fldCharType="separate"/>
      </w:r>
      <w:r w:rsidRPr="00C00F77">
        <w:rPr>
          <w:rFonts w:ascii="Times New Roman" w:hAnsi="Times New Roman" w:cs="Times New Roman"/>
          <w:color w:val="000000" w:themeColor="text1"/>
          <w:sz w:val="24"/>
          <w:szCs w:val="21"/>
        </w:rPr>
        <w:t>(Vollmer, 2008)</w:t>
      </w:r>
      <w:r w:rsidRPr="00C00F77">
        <w:rPr>
          <w:rFonts w:ascii="Times New Roman" w:hAnsi="Times New Roman" w:cs="Times New Roman"/>
          <w:color w:val="000000" w:themeColor="text1"/>
          <w:sz w:val="24"/>
          <w:szCs w:val="24"/>
          <w:lang w:eastAsia="en-GB"/>
        </w:rPr>
        <w:fldChar w:fldCharType="end"/>
      </w:r>
      <w:r w:rsidRPr="00C00F77">
        <w:rPr>
          <w:rFonts w:ascii="Times New Roman" w:hAnsi="Times New Roman" w:cs="Times New Roman"/>
          <w:color w:val="000000" w:themeColor="text1"/>
          <w:sz w:val="24"/>
          <w:szCs w:val="24"/>
          <w:lang w:eastAsia="en-GB"/>
        </w:rPr>
        <w:t xml:space="preserve"> or resolves a limited range of strand sizes. For example, rp-HPLC resolved short glycan strands in </w:t>
      </w:r>
      <w:r w:rsidRPr="00C00F77">
        <w:rPr>
          <w:rFonts w:ascii="Times New Roman" w:hAnsi="Times New Roman" w:cs="Times New Roman"/>
          <w:i/>
          <w:color w:val="000000" w:themeColor="text1"/>
          <w:sz w:val="24"/>
          <w:szCs w:val="24"/>
          <w:lang w:eastAsia="en-GB"/>
        </w:rPr>
        <w:t>S. aureus</w:t>
      </w:r>
      <w:r w:rsidRPr="00C00F77">
        <w:rPr>
          <w:rFonts w:ascii="Times New Roman" w:hAnsi="Times New Roman" w:cs="Times New Roman"/>
          <w:color w:val="000000" w:themeColor="text1"/>
          <w:sz w:val="24"/>
          <w:szCs w:val="24"/>
          <w:lang w:eastAsia="en-GB"/>
        </w:rPr>
        <w:t xml:space="preserve"> and </w:t>
      </w:r>
      <w:r w:rsidRPr="00C00F77">
        <w:rPr>
          <w:rFonts w:ascii="Times New Roman" w:hAnsi="Times New Roman" w:cs="Times New Roman"/>
          <w:i/>
          <w:color w:val="000000" w:themeColor="text1"/>
          <w:sz w:val="24"/>
          <w:szCs w:val="24"/>
          <w:lang w:eastAsia="en-GB"/>
        </w:rPr>
        <w:t>E. coli</w:t>
      </w:r>
      <w:r w:rsidRPr="00C00F77">
        <w:rPr>
          <w:rFonts w:ascii="Times New Roman" w:hAnsi="Times New Roman" w:cs="Times New Roman"/>
          <w:color w:val="000000" w:themeColor="text1"/>
          <w:sz w:val="24"/>
          <w:szCs w:val="24"/>
          <w:lang w:eastAsia="en-GB"/>
        </w:rPr>
        <w:t xml:space="preserve">, but was inadequate in the case of </w:t>
      </w:r>
      <w:r w:rsidRPr="00C00F77">
        <w:rPr>
          <w:rFonts w:ascii="Times New Roman" w:hAnsi="Times New Roman" w:cs="Times New Roman"/>
          <w:i/>
          <w:color w:val="000000" w:themeColor="text1"/>
          <w:sz w:val="24"/>
          <w:szCs w:val="24"/>
          <w:lang w:eastAsia="en-GB"/>
        </w:rPr>
        <w:t>B. subtilis</w:t>
      </w:r>
      <w:r w:rsidRPr="00C00F77">
        <w:rPr>
          <w:rFonts w:ascii="Times New Roman" w:hAnsi="Times New Roman" w:cs="Times New Roman"/>
          <w:color w:val="000000" w:themeColor="text1"/>
          <w:sz w:val="24"/>
          <w:szCs w:val="24"/>
          <w:lang w:eastAsia="en-GB"/>
        </w:rPr>
        <w:t xml:space="preserve">. More recently, a size-exclusion chromatography strategy was developed to reveal the glycan chain distribution in </w:t>
      </w:r>
      <w:r w:rsidRPr="00C00F77">
        <w:rPr>
          <w:rFonts w:ascii="Times New Roman" w:hAnsi="Times New Roman" w:cs="Times New Roman"/>
          <w:i/>
          <w:color w:val="000000" w:themeColor="text1"/>
          <w:sz w:val="24"/>
          <w:szCs w:val="24"/>
          <w:lang w:eastAsia="en-GB"/>
        </w:rPr>
        <w:t xml:space="preserve">B. subtilis </w:t>
      </w:r>
      <w:r w:rsidRPr="00C00F77">
        <w:rPr>
          <w:rFonts w:ascii="Times New Roman" w:hAnsi="Times New Roman" w:cs="Times New Roman"/>
          <w:i/>
          <w:color w:val="000000" w:themeColor="text1"/>
          <w:sz w:val="24"/>
          <w:szCs w:val="24"/>
          <w:lang w:eastAsia="en-GB"/>
        </w:rPr>
        <w:fldChar w:fldCharType="begin"/>
      </w:r>
      <w:r w:rsidRPr="00C00F77">
        <w:rPr>
          <w:rFonts w:ascii="Times New Roman" w:hAnsi="Times New Roman" w:cs="Times New Roman"/>
          <w:i/>
          <w:color w:val="000000" w:themeColor="text1"/>
          <w:sz w:val="24"/>
          <w:szCs w:val="24"/>
          <w:lang w:eastAsia="en-GB"/>
        </w:rPr>
        <w:instrText xml:space="preserve"> ADDIN ZOTERO_ITEM CSL_CITATION {"citationID":"ff91obhdh","properties":{"formattedCitation":"(Hayhurst et al., 2008)","plainCitation":"(Hayhurst et al., 2008)"},"citationItems":[{"id":77,"uris":["http://zotero.org/users/944474/items/Z6IUFDEB"],"uri":["http://zotero.org/users/944474/items/Z6IUFDEB"],"itemData":{"id":77,"type":"article-journal","title":"Cell wall peptidoglycan architecture in Bacillus subtilis","container-title":"Proceedings of the National Academy of Sciences of the United States of America","page":"14603-14608","volume":"105","issue":"38","abstract":"The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polymer.","DOI":"10.1073/pnas.0804138105","note":"PMID: 18784364","journalAbbreviation":"Proc. Natl. Acad. Sci. U.S.A.","author":[{"family":"Hayhurst","given":"Emma J"},{"family":"Kailas","given":"Lekshmi"},{"family":"Hobbs","given":"Jamie K"},{"family":"Foster","given":"Simon J"}],"issued":{"year":2008,"month":9,"day":23},"accessed":{"year":2012,"month":3,"day":7}}}],"schema":"https://github.com/citation-style-language/schema/raw/master/csl-citation.json"} </w:instrText>
      </w:r>
      <w:r w:rsidRPr="00C00F77">
        <w:rPr>
          <w:rFonts w:ascii="Times New Roman" w:hAnsi="Times New Roman" w:cs="Times New Roman"/>
          <w:i/>
          <w:color w:val="000000" w:themeColor="text1"/>
          <w:sz w:val="24"/>
          <w:szCs w:val="24"/>
          <w:lang w:eastAsia="en-GB"/>
        </w:rPr>
        <w:fldChar w:fldCharType="separate"/>
      </w:r>
      <w:r w:rsidRPr="00C00F77">
        <w:rPr>
          <w:rFonts w:ascii="Times New Roman" w:hAnsi="Times New Roman" w:cs="Times New Roman"/>
          <w:color w:val="000000" w:themeColor="text1"/>
          <w:sz w:val="24"/>
          <w:szCs w:val="21"/>
        </w:rPr>
        <w:t xml:space="preserve">(Hayhurst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2008)</w:t>
      </w:r>
      <w:r w:rsidRPr="00C00F77">
        <w:rPr>
          <w:rFonts w:ascii="Times New Roman" w:hAnsi="Times New Roman" w:cs="Times New Roman"/>
          <w:i/>
          <w:color w:val="000000" w:themeColor="text1"/>
          <w:sz w:val="24"/>
          <w:szCs w:val="24"/>
          <w:lang w:eastAsia="en-GB"/>
        </w:rPr>
        <w:fldChar w:fldCharType="end"/>
      </w:r>
      <w:r w:rsidRPr="00C00F77">
        <w:rPr>
          <w:rFonts w:ascii="Times New Roman" w:hAnsi="Times New Roman" w:cs="Times New Roman"/>
          <w:color w:val="000000" w:themeColor="text1"/>
          <w:sz w:val="24"/>
          <w:szCs w:val="24"/>
          <w:lang w:eastAsia="en-GB"/>
        </w:rPr>
        <w:t>. We applied a similar strategy to re-evaluate the entire complexity of chain sizes in Gram-positive bacteria, using two size-exclusion columns with distinct resolution ranges. We used dextran molecules as standards to emulate the glycan backbone, assuming that their low level of branching has a marginal impact on their retention time (</w:t>
      </w:r>
      <w:r>
        <w:rPr>
          <w:rFonts w:ascii="Times New Roman" w:hAnsi="Times New Roman" w:cs="Times New Roman"/>
          <w:color w:val="000000" w:themeColor="text1"/>
          <w:sz w:val="24"/>
          <w:szCs w:val="24"/>
          <w:lang w:eastAsia="en-GB"/>
        </w:rPr>
        <w:t>Figure 3.4</w:t>
      </w:r>
      <w:r w:rsidRPr="00C00F77">
        <w:rPr>
          <w:rFonts w:ascii="Times New Roman" w:hAnsi="Times New Roman" w:cs="Times New Roman"/>
          <w:color w:val="000000" w:themeColor="text1"/>
          <w:sz w:val="24"/>
          <w:szCs w:val="24"/>
          <w:lang w:eastAsia="en-GB"/>
        </w:rPr>
        <w:t xml:space="preserve">A and B). Using </w:t>
      </w:r>
      <w:r w:rsidRPr="00C00F77">
        <w:rPr>
          <w:rFonts w:ascii="Times New Roman" w:hAnsi="Times New Roman" w:cs="Times New Roman"/>
          <w:i/>
          <w:color w:val="000000" w:themeColor="text1"/>
          <w:sz w:val="24"/>
          <w:szCs w:val="24"/>
          <w:lang w:eastAsia="en-GB"/>
        </w:rPr>
        <w:t>S. aureus</w:t>
      </w:r>
      <w:r w:rsidRPr="00C00F77">
        <w:rPr>
          <w:rFonts w:ascii="Times New Roman" w:hAnsi="Times New Roman" w:cs="Times New Roman"/>
          <w:color w:val="000000" w:themeColor="text1"/>
          <w:sz w:val="24"/>
          <w:szCs w:val="24"/>
          <w:lang w:eastAsia="en-GB"/>
        </w:rPr>
        <w:t>, we found that strand size peaked between 5 and 10 disaccharides (</w:t>
      </w:r>
      <w:r>
        <w:rPr>
          <w:rFonts w:ascii="Times New Roman" w:hAnsi="Times New Roman" w:cs="Times New Roman"/>
          <w:color w:val="000000" w:themeColor="text1"/>
          <w:sz w:val="24"/>
          <w:szCs w:val="24"/>
          <w:lang w:eastAsia="en-GB"/>
        </w:rPr>
        <w:t>Figure 3.5</w:t>
      </w:r>
      <w:r w:rsidRPr="00C00F77">
        <w:rPr>
          <w:rFonts w:ascii="Times New Roman" w:hAnsi="Times New Roman" w:cs="Times New Roman"/>
          <w:color w:val="000000" w:themeColor="text1"/>
          <w:sz w:val="24"/>
          <w:szCs w:val="24"/>
          <w:lang w:eastAsia="en-GB"/>
        </w:rPr>
        <w:t>B)</w:t>
      </w:r>
      <w:r w:rsidRPr="00C00F77">
        <w:rPr>
          <w:rFonts w:ascii="Times New Roman" w:hAnsi="Times New Roman" w:cs="Times New Roman"/>
          <w:color w:val="000000" w:themeColor="text1"/>
          <w:sz w:val="24"/>
          <w:szCs w:val="24"/>
        </w:rPr>
        <w:t xml:space="preserve">. This is in </w:t>
      </w:r>
      <w:r w:rsidRPr="00C00F77">
        <w:rPr>
          <w:rFonts w:ascii="Times New Roman" w:hAnsi="Times New Roman" w:cs="Times New Roman"/>
          <w:color w:val="000000" w:themeColor="text1"/>
          <w:sz w:val="24"/>
          <w:szCs w:val="24"/>
          <w:lang w:eastAsia="en-GB"/>
        </w:rPr>
        <w:t>agreement with previous rp-HPLC results,</w:t>
      </w:r>
      <w:r w:rsidRPr="00C00F77">
        <w:rPr>
          <w:rFonts w:ascii="Times New Roman" w:hAnsi="Times New Roman" w:cs="Times New Roman"/>
          <w:color w:val="000000" w:themeColor="text1"/>
          <w:sz w:val="24"/>
          <w:szCs w:val="24"/>
        </w:rPr>
        <w:t xml:space="preserve"> which reported a predominant length between 3 and 10 disaccharides </w:t>
      </w:r>
      <w:r w:rsidRPr="00C00F77">
        <w:rPr>
          <w:rFonts w:ascii="Times New Roman" w:hAnsi="Times New Roman" w:cs="Times New Roman"/>
          <w:color w:val="000000" w:themeColor="text1"/>
          <w:sz w:val="24"/>
          <w:szCs w:val="24"/>
        </w:rPr>
        <w:fldChar w:fldCharType="begin"/>
      </w:r>
      <w:r w:rsidRPr="00C00F77">
        <w:rPr>
          <w:rFonts w:ascii="Times New Roman" w:hAnsi="Times New Roman" w:cs="Times New Roman"/>
          <w:color w:val="000000" w:themeColor="text1"/>
          <w:sz w:val="24"/>
          <w:szCs w:val="24"/>
        </w:rPr>
        <w:instrText xml:space="preserve"> ADDIN ZOTERO_ITEM CSL_CITATION {"citationID":"159nc8re4e","properties":{"formattedCitation":"(Boneca et al., 2000)","plainCitation":"(Boneca et al., 2000)"},"citationItems":[{"id":7,"uris":["http://zotero.org/users/944474/items/AQ75H8SX"],"uri":["http://zotero.org/users/944474/items/AQ75H8SX"],"itemData":{"id":7,"type":"article-journal","title":"Characterization of Staphylococcus aureus cell wall glycan strands, evidence for a new beta-N-acetylglucosaminidase activity","container-title":"The Journal of Biological Chemistry","page":"9910-9918","volume":"275","issue":"14","abstract":"Using sequential digestion with the glycyl-glycine endopeptidase lysostaphin followed by the pneumococcal N-acetylmuramyl-L-alanine amidase (amidase), the glycan strands of the peptidoglycan of Staphylococcus aureus were purified and analyzed by a combination of reverse-phase-high pressure liquid chromatography (HPLC) and mass spectrometry. Reverse-phase-HPLC resolved the glycan strands to a family of major peaks, which represented oligosaccharides composed of repeating disaccharide units (N-acetylglucosamine-[beta-1, 4]-N-acetylmuramic acid) with different degrees of polymerization and terminating with N-acetylmuramic acid residues at the reducing ends. The method allowed separation of strands up to 23-26 disaccharide units with a predominant length between 3 and 10 and an average degree of polymerization of approximately 6. Glycan strands with a higher degree of polymerization (&gt;26 disaccharide units) represented 10-15% of the total UV absorbing glycan material. A unique feature of the staphylococcal glycan strands was the presence of minor satellite peaks that were present throughout the HPLC elution profile eluting either just prior or shortly after the major oligosaccharide peaks. A number of observations including mass spectrometric analysis suggest that the satellites are the products of an N-acetylglucosaminidase activity that differs from the atl gene product and that appears to be involved with modification of the glycan strand structure.","note":"PMID: 10744664","journalAbbreviation":"J. Biol. Chem.","author":[{"family":"Boneca","given":"I G"},{"family":"Huang","given":"Z H"},{"family":"Gage","given":"D A"},{"family":"Tomasz","given":"A"}],"issued":{"year":2000,"month":4,"day":7},"accessed":{"year":2012,"month":3,"day":6}}}],"schema":"https://github.com/citation-style-language/schema/raw/master/csl-citation.json"} </w:instrText>
      </w:r>
      <w:r w:rsidRPr="00C00F77">
        <w:rPr>
          <w:rFonts w:ascii="Times New Roman" w:hAnsi="Times New Roman" w:cs="Times New Roman"/>
          <w:color w:val="000000" w:themeColor="text1"/>
          <w:sz w:val="24"/>
          <w:szCs w:val="24"/>
        </w:rPr>
        <w:fldChar w:fldCharType="separate"/>
      </w:r>
      <w:r w:rsidRPr="00C00F77">
        <w:rPr>
          <w:rFonts w:ascii="Times New Roman" w:hAnsi="Times New Roman" w:cs="Times New Roman"/>
          <w:color w:val="000000" w:themeColor="text1"/>
          <w:sz w:val="24"/>
          <w:szCs w:val="21"/>
        </w:rPr>
        <w:t xml:space="preserve">(Boneca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2000)</w:t>
      </w:r>
      <w:r w:rsidRPr="00C00F77">
        <w:rPr>
          <w:rFonts w:ascii="Times New Roman" w:hAnsi="Times New Roman" w:cs="Times New Roman"/>
          <w:color w:val="000000" w:themeColor="text1"/>
          <w:sz w:val="24"/>
          <w:szCs w:val="24"/>
        </w:rPr>
        <w:fldChar w:fldCharType="end"/>
      </w:r>
      <w:r w:rsidRPr="00C00F77">
        <w:rPr>
          <w:rFonts w:ascii="Times New Roman" w:hAnsi="Times New Roman" w:cs="Times New Roman"/>
          <w:color w:val="000000" w:themeColor="text1"/>
          <w:sz w:val="24"/>
          <w:szCs w:val="24"/>
          <w:lang w:eastAsia="en-GB"/>
        </w:rPr>
        <w:t xml:space="preserve">. </w:t>
      </w:r>
      <w:r w:rsidRPr="00C00F77">
        <w:rPr>
          <w:rFonts w:ascii="Times New Roman" w:hAnsi="Times New Roman" w:cs="Times New Roman"/>
          <w:color w:val="000000" w:themeColor="text1"/>
          <w:sz w:val="24"/>
          <w:szCs w:val="24"/>
        </w:rPr>
        <w:t xml:space="preserve">All ovococci contained much longer glycan strands than those found in </w:t>
      </w:r>
      <w:r w:rsidRPr="00C00F77">
        <w:rPr>
          <w:rFonts w:ascii="Times New Roman" w:hAnsi="Times New Roman" w:cs="Times New Roman"/>
          <w:i/>
          <w:color w:val="000000" w:themeColor="text1"/>
          <w:sz w:val="24"/>
          <w:szCs w:val="24"/>
        </w:rPr>
        <w:t>S. aureus</w:t>
      </w:r>
      <w:r w:rsidRPr="00C00F77">
        <w:rPr>
          <w:rFonts w:ascii="Times New Roman" w:hAnsi="Times New Roman" w:cs="Times New Roman"/>
          <w:color w:val="000000" w:themeColor="text1"/>
          <w:sz w:val="24"/>
          <w:szCs w:val="24"/>
        </w:rPr>
        <w:t xml:space="preserve">. In fact, the glycan length distribution in ovococci was virtually identical to that of </w:t>
      </w:r>
      <w:r w:rsidRPr="00C00F77">
        <w:rPr>
          <w:rFonts w:ascii="Times New Roman" w:hAnsi="Times New Roman" w:cs="Times New Roman"/>
          <w:i/>
          <w:color w:val="000000" w:themeColor="text1"/>
          <w:sz w:val="24"/>
          <w:szCs w:val="24"/>
        </w:rPr>
        <w:t>B. subtilis</w:t>
      </w:r>
      <w:r w:rsidRPr="00C00F77">
        <w:rPr>
          <w:rFonts w:ascii="Times New Roman" w:hAnsi="Times New Roman" w:cs="Times New Roman"/>
          <w:color w:val="000000" w:themeColor="text1"/>
          <w:sz w:val="24"/>
          <w:szCs w:val="24"/>
        </w:rPr>
        <w:t xml:space="preserve">, which has markedly long strands </w:t>
      </w:r>
      <w:r w:rsidRPr="00C00F77">
        <w:rPr>
          <w:rFonts w:ascii="Times New Roman" w:hAnsi="Times New Roman" w:cs="Times New Roman"/>
          <w:color w:val="000000" w:themeColor="text1"/>
          <w:sz w:val="24"/>
          <w:szCs w:val="24"/>
        </w:rPr>
        <w:fldChar w:fldCharType="begin"/>
      </w:r>
      <w:r w:rsidRPr="00C00F77">
        <w:rPr>
          <w:rFonts w:ascii="Times New Roman" w:hAnsi="Times New Roman" w:cs="Times New Roman"/>
          <w:color w:val="000000" w:themeColor="text1"/>
          <w:sz w:val="24"/>
          <w:szCs w:val="24"/>
        </w:rPr>
        <w:instrText xml:space="preserve"> ADDIN ZOTERO_ITEM CSL_CITATION {"citationID":"1uniupem6b","properties":{"formattedCitation":"(Hayhurst et al., 2008)","plainCitation":"(Hayhurst et al., 2008)"},"citationItems":[{"id":77,"uris":["http://zotero.org/users/944474/items/Z6IUFDEB"],"uri":["http://zotero.org/users/944474/items/Z6IUFDEB"],"itemData":{"id":77,"type":"article-journal","title":"Cell wall peptidoglycan architecture in Bacillus subtilis","container-title":"Proceedings of the National Academy of Sciences of the United States of America","page":"14603-14608","volume":"105","issue":"38","abstract":"The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polymer.","DOI":"10.1073/pnas.0804138105","note":"PMID: 18784364","journalAbbreviation":"Proc. Natl. Acad. Sci. U.S.A.","author":[{"family":"Hayhurst","given":"Emma J"},{"family":"Kailas","given":"Lekshmi"},{"family":"Hobbs","given":"Jamie K"},{"family":"Foster","given":"Simon J"}],"issued":{"year":2008,"month":9,"day":23},"accessed":{"year":2012,"month":3,"day":7}}}],"schema":"https://github.com/citation-style-language/schema/raw/master/csl-citation.json"} </w:instrText>
      </w:r>
      <w:r w:rsidRPr="00C00F77">
        <w:rPr>
          <w:rFonts w:ascii="Times New Roman" w:hAnsi="Times New Roman" w:cs="Times New Roman"/>
          <w:color w:val="000000" w:themeColor="text1"/>
          <w:sz w:val="24"/>
          <w:szCs w:val="24"/>
        </w:rPr>
        <w:fldChar w:fldCharType="separate"/>
      </w:r>
      <w:r w:rsidRPr="00C00F77">
        <w:rPr>
          <w:rFonts w:ascii="Times New Roman" w:hAnsi="Times New Roman" w:cs="Times New Roman"/>
          <w:color w:val="000000" w:themeColor="text1"/>
          <w:sz w:val="24"/>
          <w:szCs w:val="21"/>
        </w:rPr>
        <w:t xml:space="preserve">(Hayhurst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2008)</w:t>
      </w:r>
      <w:r w:rsidRPr="00C00F77">
        <w:rPr>
          <w:rFonts w:ascii="Times New Roman" w:hAnsi="Times New Roman" w:cs="Times New Roman"/>
          <w:color w:val="000000" w:themeColor="text1"/>
          <w:sz w:val="24"/>
          <w:szCs w:val="24"/>
        </w:rPr>
        <w:fldChar w:fldCharType="end"/>
      </w:r>
      <w:r w:rsidRPr="00C00F77">
        <w:rPr>
          <w:rFonts w:ascii="Times New Roman" w:hAnsi="Times New Roman" w:cs="Times New Roman"/>
          <w:color w:val="000000" w:themeColor="text1"/>
          <w:sz w:val="24"/>
          <w:szCs w:val="24"/>
        </w:rPr>
        <w:t>.</w:t>
      </w:r>
      <w:r w:rsidRPr="00975625">
        <w:rPr>
          <w:rFonts w:ascii="Times New Roman" w:hAnsi="Times New Roman" w:cs="Times New Roman"/>
          <w:sz w:val="24"/>
          <w:szCs w:val="24"/>
        </w:rPr>
        <w:t xml:space="preserve"> </w:t>
      </w:r>
    </w:p>
    <w:p w:rsidR="002D7C9B" w:rsidRPr="00C00F77" w:rsidRDefault="002D7C9B" w:rsidP="002D7C9B">
      <w:pPr>
        <w:spacing w:after="120" w:line="480" w:lineRule="auto"/>
        <w:jc w:val="both"/>
        <w:rPr>
          <w:rFonts w:ascii="Times New Roman" w:hAnsi="Times New Roman" w:cs="Times New Roman"/>
          <w:color w:val="000000" w:themeColor="text1"/>
          <w:sz w:val="24"/>
          <w:szCs w:val="24"/>
        </w:rPr>
      </w:pPr>
      <w:r w:rsidRPr="00975625">
        <w:rPr>
          <w:rFonts w:ascii="Times New Roman" w:hAnsi="Times New Roman" w:cs="Times New Roman"/>
          <w:sz w:val="24"/>
          <w:szCs w:val="24"/>
          <w:lang w:eastAsia="en-GB"/>
        </w:rPr>
        <w:lastRenderedPageBreak/>
        <w:t xml:space="preserve">Although we did not observe </w:t>
      </w:r>
      <w:r>
        <w:rPr>
          <w:rFonts w:ascii="Times New Roman" w:hAnsi="Times New Roman" w:cs="Times New Roman"/>
          <w:sz w:val="24"/>
          <w:szCs w:val="24"/>
          <w:lang w:eastAsia="en-GB"/>
        </w:rPr>
        <w:t xml:space="preserve">a large proportion of </w:t>
      </w:r>
      <w:r w:rsidRPr="00975625">
        <w:rPr>
          <w:rFonts w:ascii="Times New Roman" w:hAnsi="Times New Roman" w:cs="Times New Roman"/>
          <w:sz w:val="24"/>
          <w:szCs w:val="24"/>
          <w:lang w:eastAsia="en-GB"/>
        </w:rPr>
        <w:t xml:space="preserve">extremely long glycan strands </w:t>
      </w:r>
      <w:r>
        <w:rPr>
          <w:rFonts w:ascii="Times New Roman" w:hAnsi="Times New Roman" w:cs="Times New Roman"/>
          <w:sz w:val="24"/>
          <w:szCs w:val="24"/>
          <w:lang w:eastAsia="en-GB"/>
        </w:rPr>
        <w:t xml:space="preserve">(~25% strands &gt;250 kDa, </w:t>
      </w:r>
      <w:r>
        <w:rPr>
          <w:rFonts w:ascii="Times New Roman" w:hAnsi="Times New Roman" w:cs="Times New Roman"/>
          <w:sz w:val="24"/>
          <w:szCs w:val="24"/>
          <w:lang w:eastAsia="en-GB"/>
        </w:rPr>
        <w:fldChar w:fldCharType="begin"/>
      </w:r>
      <w:r>
        <w:rPr>
          <w:rFonts w:ascii="Times New Roman" w:hAnsi="Times New Roman" w:cs="Times New Roman"/>
          <w:sz w:val="24"/>
          <w:szCs w:val="24"/>
          <w:lang w:eastAsia="en-GB"/>
        </w:rPr>
        <w:instrText xml:space="preserve"> ADDIN ZOTERO_ITEM CSL_CITATION {"citationID":"1kikdjfud0","properties":{"formattedCitation":"(Hayhurst et al., 2008)","plainCitation":"(Hayhurst et al., 2008)"},"citationItems":[{"id":77,"uris":["http://zotero.org/users/944474/items/Z6IUFDEB"],"uri":["http://zotero.org/users/944474/items/Z6IUFDEB"],"itemData":{"id":77,"type":"article-journal","title":"Cell wall peptidoglycan architecture in Bacillus subtilis","container-title":"Proceedings of the National Academy of Sciences of the United States of America","page":"14603-14608","volume":"105","issue":"38","abstract":"The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polymer.","DOI":"10.1073/pnas.0804138105","note":"PMID: 18784364","journalAbbreviation":"Proc. Natl. Acad. Sci. U.S.A.","author":[{"family":"Hayhurst","given":"Emma J"},{"family":"Kailas","given":"Lekshmi"},{"family":"Hobbs","given":"Jamie K"},{"family":"Foster","given":"Simon J"}],"issued":{"year":2008,"month":9,"day":23},"accessed":{"year":2012,"month":3,"day":7}}}],"schema":"https://github.com/citation-style-language/schema/raw/master/csl-citation.json"} </w:instrText>
      </w:r>
      <w:r>
        <w:rPr>
          <w:rFonts w:ascii="Times New Roman" w:hAnsi="Times New Roman" w:cs="Times New Roman"/>
          <w:sz w:val="24"/>
          <w:szCs w:val="24"/>
          <w:lang w:eastAsia="en-GB"/>
        </w:rPr>
        <w:fldChar w:fldCharType="separate"/>
      </w:r>
      <w:r w:rsidRPr="00AC7C97">
        <w:rPr>
          <w:rFonts w:ascii="Times New Roman" w:hAnsi="Times New Roman" w:cs="Times New Roman"/>
          <w:sz w:val="24"/>
        </w:rPr>
        <w:t xml:space="preserve">(Hayhurst </w:t>
      </w:r>
      <w:r w:rsidRPr="00294AE4">
        <w:rPr>
          <w:rFonts w:ascii="Times New Roman" w:hAnsi="Times New Roman" w:cs="Times New Roman"/>
          <w:i/>
          <w:sz w:val="24"/>
        </w:rPr>
        <w:t>et al</w:t>
      </w:r>
      <w:r w:rsidRPr="00AC7C97">
        <w:rPr>
          <w:rFonts w:ascii="Times New Roman" w:hAnsi="Times New Roman" w:cs="Times New Roman"/>
          <w:sz w:val="24"/>
        </w:rPr>
        <w:t>., 2008)</w:t>
      </w:r>
      <w:r>
        <w:rPr>
          <w:rFonts w:ascii="Times New Roman" w:hAnsi="Times New Roman" w:cs="Times New Roman"/>
          <w:sz w:val="24"/>
          <w:szCs w:val="24"/>
          <w:lang w:eastAsia="en-GB"/>
        </w:rPr>
        <w:fldChar w:fldCharType="end"/>
      </w:r>
      <w:r>
        <w:rPr>
          <w:rFonts w:ascii="Times New Roman" w:hAnsi="Times New Roman" w:cs="Times New Roman"/>
          <w:sz w:val="24"/>
          <w:szCs w:val="24"/>
          <w:lang w:eastAsia="en-GB"/>
        </w:rPr>
        <w:t xml:space="preserve">) </w:t>
      </w:r>
      <w:r w:rsidRPr="00975625">
        <w:rPr>
          <w:rFonts w:ascii="Times New Roman" w:hAnsi="Times New Roman" w:cs="Times New Roman"/>
          <w:sz w:val="24"/>
          <w:szCs w:val="24"/>
          <w:lang w:eastAsia="en-GB"/>
        </w:rPr>
        <w:t xml:space="preserve">as previously observed in </w:t>
      </w:r>
      <w:r w:rsidRPr="00975625">
        <w:rPr>
          <w:rFonts w:ascii="Times New Roman" w:hAnsi="Times New Roman" w:cs="Times New Roman"/>
          <w:i/>
          <w:iCs/>
          <w:sz w:val="24"/>
          <w:szCs w:val="24"/>
          <w:lang w:eastAsia="en-GB"/>
        </w:rPr>
        <w:t>B. subtilis</w:t>
      </w:r>
      <w:r w:rsidRPr="00975625">
        <w:rPr>
          <w:rFonts w:ascii="Times New Roman" w:hAnsi="Times New Roman" w:cs="Times New Roman"/>
          <w:sz w:val="24"/>
          <w:szCs w:val="24"/>
          <w:lang w:eastAsia="en-GB"/>
        </w:rPr>
        <w:t xml:space="preserve"> (attributable to the radio</w:t>
      </w:r>
      <w:r w:rsidRPr="00C00F77">
        <w:rPr>
          <w:rFonts w:ascii="Times New Roman" w:hAnsi="Times New Roman" w:cs="Times New Roman"/>
          <w:color w:val="000000" w:themeColor="text1"/>
          <w:sz w:val="24"/>
          <w:szCs w:val="24"/>
          <w:lang w:eastAsia="en-GB"/>
        </w:rPr>
        <w:t xml:space="preserve">labelling method in rich medium, favouring autolysin activities), a high proportion of long glycan strands (Table 3.1) seems to be a phenomenon unique to Gram-positives </w:t>
      </w:r>
      <w:r w:rsidRPr="00C00F77">
        <w:rPr>
          <w:rFonts w:ascii="Times New Roman" w:hAnsi="Times New Roman" w:cs="Times New Roman"/>
          <w:color w:val="000000" w:themeColor="text1"/>
          <w:sz w:val="24"/>
          <w:szCs w:val="24"/>
          <w:lang w:eastAsia="en-GB"/>
        </w:rPr>
        <w:fldChar w:fldCharType="begin"/>
      </w:r>
      <w:r w:rsidRPr="00C00F77">
        <w:rPr>
          <w:rFonts w:ascii="Times New Roman" w:hAnsi="Times New Roman" w:cs="Times New Roman"/>
          <w:color w:val="000000" w:themeColor="text1"/>
          <w:sz w:val="24"/>
          <w:szCs w:val="24"/>
          <w:lang w:eastAsia="en-GB"/>
        </w:rPr>
        <w:instrText xml:space="preserve"> ADDIN ZOTERO_ITEM CSL_CITATION {"citationID":"3224n1414","properties":{"formattedCitation":"(Vollmer and Seligman, 2010)","plainCitation":"(Vollmer and Seligman, 2010)"},"citationItems":[{"id":86,"uris":["http://zotero.org/users/944474/items/EJQB4RC2"],"uri":["http://zotero.org/users/944474/items/EJQB4RC2"],"itemData":{"id":86,"type":"article-journal","title":"Architecture of peptidoglycan: more data and more models","container-title":"Trends in Microbiology","page":"59-66","volume":"18","issue":"2","abstract":"Peptidoglycan forms a net-like sacculus made of glycan strands crosslinked by peptides. The length of the glycan strands and the degree of crosslinkage vary with bacterial species, strains and growth conditions. Several models for the three-dimensional architecture of peptidoglycan have been proposed, some of which have been tested experimentally. The new data support a layered model in Gram-negative bacteria, and a more elaborate peptidoglycan architecture, with bands made of coiled bundles of glycan strands, in the rod-shaped Bacillus subtilis. However, many questions remain unanswered and, therefore, more data and more models are required to decipher the complex cell wall architecture in bacteria.","DOI":"10.1016/j.tim.2009.12.004","note":"PMID: 20060721","shortTitle":"Architecture of peptidoglycan","journalAbbreviation":"Trends Microbiol.","author":[{"family":"Vollmer","given":"Waldemar"},{"family":"Seligman","given":"Stephen J"}],"issued":{"year":2010,"month":2},"accessed":{"year":2012,"month":4,"day":2}}}],"schema":"https://github.com/citation-style-language/schema/raw/master/csl-citation.json"} </w:instrText>
      </w:r>
      <w:r w:rsidRPr="00C00F77">
        <w:rPr>
          <w:rFonts w:ascii="Times New Roman" w:hAnsi="Times New Roman" w:cs="Times New Roman"/>
          <w:color w:val="000000" w:themeColor="text1"/>
          <w:sz w:val="24"/>
          <w:szCs w:val="24"/>
          <w:lang w:eastAsia="en-GB"/>
        </w:rPr>
        <w:fldChar w:fldCharType="separate"/>
      </w:r>
      <w:r w:rsidRPr="00C00F77">
        <w:rPr>
          <w:rFonts w:ascii="Times New Roman" w:hAnsi="Times New Roman" w:cs="Times New Roman"/>
          <w:color w:val="000000" w:themeColor="text1"/>
          <w:sz w:val="24"/>
          <w:szCs w:val="21"/>
        </w:rPr>
        <w:t>(Vollmer and Seligman, 2010)</w:t>
      </w:r>
      <w:r w:rsidRPr="00C00F77">
        <w:rPr>
          <w:rFonts w:ascii="Times New Roman" w:hAnsi="Times New Roman" w:cs="Times New Roman"/>
          <w:color w:val="000000" w:themeColor="text1"/>
          <w:sz w:val="24"/>
          <w:szCs w:val="24"/>
          <w:lang w:eastAsia="en-GB"/>
        </w:rPr>
        <w:fldChar w:fldCharType="end"/>
      </w:r>
      <w:r w:rsidRPr="00C00F77">
        <w:rPr>
          <w:rFonts w:ascii="Times New Roman" w:hAnsi="Times New Roman" w:cs="Times New Roman"/>
          <w:color w:val="000000" w:themeColor="text1"/>
          <w:sz w:val="24"/>
          <w:szCs w:val="24"/>
          <w:lang w:eastAsia="en-GB"/>
        </w:rPr>
        <w:t xml:space="preserve">. Consistent with the presence of long glycan strands, labelling of ovococcus cell walls with the fluorescent GSII lectin gave no significant fluorescence signal for </w:t>
      </w:r>
      <w:r w:rsidRPr="00C00F77">
        <w:rPr>
          <w:rFonts w:ascii="Times New Roman" w:hAnsi="Times New Roman" w:cs="Times New Roman"/>
          <w:i/>
          <w:color w:val="000000" w:themeColor="text1"/>
          <w:sz w:val="24"/>
          <w:szCs w:val="24"/>
          <w:lang w:eastAsia="en-GB"/>
        </w:rPr>
        <w:t>L. lactis</w:t>
      </w:r>
      <w:r w:rsidRPr="00C00F77">
        <w:rPr>
          <w:rFonts w:ascii="Times New Roman" w:hAnsi="Times New Roman" w:cs="Times New Roman"/>
          <w:color w:val="000000" w:themeColor="text1"/>
          <w:sz w:val="24"/>
          <w:szCs w:val="24"/>
          <w:lang w:eastAsia="en-GB"/>
        </w:rPr>
        <w:t xml:space="preserve"> and </w:t>
      </w:r>
      <w:r w:rsidRPr="00C00F77">
        <w:rPr>
          <w:rFonts w:ascii="Times New Roman" w:hAnsi="Times New Roman" w:cs="Times New Roman"/>
          <w:i/>
          <w:color w:val="000000" w:themeColor="text1"/>
          <w:sz w:val="24"/>
          <w:szCs w:val="24"/>
          <w:lang w:eastAsia="en-GB"/>
        </w:rPr>
        <w:t>E. faecalis</w:t>
      </w:r>
      <w:r w:rsidRPr="00C00F77">
        <w:rPr>
          <w:rFonts w:ascii="Times New Roman" w:hAnsi="Times New Roman" w:cs="Times New Roman"/>
          <w:color w:val="000000" w:themeColor="text1"/>
          <w:sz w:val="24"/>
          <w:szCs w:val="24"/>
          <w:lang w:eastAsia="en-GB"/>
        </w:rPr>
        <w:t xml:space="preserve"> and a very weak signal for </w:t>
      </w:r>
      <w:r w:rsidRPr="00C00F77">
        <w:rPr>
          <w:rFonts w:ascii="Times New Roman" w:hAnsi="Times New Roman" w:cs="Times New Roman"/>
          <w:i/>
          <w:color w:val="000000" w:themeColor="text1"/>
          <w:sz w:val="24"/>
          <w:szCs w:val="24"/>
          <w:lang w:eastAsia="en-GB"/>
        </w:rPr>
        <w:t xml:space="preserve">S. pneumoniae </w:t>
      </w:r>
      <w:r w:rsidRPr="00C00F77">
        <w:rPr>
          <w:rFonts w:ascii="Times New Roman" w:hAnsi="Times New Roman" w:cs="Times New Roman"/>
          <w:color w:val="000000" w:themeColor="text1"/>
          <w:sz w:val="24"/>
          <w:szCs w:val="24"/>
          <w:lang w:eastAsia="en-GB"/>
        </w:rPr>
        <w:t>at</w:t>
      </w:r>
      <w:r w:rsidRPr="00C00F77">
        <w:rPr>
          <w:rFonts w:ascii="Times New Roman" w:hAnsi="Times New Roman" w:cs="Times New Roman"/>
          <w:i/>
          <w:color w:val="000000" w:themeColor="text1"/>
          <w:sz w:val="24"/>
          <w:szCs w:val="24"/>
          <w:lang w:eastAsia="en-GB"/>
        </w:rPr>
        <w:t xml:space="preserve"> </w:t>
      </w:r>
      <w:r w:rsidRPr="00C00F77">
        <w:rPr>
          <w:rFonts w:ascii="Times New Roman" w:hAnsi="Times New Roman" w:cs="Times New Roman"/>
          <w:color w:val="000000" w:themeColor="text1"/>
          <w:sz w:val="24"/>
          <w:szCs w:val="24"/>
          <w:lang w:eastAsia="en-GB"/>
        </w:rPr>
        <w:t xml:space="preserve">the limit of detection. </w:t>
      </w:r>
      <w:r w:rsidRPr="00C00F77">
        <w:rPr>
          <w:rFonts w:ascii="Times New Roman" w:hAnsi="Times New Roman" w:cs="Times New Roman"/>
          <w:color w:val="000000" w:themeColor="text1"/>
          <w:sz w:val="24"/>
          <w:szCs w:val="24"/>
        </w:rPr>
        <w:t xml:space="preserve">The ability of size-exclusion chromatography to separate long glycan strand material (&gt;25 disaccharides) that could not be resolved by rp-HPLC allows the glycan strand distribution to be determined. Therefore, the use of size-exclusion chromatography has direct implications for the modelling of peptidoglycan architecture. Considering a length of 1 nm per disaccharide </w:t>
      </w:r>
      <w:r w:rsidRPr="00C00F77">
        <w:rPr>
          <w:rFonts w:ascii="Times New Roman" w:hAnsi="Times New Roman" w:cs="Times New Roman"/>
          <w:color w:val="000000" w:themeColor="text1"/>
          <w:sz w:val="24"/>
          <w:szCs w:val="24"/>
        </w:rPr>
        <w:fldChar w:fldCharType="begin"/>
      </w:r>
      <w:r w:rsidRPr="00C00F77">
        <w:rPr>
          <w:rFonts w:ascii="Times New Roman" w:hAnsi="Times New Roman" w:cs="Times New Roman"/>
          <w:color w:val="000000" w:themeColor="text1"/>
          <w:sz w:val="24"/>
          <w:szCs w:val="24"/>
        </w:rPr>
        <w:instrText xml:space="preserve"> ADDIN ZOTERO_ITEM CSL_CITATION {"citationID":"62nbvf799","properties":{"formattedCitation":"{\\rtf (Vollmer and H\\uc0\\u246{}ltje, 2004)}","plainCitation":"(Vollmer and Höltje, 2004)"},"citationItems":[{"id":109,"uris":["http://zotero.org/users/944474/items/4MH2TFX5"],"uri":["http://zotero.org/users/944474/items/4MH2TFX5"],"itemData":{"id":109,"type":"article-journal","title":"The architecture of the murein (peptidoglycan) in gram-negative bacteria: vertical scaffold or horizontal layer(s)?","container-title":"Journal of Bacteriology","page":"5978-5987","volume":"186","issue":"18","DOI":"10.1128/JB.186.18.5978-5987.2004","note":"PMID: 15342566","shortTitle":"The architecture of the murein (peptidoglycan) in gram-negative bacteria","journalAbbreviation":"J. Bacteriol.","author":[{"family":"Vollmer","given":"Waldemar"},{"family":"Höltje","given":"Joachim-Volker"}],"issued":{"year":2004,"month":9},"accessed":{"year":2012,"month":4,"day":2}}}],"schema":"https://github.com/citation-style-language/schema/raw/master/csl-citation.json"} </w:instrText>
      </w:r>
      <w:r w:rsidRPr="00C00F77">
        <w:rPr>
          <w:rFonts w:ascii="Times New Roman" w:hAnsi="Times New Roman" w:cs="Times New Roman"/>
          <w:color w:val="000000" w:themeColor="text1"/>
          <w:sz w:val="24"/>
          <w:szCs w:val="24"/>
        </w:rPr>
        <w:fldChar w:fldCharType="separate"/>
      </w:r>
      <w:r w:rsidRPr="00C00F77">
        <w:rPr>
          <w:rFonts w:ascii="Times New Roman" w:hAnsi="Times New Roman" w:cs="Times New Roman"/>
          <w:color w:val="000000" w:themeColor="text1"/>
          <w:sz w:val="24"/>
          <w:szCs w:val="24"/>
        </w:rPr>
        <w:t>(Vollmer and Höltje, 2004)</w:t>
      </w:r>
      <w:r w:rsidRPr="00C00F77">
        <w:rPr>
          <w:rFonts w:ascii="Times New Roman" w:hAnsi="Times New Roman" w:cs="Times New Roman"/>
          <w:color w:val="000000" w:themeColor="text1"/>
          <w:sz w:val="24"/>
          <w:szCs w:val="24"/>
        </w:rPr>
        <w:fldChar w:fldCharType="end"/>
      </w:r>
      <w:r w:rsidRPr="00C00F77">
        <w:rPr>
          <w:rFonts w:ascii="Times New Roman" w:hAnsi="Times New Roman" w:cs="Times New Roman"/>
          <w:color w:val="000000" w:themeColor="text1"/>
          <w:sz w:val="24"/>
          <w:szCs w:val="24"/>
        </w:rPr>
        <w:t xml:space="preserve"> and a maximum cell envelope thickness of 50 nm </w:t>
      </w:r>
      <w:r w:rsidRPr="00C00F77">
        <w:rPr>
          <w:rFonts w:ascii="Times New Roman" w:hAnsi="Times New Roman" w:cs="Times New Roman"/>
          <w:color w:val="000000" w:themeColor="text1"/>
          <w:sz w:val="24"/>
          <w:szCs w:val="24"/>
        </w:rPr>
        <w:fldChar w:fldCharType="begin"/>
      </w:r>
      <w:r w:rsidRPr="00C00F77">
        <w:rPr>
          <w:rFonts w:ascii="Times New Roman" w:hAnsi="Times New Roman" w:cs="Times New Roman"/>
          <w:color w:val="000000" w:themeColor="text1"/>
          <w:sz w:val="24"/>
          <w:szCs w:val="24"/>
        </w:rPr>
        <w:instrText xml:space="preserve"> ADDIN ZOTERO_ITEM CSL_CITATION {"citationID":"1i9306tiea","properties":{"formattedCitation":"(Zuber et al., 2006; Matias and Beveridge, 2007)","plainCitation":"(Zuber et al., 2006; Matias and Beveridge, 2007)"},"citationItems":[{"id":114,"uris":["http://zotero.org/users/944474/items/MI924EBG"],"uri":["http://zotero.org/users/944474/items/MI924EBG"],"itemData":{"id":114,"type":"article-journal","title":"Granular layer in the periplasmic space of gram-positive bacteria and fine structures of Enterococcus gallinarum and Streptococcus gordonii septa revealed by cryo-electron microscopy of vitreous sections","container-title":"Journal of Bacteriology","page":"6652-6660","volume":"188","issue":"18","abstract":"High-resolution structural information on optimally preserved bacterial cells can be obtained with cryo-electron microscopy of vitreous sections. With the help of this technique, the existence of a periplasmic space between the plasma membrane and the thick peptidoglycan layer of the gram-positive bacteria Bacillus subtilis and Staphylococcus aureus was recently shown. This raises questions about the mode of polymerization of peptidoglycan. In the present study, we report the structure of the cell envelope of three gram-positive bacteria (B. subtilis, Streptococcus gordonii, and Enterococcus gallinarum). In the three cases, a previously undescribed granular layer adjacent to the plasma membrane is found in the periplasmic space. In order to better understand how nascent peptidoglycan is incorporated into the mature peptidoglycan, we investigated cellular regions known to represent the sites of cell wall production. Each of these sites possesses a specific structure. We propose a hypothetic model of peptidoglycan polymerization that accommodates these differences: peptidoglycan precursors could be exported from the cytoplasm to the periplasmic space, where they could diffuse until they would interact with the interface between the granular layer and the thick peptidoglycan layer. They could then polymerize with mature peptidoglycan. We report cytoplasmic structures at the E. gallinarum septum that could be interpreted as cytoskeletal elements driving cell division (FtsZ ring). Although immunoelectron microscopy and fluorescence microscopy studies have demonstrated the septal and cytoplasmic localization of FtsZ, direct visualization of in situ FtsZ filaments has not been obtained in any electron microscopy study of fixed and dehydrated bacteria.","DOI":"10.1128/JB.00391-06","note":"PMID: 16952957","journalAbbreviation":"J. Bacteriol.","author":[{"family":"Zuber","given":"Benoît"},{"family":"Haenni","given":"Marisa"},{"family":"Ribeiro","given":"Tânia"},{"family":"Minnig","given":"Kathrin"},{"family":"Lopes","given":"Fátima"},{"family":"Moreillon","given":"Philippe"},{"family":"Dubochet","given":"Jacques"}],"issued":{"year":2006,"month":9},"accessed":{"year":2012,"month":4,"day":2}}},{"id":59,"uris":["http://zotero.org/users/944474/items/4H6RQTGD"],"uri":["http://zotero.org/users/944474/items/4H6RQTGD"],"itemData":{"id":59,"type":"article-journal","title":"Cryo-electron microscopy of cell division in Staphylococcus aureus reveals a mid-zone between nascent cross walls","container-title":"Molecular Microbiology","page":"195-206","volume":"64","issue":"1","abstract":"Cryo-electron microscopy of frozen-hydrated thin sections permits the observation of the real distribution of mass in biological specimens allowing the native structure of bacteria to be seen, including the natural orientation of their surface layers. Here, we use this approach to study the fine ultrastructure of the division site, or septum, of Staphylococcus aureus D(2)C. Frozen-hydrated sections revealed a differentiated cell wall at the septum, showing two high-density regions sandwiched between three low-density zones. The two zones adjacent to the membrane appeared as an extension of the periplasmic space seen in this organism's cell envelope and showed no distinguishing structures within them. Immediately next to these were higher-density zones that corresponded to nascent cross walls of the septum. Unexpectedly, a rather broad low-density zone was seen separating cross walls in the septum. This mid-zone of low density appeared inflated and without visible structures in isolated cell walls, which showed only the high-density zones of the septum. Here, we suggest that frozen-hydrated thin sections have captured a highly fragile septal region, the mid-zone, which results from the dynamic action of autolysis and actively separates daughter cells during division. The two zones next to the membranes are periplasmic spaces. Immediately next to these are the growing cross walls composed of peptidoglycan, teichoic acid and protein.","DOI":"10.1111/j.1365-2958.2007.05634.x","note":"PMID: 17376082","journalAbbreviation":"Mol. Microbiol.","author":[{"family":"Matias","given":"Valério R F"},{"family":"Beveridge","given":"Terry J"}],"issued":{"year":2007,"month":4},"accessed":{"year":2012,"month":3,"day":6}}}],"schema":"https://github.com/citation-style-language/schema/raw/master/csl-citation.json"} </w:instrText>
      </w:r>
      <w:r w:rsidRPr="00C00F77">
        <w:rPr>
          <w:rFonts w:ascii="Times New Roman" w:hAnsi="Times New Roman" w:cs="Times New Roman"/>
          <w:color w:val="000000" w:themeColor="text1"/>
          <w:sz w:val="24"/>
          <w:szCs w:val="24"/>
        </w:rPr>
        <w:fldChar w:fldCharType="separate"/>
      </w:r>
      <w:r w:rsidRPr="00C00F77">
        <w:rPr>
          <w:rFonts w:ascii="Times New Roman" w:hAnsi="Times New Roman" w:cs="Times New Roman"/>
          <w:color w:val="000000" w:themeColor="text1"/>
          <w:sz w:val="24"/>
          <w:szCs w:val="21"/>
        </w:rPr>
        <w:t xml:space="preserve">(Zuber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2006; Matias and Beveridge, 2007)</w:t>
      </w:r>
      <w:r w:rsidRPr="00C00F77">
        <w:rPr>
          <w:rFonts w:ascii="Times New Roman" w:hAnsi="Times New Roman" w:cs="Times New Roman"/>
          <w:color w:val="000000" w:themeColor="text1"/>
          <w:sz w:val="24"/>
          <w:szCs w:val="24"/>
        </w:rPr>
        <w:fldChar w:fldCharType="end"/>
      </w:r>
      <w:r w:rsidRPr="00C00F77">
        <w:rPr>
          <w:rFonts w:ascii="Times New Roman" w:hAnsi="Times New Roman" w:cs="Times New Roman"/>
          <w:color w:val="000000" w:themeColor="text1"/>
          <w:sz w:val="24"/>
          <w:szCs w:val="24"/>
        </w:rPr>
        <w:t xml:space="preserve">, the significant proportion of chains of over 100 disaccharides in ovococci (between 8 and 14%) is clearly not in favour of a scaffold architecture in these bacteria. In </w:t>
      </w:r>
      <w:r w:rsidRPr="00C00F77">
        <w:rPr>
          <w:rFonts w:ascii="Times New Roman" w:hAnsi="Times New Roman" w:cs="Times New Roman"/>
          <w:i/>
          <w:color w:val="000000" w:themeColor="text1"/>
          <w:sz w:val="24"/>
          <w:szCs w:val="24"/>
        </w:rPr>
        <w:t>S. aureus</w:t>
      </w:r>
      <w:r w:rsidRPr="00C00F77">
        <w:rPr>
          <w:rFonts w:ascii="Times New Roman" w:hAnsi="Times New Roman" w:cs="Times New Roman"/>
          <w:color w:val="000000" w:themeColor="text1"/>
          <w:sz w:val="24"/>
          <w:szCs w:val="24"/>
        </w:rPr>
        <w:t xml:space="preserve">, we found that 3% to 14% of glycan chains contained 50 or more disaccharides, depending on the column used. This represents a significant proportion of strands that were not taken into account when developing the scaffold model proposed for </w:t>
      </w:r>
      <w:r w:rsidRPr="00C00F77">
        <w:rPr>
          <w:rFonts w:ascii="Times New Roman" w:hAnsi="Times New Roman" w:cs="Times New Roman"/>
          <w:i/>
          <w:color w:val="000000" w:themeColor="text1"/>
          <w:sz w:val="24"/>
          <w:szCs w:val="24"/>
        </w:rPr>
        <w:t xml:space="preserve">S. aureus </w:t>
      </w:r>
      <w:r w:rsidRPr="00C00F77">
        <w:rPr>
          <w:rFonts w:ascii="Times New Roman" w:hAnsi="Times New Roman" w:cs="Times New Roman"/>
          <w:i/>
          <w:color w:val="000000" w:themeColor="text1"/>
          <w:sz w:val="24"/>
          <w:szCs w:val="24"/>
        </w:rPr>
        <w:fldChar w:fldCharType="begin"/>
      </w:r>
      <w:r w:rsidRPr="00C00F77">
        <w:rPr>
          <w:rFonts w:ascii="Times New Roman" w:hAnsi="Times New Roman" w:cs="Times New Roman"/>
          <w:i/>
          <w:color w:val="000000" w:themeColor="text1"/>
          <w:sz w:val="24"/>
          <w:szCs w:val="24"/>
        </w:rPr>
        <w:instrText xml:space="preserve"> ADDIN ZOTERO_ITEM CSL_CITATION {"citationID":"2h812n7f0b","properties":{"formattedCitation":"(Dmitriev et al., 2004)","plainCitation":"(Dmitriev et al., 2004)"},"citationItems":[{"id":105,"uris":["http://zotero.org/users/944474/items/TJQSNHHI"],"uri":["http://zotero.org/users/944474/items/TJQSNHHI"],"itemData":{"id":105,"type":"article-journal","title":"Tertiary structure of Staphylococcus aureus cell wall murein","container-title":"Journal of Bacteriology","page":"7141-7148","volume":"186","issue":"21","abstract":"The recently described scaffold model of murein architecture depicts the gram-negative bacterial cell wall as a gel-like matrix composed of cross-linked glycan strands oriented perpendicularly to the plasma membrane while peptide bridges adopt a parallel orientation (B. A. Dmitriev, F. V. Toukach, K. J. Schaper, O. Holst, E. T. Rietschel, and S. Ehlers, J. Bacteriol. 185:3458-3468, 2003). Based on the scaffold model, we now present computer simulation studies on the peptidoglycan arrangement of the gram-positive organism Staphylococcus aureus, which show that the orientation of peptide bridges is critical for the highly cross-linked murein architecture of this microorganism. According to the proposed refined model, staphylococcal murein is composed of glycan and oligopeptide chains, both running in a plane that is perpendicular to the plasma membrane, with oligopeptide chains adopting a zigzag conformation and zippering adjacent glycan strands along their lengths. In contrast to previous models of murein in gram-positive bacteria, this model reflects the high degree of cross-linking that is the hallmark of the staphylococcal cell wall and is compatible with distinguishing features of S. aureus cytokinesis such as the triple consecutive alteration of the division plane orientation and the strictly centripetal mode of septum closure.","DOI":"10.1128/JB.186.21.7141-7148.2004","note":"PMID: 15489425","journalAbbreviation":"J. Bacteriol.","author":[{"family":"Dmitriev","given":"Boris A"},{"family":"Toukach","given":"Filip V"},{"family":"Holst","given":"O"},{"family":"Rietschel","given":"E T"},{"family":"Ehlers","given":"S"}],"issued":{"year":2004,"month":11},"accessed":{"year":2012,"month":4,"day":2}}}],"schema":"https://github.com/citation-style-language/schema/raw/master/csl-citation.json"} </w:instrText>
      </w:r>
      <w:r w:rsidRPr="00C00F77">
        <w:rPr>
          <w:rFonts w:ascii="Times New Roman" w:hAnsi="Times New Roman" w:cs="Times New Roman"/>
          <w:i/>
          <w:color w:val="000000" w:themeColor="text1"/>
          <w:sz w:val="24"/>
          <w:szCs w:val="24"/>
        </w:rPr>
        <w:fldChar w:fldCharType="separate"/>
      </w:r>
      <w:r w:rsidRPr="00C00F77">
        <w:rPr>
          <w:rFonts w:ascii="Times New Roman" w:hAnsi="Times New Roman" w:cs="Times New Roman"/>
          <w:color w:val="000000" w:themeColor="text1"/>
          <w:sz w:val="24"/>
          <w:szCs w:val="21"/>
        </w:rPr>
        <w:t xml:space="preserve">(Dmitriev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2004)</w:t>
      </w:r>
      <w:r w:rsidRPr="00C00F77">
        <w:rPr>
          <w:rFonts w:ascii="Times New Roman" w:hAnsi="Times New Roman" w:cs="Times New Roman"/>
          <w:i/>
          <w:color w:val="000000" w:themeColor="text1"/>
          <w:sz w:val="24"/>
          <w:szCs w:val="24"/>
        </w:rPr>
        <w:fldChar w:fldCharType="end"/>
      </w:r>
      <w:r w:rsidRPr="00C00F77">
        <w:rPr>
          <w:rFonts w:ascii="Times New Roman" w:hAnsi="Times New Roman" w:cs="Times New Roman"/>
          <w:color w:val="000000" w:themeColor="text1"/>
          <w:sz w:val="24"/>
          <w:szCs w:val="24"/>
        </w:rPr>
        <w:t xml:space="preserve">. </w:t>
      </w:r>
    </w:p>
    <w:p w:rsidR="002D7C9B" w:rsidRPr="00C00F77" w:rsidRDefault="002D7C9B" w:rsidP="002D7C9B">
      <w:pPr>
        <w:spacing w:after="120" w:line="480" w:lineRule="auto"/>
        <w:jc w:val="both"/>
        <w:rPr>
          <w:rFonts w:ascii="Times New Roman" w:hAnsi="Times New Roman" w:cs="Times New Roman"/>
          <w:color w:val="000000" w:themeColor="text1"/>
          <w:sz w:val="24"/>
          <w:szCs w:val="24"/>
          <w:lang w:eastAsia="en-GB"/>
        </w:rPr>
      </w:pPr>
      <w:r w:rsidRPr="00C00F77">
        <w:rPr>
          <w:rFonts w:ascii="Times New Roman" w:hAnsi="Times New Roman" w:cs="Times New Roman"/>
          <w:color w:val="000000" w:themeColor="text1"/>
          <w:sz w:val="24"/>
          <w:szCs w:val="24"/>
          <w:lang w:eastAsia="en-GB"/>
        </w:rPr>
        <w:t xml:space="preserve">The apparent lack of cell wall labelling with GSII suggested that the glycan chains of different sizes are distributed heterogeneously throughout the sacculus. Yet it is tempting to speculate that the peripheral wall contains a higher proportion of glycan strands. In rod shaped organisms the </w:t>
      </w:r>
      <w:r>
        <w:rPr>
          <w:rFonts w:ascii="Times New Roman" w:hAnsi="Times New Roman" w:cs="Times New Roman"/>
          <w:color w:val="000000" w:themeColor="text1"/>
          <w:sz w:val="24"/>
          <w:szCs w:val="24"/>
          <w:lang w:eastAsia="en-GB"/>
        </w:rPr>
        <w:t xml:space="preserve">lateral forces acting on </w:t>
      </w:r>
      <w:r w:rsidRPr="00C00F77">
        <w:rPr>
          <w:rFonts w:ascii="Times New Roman" w:hAnsi="Times New Roman" w:cs="Times New Roman"/>
          <w:color w:val="000000" w:themeColor="text1"/>
          <w:sz w:val="24"/>
          <w:szCs w:val="24"/>
          <w:lang w:eastAsia="en-GB"/>
        </w:rPr>
        <w:t xml:space="preserve">the cylinder </w:t>
      </w:r>
      <w:r>
        <w:rPr>
          <w:rFonts w:ascii="Times New Roman" w:hAnsi="Times New Roman" w:cs="Times New Roman"/>
          <w:color w:val="000000" w:themeColor="text1"/>
          <w:sz w:val="24"/>
          <w:szCs w:val="24"/>
          <w:lang w:eastAsia="en-GB"/>
        </w:rPr>
        <w:t>wall are</w:t>
      </w:r>
      <w:r w:rsidRPr="00C00F77">
        <w:rPr>
          <w:rFonts w:ascii="Times New Roman" w:hAnsi="Times New Roman" w:cs="Times New Roman"/>
          <w:color w:val="000000" w:themeColor="text1"/>
          <w:sz w:val="24"/>
          <w:szCs w:val="24"/>
          <w:lang w:eastAsia="en-GB"/>
        </w:rPr>
        <w:t xml:space="preserve"> twice that of</w:t>
      </w:r>
      <w:r>
        <w:rPr>
          <w:rFonts w:ascii="Times New Roman" w:hAnsi="Times New Roman" w:cs="Times New Roman"/>
          <w:color w:val="000000" w:themeColor="text1"/>
          <w:sz w:val="24"/>
          <w:szCs w:val="24"/>
          <w:lang w:eastAsia="en-GB"/>
        </w:rPr>
        <w:t xml:space="preserve"> longitudinal direction</w:t>
      </w:r>
      <w:r w:rsidRPr="00C00F77">
        <w:rPr>
          <w:rFonts w:ascii="Times New Roman" w:hAnsi="Times New Roman" w:cs="Times New Roman"/>
          <w:color w:val="000000" w:themeColor="text1"/>
          <w:sz w:val="24"/>
          <w:szCs w:val="24"/>
          <w:lang w:eastAsia="en-GB"/>
        </w:rPr>
        <w:t xml:space="preserve"> </w:t>
      </w:r>
      <w:r w:rsidRPr="00C00F77">
        <w:rPr>
          <w:rFonts w:ascii="Times New Roman" w:hAnsi="Times New Roman" w:cs="Times New Roman"/>
          <w:color w:val="000000" w:themeColor="text1"/>
          <w:sz w:val="24"/>
          <w:szCs w:val="24"/>
          <w:lang w:eastAsia="en-GB"/>
        </w:rPr>
        <w:fldChar w:fldCharType="begin"/>
      </w:r>
      <w:r w:rsidRPr="00C00F77">
        <w:rPr>
          <w:rFonts w:ascii="Times New Roman" w:hAnsi="Times New Roman" w:cs="Times New Roman"/>
          <w:color w:val="000000" w:themeColor="text1"/>
          <w:sz w:val="24"/>
          <w:szCs w:val="24"/>
          <w:lang w:eastAsia="en-GB"/>
        </w:rPr>
        <w:instrText xml:space="preserve"> ADDIN ZOTERO_ITEM CSL_CITATION {"citationID":"1j66dfhpel","properties":{"formattedCitation":"(Hayhurst et al., 2008)","plainCitation":"(Hayhurst et al., 2008)"},"citationItems":[{"id":77,"uris":["http://zotero.org/users/944474/items/Z6IUFDEB"],"uri":["http://zotero.org/users/944474/items/Z6IUFDEB"],"itemData":{"id":77,"type":"article-journal","title":"Cell wall peptidoglycan architecture in Bacillus subtilis","container-title":"Proceedings of the National Academy of Sciences of the United States of America","page":"14603-14608","volume":"105","issue":"38","abstract":"The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polymer.","DOI":"10.1073/pnas.0804138105","note":"PMID: 18784364","journalAbbreviation":"Proc. Natl. Acad. Sci. U.S.A.","author":[{"family":"Hayhurst","given":"Emma J"},{"family":"Kailas","given":"Lekshmi"},{"family":"Hobbs","given":"Jamie K"},{"family":"Foster","given":"Simon J"}],"issued":{"year":2008,"month":9,"day":23},"accessed":{"year":2012,"month":3,"day":7}}}],"schema":"https://github.com/citation-style-language/schema/raw/master/csl-citation.json"} </w:instrText>
      </w:r>
      <w:r w:rsidRPr="00C00F77">
        <w:rPr>
          <w:rFonts w:ascii="Times New Roman" w:hAnsi="Times New Roman" w:cs="Times New Roman"/>
          <w:color w:val="000000" w:themeColor="text1"/>
          <w:sz w:val="24"/>
          <w:szCs w:val="24"/>
          <w:lang w:eastAsia="en-GB"/>
        </w:rPr>
        <w:fldChar w:fldCharType="separate"/>
      </w:r>
      <w:r w:rsidRPr="00C00F77">
        <w:rPr>
          <w:rFonts w:ascii="Times New Roman" w:hAnsi="Times New Roman" w:cs="Times New Roman"/>
          <w:color w:val="000000" w:themeColor="text1"/>
          <w:sz w:val="24"/>
          <w:szCs w:val="21"/>
        </w:rPr>
        <w:t xml:space="preserve">(Hayhurst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2008)</w:t>
      </w:r>
      <w:r w:rsidRPr="00C00F77">
        <w:rPr>
          <w:rFonts w:ascii="Times New Roman" w:hAnsi="Times New Roman" w:cs="Times New Roman"/>
          <w:color w:val="000000" w:themeColor="text1"/>
          <w:sz w:val="24"/>
          <w:szCs w:val="24"/>
          <w:lang w:eastAsia="en-GB"/>
        </w:rPr>
        <w:fldChar w:fldCharType="end"/>
      </w:r>
      <w:r w:rsidRPr="00C00F77">
        <w:rPr>
          <w:rFonts w:ascii="Times New Roman" w:hAnsi="Times New Roman" w:cs="Times New Roman"/>
          <w:color w:val="000000" w:themeColor="text1"/>
          <w:sz w:val="24"/>
          <w:szCs w:val="24"/>
          <w:lang w:eastAsia="en-GB"/>
        </w:rPr>
        <w:t xml:space="preserve"> and the peripheral wall of ovococci </w:t>
      </w:r>
      <w:r w:rsidRPr="00C00F77">
        <w:rPr>
          <w:rFonts w:ascii="Times New Roman" w:hAnsi="Times New Roman" w:cs="Times New Roman"/>
          <w:color w:val="000000" w:themeColor="text1"/>
          <w:sz w:val="24"/>
          <w:szCs w:val="24"/>
          <w:lang w:eastAsia="en-GB"/>
        </w:rPr>
        <w:lastRenderedPageBreak/>
        <w:t xml:space="preserve">should be subjected to similar turgor pressure. Long strands at the peripheral wall would help to maintain the elongated shape of the cell, by lowering the elasticity of the peptidoglycan in this region. More sensitive methods of assaying peptidoglycan biochemistry </w:t>
      </w:r>
      <w:r w:rsidRPr="00C00F77">
        <w:rPr>
          <w:rFonts w:ascii="Times New Roman" w:hAnsi="Times New Roman" w:cs="Times New Roman"/>
          <w:i/>
          <w:color w:val="000000" w:themeColor="text1"/>
          <w:sz w:val="24"/>
          <w:szCs w:val="24"/>
          <w:lang w:eastAsia="en-GB"/>
        </w:rPr>
        <w:t>in situ</w:t>
      </w:r>
      <w:r w:rsidRPr="00C00F77">
        <w:rPr>
          <w:rFonts w:ascii="Times New Roman" w:hAnsi="Times New Roman" w:cs="Times New Roman"/>
          <w:color w:val="000000" w:themeColor="text1"/>
          <w:sz w:val="24"/>
          <w:szCs w:val="24"/>
          <w:lang w:eastAsia="en-GB"/>
        </w:rPr>
        <w:t xml:space="preserve"> are required to address this question. The development of probes for</w:t>
      </w:r>
      <w:r>
        <w:rPr>
          <w:rFonts w:ascii="Times New Roman" w:hAnsi="Times New Roman" w:cs="Times New Roman"/>
          <w:color w:val="000000" w:themeColor="text1"/>
          <w:sz w:val="24"/>
          <w:szCs w:val="24"/>
          <w:lang w:eastAsia="en-GB"/>
        </w:rPr>
        <w:t xml:space="preserve"> assaying peptidoglycan biochem</w:t>
      </w:r>
      <w:r w:rsidRPr="00C00F77">
        <w:rPr>
          <w:rFonts w:ascii="Times New Roman" w:hAnsi="Times New Roman" w:cs="Times New Roman"/>
          <w:color w:val="000000" w:themeColor="text1"/>
          <w:sz w:val="24"/>
          <w:szCs w:val="24"/>
          <w:lang w:eastAsia="en-GB"/>
        </w:rPr>
        <w:t>i</w:t>
      </w:r>
      <w:r>
        <w:rPr>
          <w:rFonts w:ascii="Times New Roman" w:hAnsi="Times New Roman" w:cs="Times New Roman"/>
          <w:color w:val="000000" w:themeColor="text1"/>
          <w:sz w:val="24"/>
          <w:szCs w:val="24"/>
          <w:lang w:eastAsia="en-GB"/>
        </w:rPr>
        <w:t>s</w:t>
      </w:r>
      <w:r w:rsidRPr="00C00F77">
        <w:rPr>
          <w:rFonts w:ascii="Times New Roman" w:hAnsi="Times New Roman" w:cs="Times New Roman"/>
          <w:color w:val="000000" w:themeColor="text1"/>
          <w:sz w:val="24"/>
          <w:szCs w:val="24"/>
          <w:lang w:eastAsia="en-GB"/>
        </w:rPr>
        <w:t xml:space="preserve">try </w:t>
      </w:r>
      <w:r w:rsidRPr="00C00F77">
        <w:rPr>
          <w:rFonts w:ascii="Times New Roman" w:hAnsi="Times New Roman" w:cs="Times New Roman"/>
          <w:i/>
          <w:color w:val="000000" w:themeColor="text1"/>
          <w:sz w:val="24"/>
          <w:szCs w:val="24"/>
          <w:lang w:eastAsia="en-GB"/>
        </w:rPr>
        <w:t>in situ</w:t>
      </w:r>
      <w:r w:rsidRPr="00C00F77">
        <w:rPr>
          <w:rFonts w:ascii="Times New Roman" w:hAnsi="Times New Roman" w:cs="Times New Roman"/>
          <w:color w:val="000000" w:themeColor="text1"/>
          <w:sz w:val="24"/>
          <w:szCs w:val="24"/>
          <w:lang w:eastAsia="en-GB"/>
        </w:rPr>
        <w:t>, in conjunction with super-resolution microscopies capable of single fluorescent molecule detection (e.g. PALM, STORM), may provide a solution. These possibilities are discussed in more detail in Chapter 6.</w:t>
      </w:r>
    </w:p>
    <w:p w:rsidR="002D7C9B" w:rsidRDefault="002D7C9B" w:rsidP="002D7C9B">
      <w:pPr>
        <w:spacing w:after="120" w:line="480" w:lineRule="auto"/>
        <w:jc w:val="both"/>
        <w:rPr>
          <w:rFonts w:ascii="Times New Roman" w:hAnsi="Times New Roman" w:cs="Times New Roman"/>
          <w:sz w:val="24"/>
          <w:szCs w:val="24"/>
          <w:lang w:eastAsia="en-GB"/>
        </w:rPr>
        <w:sectPr w:rsidR="002D7C9B" w:rsidSect="002D7C9B">
          <w:type w:val="continuous"/>
          <w:pgSz w:w="11906" w:h="16838"/>
          <w:pgMar w:top="1440" w:right="1134" w:bottom="1440" w:left="2268" w:header="709" w:footer="709" w:gutter="0"/>
          <w:cols w:space="708"/>
          <w:docGrid w:linePitch="360"/>
        </w:sectPr>
      </w:pPr>
      <w:r w:rsidRPr="00C00F77">
        <w:rPr>
          <w:rFonts w:ascii="Times New Roman" w:hAnsi="Times New Roman" w:cs="Times New Roman"/>
          <w:color w:val="000000" w:themeColor="text1"/>
          <w:sz w:val="24"/>
          <w:szCs w:val="24"/>
          <w:lang w:eastAsia="en-GB"/>
        </w:rPr>
        <w:t>The relationship between peptidoglycan biochemistry and architecture is unknown. Extensive AFM analysis of the peptidoglycan architecture of three model ovococci (</w:t>
      </w:r>
      <w:r w:rsidRPr="00C00F77">
        <w:rPr>
          <w:rFonts w:ascii="Times New Roman" w:hAnsi="Times New Roman" w:cs="Times New Roman"/>
          <w:i/>
          <w:color w:val="000000" w:themeColor="text1"/>
          <w:sz w:val="24"/>
          <w:szCs w:val="24"/>
          <w:lang w:eastAsia="en-GB"/>
        </w:rPr>
        <w:t>S. pneumoniae</w:t>
      </w:r>
      <w:r w:rsidRPr="00C00F77">
        <w:rPr>
          <w:rFonts w:ascii="Times New Roman" w:hAnsi="Times New Roman" w:cs="Times New Roman"/>
          <w:color w:val="000000" w:themeColor="text1"/>
          <w:sz w:val="24"/>
          <w:szCs w:val="24"/>
          <w:lang w:eastAsia="en-GB"/>
        </w:rPr>
        <w:t xml:space="preserve">, </w:t>
      </w:r>
      <w:r w:rsidRPr="00C00F77">
        <w:rPr>
          <w:rFonts w:ascii="Times New Roman" w:hAnsi="Times New Roman" w:cs="Times New Roman"/>
          <w:i/>
          <w:color w:val="000000" w:themeColor="text1"/>
          <w:sz w:val="24"/>
          <w:szCs w:val="24"/>
          <w:lang w:eastAsia="en-GB"/>
        </w:rPr>
        <w:t>L. lactis</w:t>
      </w:r>
      <w:r w:rsidRPr="00C00F77">
        <w:rPr>
          <w:rFonts w:ascii="Times New Roman" w:hAnsi="Times New Roman" w:cs="Times New Roman"/>
          <w:color w:val="000000" w:themeColor="text1"/>
          <w:sz w:val="24"/>
          <w:szCs w:val="24"/>
          <w:lang w:eastAsia="en-GB"/>
        </w:rPr>
        <w:t xml:space="preserve"> and </w:t>
      </w:r>
      <w:r w:rsidRPr="00C00F77">
        <w:rPr>
          <w:rFonts w:ascii="Times New Roman" w:hAnsi="Times New Roman" w:cs="Times New Roman"/>
          <w:i/>
          <w:color w:val="000000" w:themeColor="text1"/>
          <w:sz w:val="24"/>
          <w:szCs w:val="24"/>
          <w:lang w:eastAsia="en-GB"/>
        </w:rPr>
        <w:t>E. faecalis</w:t>
      </w:r>
      <w:r w:rsidRPr="00C00F77">
        <w:rPr>
          <w:rFonts w:ascii="Times New Roman" w:hAnsi="Times New Roman" w:cs="Times New Roman"/>
          <w:color w:val="000000" w:themeColor="text1"/>
          <w:sz w:val="24"/>
          <w:szCs w:val="24"/>
          <w:lang w:eastAsia="en-GB"/>
        </w:rPr>
        <w:t>) suggested that glycan strands are preferentially oriented circumferentially, parallel to the short axis of the cell (</w:t>
      </w:r>
      <w:r w:rsidRPr="00665220">
        <w:rPr>
          <w:rFonts w:ascii="Times New Roman" w:hAnsi="Times New Roman" w:cs="Times New Roman"/>
          <w:color w:val="000000" w:themeColor="text1"/>
          <w:sz w:val="24"/>
          <w:szCs w:val="24"/>
          <w:lang w:eastAsia="en-GB"/>
        </w:rPr>
        <w:t>Figure 3.19</w:t>
      </w:r>
      <w:r w:rsidRPr="00C00F77">
        <w:rPr>
          <w:rFonts w:ascii="Times New Roman" w:hAnsi="Times New Roman" w:cs="Times New Roman"/>
          <w:color w:val="000000" w:themeColor="text1"/>
          <w:sz w:val="24"/>
          <w:szCs w:val="24"/>
          <w:lang w:eastAsia="en-GB"/>
        </w:rPr>
        <w:t>A). Such an orientation is consistent with the presence of a broad glycan strand distribution and the mode of peptidoglycan synthesis, as a vertical scaffold organisation would be difficult to accommodate (</w:t>
      </w:r>
      <w:r>
        <w:rPr>
          <w:rFonts w:ascii="Times New Roman" w:hAnsi="Times New Roman" w:cs="Times New Roman"/>
          <w:color w:val="000000" w:themeColor="text1"/>
          <w:sz w:val="24"/>
          <w:szCs w:val="24"/>
          <w:lang w:eastAsia="en-GB"/>
        </w:rPr>
        <w:t>Figure 3.19</w:t>
      </w:r>
      <w:r w:rsidRPr="00C00F77">
        <w:rPr>
          <w:rFonts w:ascii="Times New Roman" w:hAnsi="Times New Roman" w:cs="Times New Roman"/>
          <w:color w:val="000000" w:themeColor="text1"/>
          <w:sz w:val="24"/>
          <w:szCs w:val="24"/>
          <w:lang w:eastAsia="en-GB"/>
        </w:rPr>
        <w:t xml:space="preserve">B). This circumferential orientation of peptidoglycan, parallel to the cell short axis, was present at the level of the macroscale architecture, as annular features associated with growth and division, and at the nanoscale level. This was particularly evident at the interior peripheral wall of </w:t>
      </w:r>
      <w:r w:rsidRPr="00C00F77">
        <w:rPr>
          <w:rFonts w:ascii="Times New Roman" w:hAnsi="Times New Roman" w:cs="Times New Roman"/>
          <w:i/>
          <w:color w:val="000000" w:themeColor="text1"/>
          <w:sz w:val="24"/>
          <w:szCs w:val="24"/>
          <w:lang w:eastAsia="en-GB"/>
        </w:rPr>
        <w:t>S. pneumoniae</w:t>
      </w:r>
      <w:r w:rsidRPr="00C00F77">
        <w:rPr>
          <w:rFonts w:ascii="Times New Roman" w:hAnsi="Times New Roman" w:cs="Times New Roman"/>
          <w:color w:val="000000" w:themeColor="text1"/>
          <w:sz w:val="24"/>
          <w:szCs w:val="24"/>
          <w:lang w:eastAsia="en-GB"/>
        </w:rPr>
        <w:t xml:space="preserve"> which possessed parallel bands of material, the average width (approximately 18 nm) suggesting that they were composed of several intertwined glycan strands. Such bands were rarely seen in </w:t>
      </w:r>
      <w:r w:rsidRPr="00C00F77">
        <w:rPr>
          <w:rFonts w:ascii="Times New Roman" w:hAnsi="Times New Roman" w:cs="Times New Roman"/>
          <w:i/>
          <w:color w:val="000000" w:themeColor="text1"/>
          <w:sz w:val="24"/>
          <w:szCs w:val="24"/>
          <w:lang w:eastAsia="en-GB"/>
        </w:rPr>
        <w:t xml:space="preserve">E. faecalis </w:t>
      </w:r>
      <w:r w:rsidRPr="00C00F77">
        <w:rPr>
          <w:rFonts w:ascii="Times New Roman" w:hAnsi="Times New Roman" w:cs="Times New Roman"/>
          <w:color w:val="000000" w:themeColor="text1"/>
          <w:sz w:val="24"/>
          <w:szCs w:val="24"/>
          <w:lang w:eastAsia="en-GB"/>
        </w:rPr>
        <w:t xml:space="preserve">and were not present in </w:t>
      </w:r>
      <w:r w:rsidRPr="00C00F77">
        <w:rPr>
          <w:rFonts w:ascii="Times New Roman" w:hAnsi="Times New Roman" w:cs="Times New Roman"/>
          <w:i/>
          <w:color w:val="000000" w:themeColor="text1"/>
          <w:sz w:val="24"/>
          <w:szCs w:val="24"/>
          <w:lang w:eastAsia="en-GB"/>
        </w:rPr>
        <w:t>L. lactis</w:t>
      </w:r>
      <w:r w:rsidRPr="00C00F77">
        <w:rPr>
          <w:rFonts w:ascii="Times New Roman" w:hAnsi="Times New Roman" w:cs="Times New Roman"/>
          <w:color w:val="000000" w:themeColor="text1"/>
          <w:sz w:val="24"/>
          <w:szCs w:val="24"/>
          <w:lang w:eastAsia="en-GB"/>
        </w:rPr>
        <w:t xml:space="preserve">, although preferentially circumferential orientation of the smooth nanoscale architecture was observed. The pronounced nascent banding architecture in </w:t>
      </w:r>
      <w:r w:rsidRPr="00C00F77">
        <w:rPr>
          <w:rFonts w:ascii="Times New Roman" w:hAnsi="Times New Roman" w:cs="Times New Roman"/>
          <w:i/>
          <w:color w:val="000000" w:themeColor="text1"/>
          <w:sz w:val="24"/>
          <w:szCs w:val="24"/>
          <w:lang w:eastAsia="en-GB"/>
        </w:rPr>
        <w:t>S. pneumoniae</w:t>
      </w:r>
      <w:r w:rsidRPr="00C00F77">
        <w:rPr>
          <w:rFonts w:ascii="Times New Roman" w:hAnsi="Times New Roman" w:cs="Times New Roman"/>
          <w:color w:val="000000" w:themeColor="text1"/>
          <w:sz w:val="24"/>
          <w:szCs w:val="24"/>
          <w:lang w:eastAsia="en-GB"/>
        </w:rPr>
        <w:t xml:space="preserve"> could result from the abundance of sites of peptidoglycan synthesis due to overlapping rounds of division</w:t>
      </w:r>
      <w:r w:rsidRPr="00C00F77">
        <w:rPr>
          <w:rFonts w:ascii="Times New Roman" w:hAnsi="Times New Roman" w:cs="Times New Roman"/>
          <w:i/>
          <w:color w:val="000000" w:themeColor="text1"/>
          <w:sz w:val="24"/>
          <w:szCs w:val="24"/>
          <w:lang w:eastAsia="en-GB"/>
        </w:rPr>
        <w:t>.</w:t>
      </w:r>
      <w:r w:rsidRPr="00C00F77">
        <w:rPr>
          <w:rFonts w:ascii="Times New Roman" w:hAnsi="Times New Roman" w:cs="Times New Roman"/>
          <w:color w:val="000000" w:themeColor="text1"/>
          <w:sz w:val="24"/>
          <w:szCs w:val="24"/>
          <w:lang w:eastAsia="en-GB"/>
        </w:rPr>
        <w:t xml:space="preserve"> A lack of cabled peptidoglycan architecture is in agreement with recent work on </w:t>
      </w:r>
      <w:r w:rsidRPr="00C00F77">
        <w:rPr>
          <w:rFonts w:ascii="Times New Roman" w:hAnsi="Times New Roman" w:cs="Times New Roman"/>
          <w:i/>
          <w:color w:val="000000" w:themeColor="text1"/>
          <w:sz w:val="24"/>
          <w:szCs w:val="24"/>
          <w:lang w:eastAsia="en-GB"/>
        </w:rPr>
        <w:t>L. lactis</w:t>
      </w:r>
      <w:r w:rsidRPr="00C00F77">
        <w:rPr>
          <w:rFonts w:ascii="Times New Roman" w:hAnsi="Times New Roman" w:cs="Times New Roman"/>
          <w:color w:val="000000" w:themeColor="text1"/>
          <w:sz w:val="24"/>
          <w:szCs w:val="24"/>
          <w:lang w:eastAsia="en-GB"/>
        </w:rPr>
        <w:t xml:space="preserve"> using purified sacculi </w:t>
      </w:r>
      <w:r w:rsidRPr="00C00F77">
        <w:rPr>
          <w:rFonts w:ascii="Times New Roman" w:hAnsi="Times New Roman" w:cs="Times New Roman"/>
          <w:color w:val="000000" w:themeColor="text1"/>
          <w:sz w:val="24"/>
          <w:szCs w:val="24"/>
          <w:lang w:eastAsia="en-GB"/>
        </w:rPr>
        <w:fldChar w:fldCharType="begin"/>
      </w:r>
      <w:r w:rsidRPr="00C00F77">
        <w:rPr>
          <w:rFonts w:ascii="Times New Roman" w:hAnsi="Times New Roman" w:cs="Times New Roman"/>
          <w:color w:val="000000" w:themeColor="text1"/>
          <w:sz w:val="24"/>
          <w:szCs w:val="24"/>
          <w:lang w:eastAsia="en-GB"/>
        </w:rPr>
        <w:instrText xml:space="preserve"> ADDIN ZOTERO_ITEM CSL_CITATION {"citationID":"pe14ncsql","properties":{"formattedCitation":"(Andre et al., 2010)","plainCitation":"(Andre et al., 2010)"},"citationItems":[{"id":92,"uris":["http://zotero.org/users/944474/items/HJM9TTUJ"],"uri":["http://zotero.org/users/944474/items/HJM9TTUJ"],"itemData":{"id":92,"type":"article-journal","title":"Imaging the nanoscale organization of peptidoglycan in living Lactococcus lactis cells","container-title":"Nature Communications","page":"27","volume":"1","abstract":"The spatial organization of peptidoglycan, the major constituent of bacterial cell-walls, is an important, yet still unsolved issue in microbiology. In this paper, we show that the combined use of atomic force microscopy and cell wall mutants is a powerful platform for probing the nanoscale architecture of cell wall peptidoglycan in living Gram-positive bacteria. Using topographic imaging, we found that Lactococcus lactis wild-type cells display a smooth, featureless surface morphology, whereas mutant strains lacking cell wall exopolysaccharides feature 25-nm-wide periodic bands running parallel to the short axis of the cell. In addition, we used single-molecule recognition imaging to show that parallel bands are made of peptidoglycan. Our data, obtained for the first time on living ovococci, argue for an architectural feature of the cell wall in the plane perpendicular to the long axis of the cell. The non-invasive live cell experiments presented here open new avenues for understanding the architecture and assembly of peptidoglycan in Gram-positive bacteria.","DOI":"10.1038/ncomms1027","note":"PMID: 20975688","journalAbbreviation":"Nat Commun","author":[{"family":"Andre","given":"Guillaume"},{"family":"Kulakauskas","given":"Saulius"},{"family":"Chapot-Chartier","given":"Marie-Pierre"},{"family":"Navet","given":"Benjamine"},{"family":"Deghorain","given":"Marie"},{"family":"Bernard","given":"Elvis"},{"family":"Hols","given":"Pascal"},{"family":"Dufrêne","given":"Yves F"}],"issued":{"year":2010},"accessed":{"year":2012,"month":4,"day":2}}}],"schema":"https://github.com/citation-style-language/schema/raw/master/csl-citation.json"} </w:instrText>
      </w:r>
      <w:r w:rsidRPr="00C00F77">
        <w:rPr>
          <w:rFonts w:ascii="Times New Roman" w:hAnsi="Times New Roman" w:cs="Times New Roman"/>
          <w:color w:val="000000" w:themeColor="text1"/>
          <w:sz w:val="24"/>
          <w:szCs w:val="24"/>
          <w:lang w:eastAsia="en-GB"/>
        </w:rPr>
        <w:fldChar w:fldCharType="separate"/>
      </w:r>
      <w:r w:rsidRPr="00C00F77">
        <w:rPr>
          <w:rFonts w:ascii="Times New Roman" w:hAnsi="Times New Roman" w:cs="Times New Roman"/>
          <w:color w:val="000000" w:themeColor="text1"/>
          <w:sz w:val="24"/>
          <w:szCs w:val="21"/>
        </w:rPr>
        <w:t xml:space="preserve">(Andre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2010)</w:t>
      </w:r>
      <w:r w:rsidRPr="00C00F77">
        <w:rPr>
          <w:rFonts w:ascii="Times New Roman" w:hAnsi="Times New Roman" w:cs="Times New Roman"/>
          <w:color w:val="000000" w:themeColor="text1"/>
          <w:sz w:val="24"/>
          <w:szCs w:val="24"/>
          <w:lang w:eastAsia="en-GB"/>
        </w:rPr>
        <w:fldChar w:fldCharType="end"/>
      </w:r>
      <w:r w:rsidRPr="00975625">
        <w:rPr>
          <w:rFonts w:ascii="Times New Roman" w:hAnsi="Times New Roman" w:cs="Times New Roman"/>
          <w:sz w:val="24"/>
          <w:szCs w:val="24"/>
          <w:lang w:eastAsia="en-GB"/>
        </w:rPr>
        <w:t xml:space="preserve">. </w:t>
      </w:r>
    </w:p>
    <w:p w:rsidR="002D7C9B" w:rsidRDefault="002D7C9B" w:rsidP="002D7C9B">
      <w:pPr>
        <w:jc w:val="right"/>
        <w:rPr>
          <w:rFonts w:ascii="Times New Roman" w:hAnsi="Times New Roman" w:cs="Times New Roman"/>
          <w:sz w:val="28"/>
          <w:szCs w:val="28"/>
        </w:rPr>
      </w:pPr>
      <w:r>
        <w:rPr>
          <w:rFonts w:ascii="Times New Roman" w:hAnsi="Times New Roman" w:cs="Times New Roman"/>
          <w:noProof/>
          <w:sz w:val="28"/>
          <w:szCs w:val="28"/>
          <w:lang w:eastAsia="en-GB"/>
        </w:rPr>
        <w:lastRenderedPageBreak/>
        <w:pict>
          <v:shape id="_x0000_s1043" type="#_x0000_t202" style="position:absolute;left:0;text-align:left;margin-left:-3.65pt;margin-top:239pt;width:24.2pt;height:29.15pt;z-index:251678720;mso-height-percent:200;mso-height-percent:200;mso-width-relative:margin;mso-height-relative:margin" filled="f" stroked="f">
            <v:textbox style="mso-fit-shape-to-text:t">
              <w:txbxContent>
                <w:p w:rsidR="002D7C9B" w:rsidRPr="000E2066" w:rsidRDefault="002D7C9B" w:rsidP="002D7C9B">
                  <w:pPr>
                    <w:spacing w:after="0" w:line="240" w:lineRule="auto"/>
                    <w:rPr>
                      <w:sz w:val="36"/>
                      <w:szCs w:val="36"/>
                    </w:rPr>
                  </w:pPr>
                  <w:r>
                    <w:rPr>
                      <w:sz w:val="36"/>
                      <w:szCs w:val="36"/>
                    </w:rPr>
                    <w:t>B</w:t>
                  </w:r>
                </w:p>
              </w:txbxContent>
            </v:textbox>
          </v:shape>
        </w:pict>
      </w:r>
      <w:r w:rsidRPr="00A36D09">
        <w:rPr>
          <w:rFonts w:ascii="Times New Roman" w:hAnsi="Times New Roman" w:cs="Times New Roman"/>
          <w:noProof/>
          <w:sz w:val="28"/>
          <w:szCs w:val="28"/>
          <w:lang w:val="en-US" w:eastAsia="zh-TW"/>
        </w:rPr>
        <w:pict>
          <v:shape id="_x0000_s1042" type="#_x0000_t202" style="position:absolute;left:0;text-align:left;margin-left:-3.65pt;margin-top:-2.5pt;width:24.2pt;height:29.15pt;z-index:251677696;mso-height-percent:200;mso-height-percent:200;mso-width-relative:margin;mso-height-relative:margin" filled="f" stroked="f">
            <v:textbox style="mso-fit-shape-to-text:t">
              <w:txbxContent>
                <w:p w:rsidR="002D7C9B" w:rsidRPr="000E2066" w:rsidRDefault="002D7C9B" w:rsidP="002D7C9B">
                  <w:pPr>
                    <w:spacing w:after="0" w:line="240" w:lineRule="auto"/>
                    <w:rPr>
                      <w:sz w:val="36"/>
                      <w:szCs w:val="36"/>
                    </w:rPr>
                  </w:pPr>
                  <w:r w:rsidRPr="000E2066">
                    <w:rPr>
                      <w:sz w:val="36"/>
                      <w:szCs w:val="36"/>
                    </w:rPr>
                    <w:t>A</w:t>
                  </w:r>
                </w:p>
              </w:txbxContent>
            </v:textbox>
          </v:shape>
        </w:pict>
      </w:r>
      <w:r w:rsidRPr="00AD6436">
        <w:rPr>
          <w:noProof/>
          <w:lang w:eastAsia="en-GB"/>
        </w:rPr>
        <w:drawing>
          <wp:inline distT="0" distB="0" distL="0" distR="0">
            <wp:extent cx="5040000" cy="2783827"/>
            <wp:effectExtent l="0" t="0" r="0" b="0"/>
            <wp:docPr id="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srcRect/>
                    <a:stretch>
                      <a:fillRect/>
                    </a:stretch>
                  </pic:blipFill>
                  <pic:spPr bwMode="auto">
                    <a:xfrm>
                      <a:off x="0" y="0"/>
                      <a:ext cx="5040000" cy="2783827"/>
                    </a:xfrm>
                    <a:prstGeom prst="rect">
                      <a:avLst/>
                    </a:prstGeom>
                    <a:noFill/>
                    <a:ln w="9525">
                      <a:noFill/>
                      <a:miter lim="800000"/>
                      <a:headEnd/>
                      <a:tailEnd/>
                    </a:ln>
                  </pic:spPr>
                </pic:pic>
              </a:graphicData>
            </a:graphic>
          </wp:inline>
        </w:drawing>
      </w:r>
    </w:p>
    <w:p w:rsidR="002D7C9B" w:rsidRDefault="002D7C9B" w:rsidP="002D7C9B">
      <w:pPr>
        <w:spacing w:after="120" w:line="480" w:lineRule="auto"/>
        <w:jc w:val="center"/>
        <w:rPr>
          <w:rFonts w:ascii="Times New Roman" w:hAnsi="Times New Roman" w:cs="Times New Roman"/>
          <w:sz w:val="28"/>
          <w:szCs w:val="28"/>
        </w:rPr>
      </w:pPr>
      <w:r>
        <w:rPr>
          <w:rFonts w:ascii="Times New Roman" w:hAnsi="Times New Roman" w:cs="Times New Roman"/>
          <w:noProof/>
          <w:sz w:val="28"/>
          <w:szCs w:val="28"/>
          <w:lang w:eastAsia="en-GB"/>
        </w:rPr>
        <w:drawing>
          <wp:inline distT="0" distB="0" distL="0" distR="0">
            <wp:extent cx="3677706" cy="2160000"/>
            <wp:effectExtent l="19050" t="0" r="0" b="0"/>
            <wp:docPr id="64" name="Picture 29" descr="Septum diagram redra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um diagram redraft.png"/>
                    <pic:cNvPicPr/>
                  </pic:nvPicPr>
                  <pic:blipFill>
                    <a:blip r:embed="rId56" cstate="print"/>
                    <a:stretch>
                      <a:fillRect/>
                    </a:stretch>
                  </pic:blipFill>
                  <pic:spPr>
                    <a:xfrm>
                      <a:off x="0" y="0"/>
                      <a:ext cx="3677706" cy="2160000"/>
                    </a:xfrm>
                    <a:prstGeom prst="rect">
                      <a:avLst/>
                    </a:prstGeom>
                  </pic:spPr>
                </pic:pic>
              </a:graphicData>
            </a:graphic>
          </wp:inline>
        </w:drawing>
      </w:r>
    </w:p>
    <w:p w:rsidR="002D7C9B" w:rsidRDefault="002D7C9B" w:rsidP="002D7C9B">
      <w:pPr>
        <w:spacing w:after="120" w:line="360" w:lineRule="auto"/>
        <w:jc w:val="both"/>
        <w:rPr>
          <w:rFonts w:ascii="Times New Roman" w:hAnsi="Times New Roman" w:cs="Times New Roman"/>
          <w:sz w:val="24"/>
          <w:szCs w:val="24"/>
          <w:lang w:eastAsia="en-GB"/>
        </w:rPr>
      </w:pPr>
      <w:proofErr w:type="gramStart"/>
      <w:r w:rsidRPr="003A2D60">
        <w:rPr>
          <w:rFonts w:ascii="Times New Roman" w:hAnsi="Times New Roman" w:cs="Times New Roman"/>
          <w:b/>
          <w:sz w:val="24"/>
          <w:szCs w:val="24"/>
        </w:rPr>
        <w:t>Figure 3.1</w:t>
      </w:r>
      <w:r>
        <w:rPr>
          <w:rFonts w:ascii="Times New Roman" w:hAnsi="Times New Roman" w:cs="Times New Roman"/>
          <w:b/>
          <w:sz w:val="24"/>
          <w:szCs w:val="24"/>
        </w:rPr>
        <w:t>9</w:t>
      </w:r>
      <w:r w:rsidRPr="003A2D60">
        <w:rPr>
          <w:rFonts w:ascii="Times New Roman" w:hAnsi="Times New Roman" w:cs="Times New Roman"/>
          <w:b/>
          <w:sz w:val="24"/>
          <w:szCs w:val="24"/>
        </w:rPr>
        <w:t>.</w:t>
      </w:r>
      <w:proofErr w:type="gramEnd"/>
      <w:r w:rsidRPr="003A2D60">
        <w:rPr>
          <w:rFonts w:ascii="Times New Roman" w:hAnsi="Times New Roman" w:cs="Times New Roman"/>
          <w:b/>
          <w:sz w:val="24"/>
          <w:szCs w:val="24"/>
        </w:rPr>
        <w:t xml:space="preserve"> </w:t>
      </w:r>
      <w:proofErr w:type="gramStart"/>
      <w:r w:rsidRPr="003A2D60">
        <w:rPr>
          <w:rFonts w:ascii="Times New Roman" w:hAnsi="Times New Roman" w:cs="Times New Roman"/>
          <w:b/>
          <w:sz w:val="24"/>
          <w:szCs w:val="24"/>
        </w:rPr>
        <w:t>Model of peptidoglycan architecture in a dividing ovococcus.</w:t>
      </w:r>
      <w:proofErr w:type="gramEnd"/>
      <w:r w:rsidRPr="00CE0D95">
        <w:rPr>
          <w:rFonts w:ascii="Times New Roman" w:hAnsi="Times New Roman" w:cs="Times New Roman"/>
          <w:sz w:val="24"/>
          <w:szCs w:val="24"/>
        </w:rPr>
        <w:t xml:space="preserve"> </w:t>
      </w:r>
      <w:r>
        <w:rPr>
          <w:rFonts w:ascii="Times New Roman" w:hAnsi="Times New Roman" w:cs="Times New Roman"/>
          <w:sz w:val="24"/>
          <w:szCs w:val="24"/>
        </w:rPr>
        <w:t xml:space="preserve">(A) The peripheral wall synthesis machinery produces </w:t>
      </w:r>
      <w:proofErr w:type="gramStart"/>
      <w:r>
        <w:rPr>
          <w:rFonts w:ascii="Times New Roman" w:hAnsi="Times New Roman" w:cs="Times New Roman"/>
          <w:sz w:val="24"/>
          <w:szCs w:val="24"/>
        </w:rPr>
        <w:t>an architecture</w:t>
      </w:r>
      <w:proofErr w:type="gramEnd"/>
      <w:r>
        <w:rPr>
          <w:rFonts w:ascii="Times New Roman" w:hAnsi="Times New Roman" w:cs="Times New Roman"/>
          <w:sz w:val="24"/>
          <w:szCs w:val="24"/>
        </w:rPr>
        <w:t xml:space="preserve"> of parallel bands adjacent to the equatorial rings (red dashes). The septal machinery produces a septum with a smooth centripetal architecture (green rings). Glycan strands are preferentially oriented around the short axis of the cell, </w:t>
      </w:r>
      <w:r>
        <w:rPr>
          <w:rFonts w:ascii="Times New Roman" w:hAnsi="Times New Roman" w:cs="Times New Roman"/>
          <w:sz w:val="24"/>
          <w:szCs w:val="24"/>
          <w:lang w:eastAsia="en-GB"/>
        </w:rPr>
        <w:t xml:space="preserve">parallel to the cell membrane. All peptidoglycan synthesis occurs from a single mid-cell focus. The precise temporal and spatial localisation of the peripheral and septal machineries remains unclear. (B) Orientation of glycan strands in the septal disc. In a vertical model of ovococcus peptidoglycan architecture (left), the glycan strands (red dashes) are oriented perpendicular to the septal annulus and would be restricted by the width of the septum. It would be difficult to accommodate very long glycan strands in this model. In a horizontal arrangement of glycan strands (black lines, right), glycan chain length </w:t>
      </w:r>
      <w:r w:rsidRPr="00A34D95">
        <w:rPr>
          <w:rFonts w:ascii="Times New Roman" w:hAnsi="Times New Roman" w:cs="Times New Roman"/>
          <w:sz w:val="24"/>
          <w:szCs w:val="24"/>
          <w:lang w:eastAsia="en-GB"/>
        </w:rPr>
        <w:t>is unrestricted (right) as the strands are oriented lengthwise around the septal annulus.</w:t>
      </w:r>
      <w:r>
        <w:rPr>
          <w:rFonts w:ascii="Times New Roman" w:hAnsi="Times New Roman" w:cs="Times New Roman"/>
          <w:sz w:val="24"/>
          <w:szCs w:val="24"/>
          <w:lang w:eastAsia="en-GB"/>
        </w:rPr>
        <w:br w:type="page"/>
      </w:r>
    </w:p>
    <w:p w:rsidR="002D7C9B" w:rsidRPr="00C00F77" w:rsidRDefault="002D7C9B" w:rsidP="002D7C9B">
      <w:pPr>
        <w:spacing w:after="120" w:line="480" w:lineRule="auto"/>
        <w:jc w:val="both"/>
        <w:rPr>
          <w:rFonts w:ascii="Times New Roman" w:hAnsi="Times New Roman" w:cs="Times New Roman"/>
          <w:color w:val="000000" w:themeColor="text1"/>
          <w:sz w:val="24"/>
          <w:szCs w:val="24"/>
          <w:lang w:eastAsia="en-GB"/>
        </w:rPr>
      </w:pPr>
      <w:r w:rsidRPr="00975625">
        <w:rPr>
          <w:rFonts w:ascii="Times New Roman" w:hAnsi="Times New Roman" w:cs="Times New Roman"/>
          <w:sz w:val="24"/>
          <w:szCs w:val="24"/>
          <w:lang w:eastAsia="en-GB"/>
        </w:rPr>
        <w:lastRenderedPageBreak/>
        <w:t xml:space="preserve">Since </w:t>
      </w:r>
      <w:r w:rsidRPr="00C00F77">
        <w:rPr>
          <w:rFonts w:ascii="Times New Roman" w:hAnsi="Times New Roman" w:cs="Times New Roman"/>
          <w:color w:val="000000" w:themeColor="text1"/>
          <w:sz w:val="24"/>
          <w:szCs w:val="24"/>
          <w:lang w:eastAsia="en-GB"/>
        </w:rPr>
        <w:t xml:space="preserve">peptidoglycan purification by HF extraction alters neither the biochemistry of peptidoglycan nor its architecture </w:t>
      </w:r>
      <w:r w:rsidRPr="00C00F77">
        <w:rPr>
          <w:rFonts w:ascii="Times New Roman" w:hAnsi="Times New Roman" w:cs="Times New Roman"/>
          <w:color w:val="000000" w:themeColor="text1"/>
          <w:sz w:val="24"/>
          <w:szCs w:val="24"/>
          <w:lang w:eastAsia="en-GB"/>
        </w:rPr>
        <w:fldChar w:fldCharType="begin"/>
      </w:r>
      <w:r w:rsidRPr="00C00F77">
        <w:rPr>
          <w:rFonts w:ascii="Times New Roman" w:hAnsi="Times New Roman" w:cs="Times New Roman"/>
          <w:color w:val="000000" w:themeColor="text1"/>
          <w:sz w:val="24"/>
          <w:szCs w:val="24"/>
          <w:lang w:eastAsia="en-GB"/>
        </w:rPr>
        <w:instrText xml:space="preserve"> ADDIN ZOTERO_ITEM CSL_CITATION {"citationID":"nalolpelo","properties":{"formattedCitation":"(Ries et al., 1997; Hayhurst et al., 2008; Turner et al., 2010)","plainCitation":"(Ries et al., 1997; Hayhurst et al., 2008; Turner et al., 2010)"},"citationItems":[{"id":115,"uris":["http://zotero.org/users/944474/items/55IFMWTP"],"uri":["http://zotero.org/users/944474/items/55IFMWTP"],"itemData":{"id":115,"type":"article-journal","title":"Evidence that the N-terminal part of the S-layer protein from Bacillus stearothermophilus PV72/p2 recognizes a secondary cell wall polymer","container-title":"Journal of Bacteriology","page":"3892-3898","volume":"179","issue":"12","abstract":"The S-layer of Bacillus stearothermophilus PV72/p2 shows oblique lattice symmetry and is composed of identical protein subunits with a molecular weight of 97,000. The isolated S-layer subunits could bind and recrystallize into the oblique lattice on native peptidoglycan-containing sacculi which consist of peptidoglycan of the A1gamma chemotype and a secondary cell wall polymer with an estimated molecular weight of 24,000. The secondary cell wall polymer could be completely extracted from peptidoglycan-containing sacculi with 48% HF, indicating the presence of phosphodiester linkages between the polymer chains and the peptidoglycan backbone. The cell wall polymer was composed mainly of GlcNAc and ManNAc in a molar ratio of 4:1, constituted about 20% of the peptidoglycan-containing sacculus dry weight, and was also detected in the fraction of the S-layer self-assembly products. Extraction experiments and recrystallization of the whole S-layer protein and proteolytic cleavage fragments confirmed that the secondary cell wall polymer is responsible for anchoring the S-layer subunits by the N-terminal part to the peptidoglycan-containing sacculi. In addition to this binding function, the cell wall polymer was found to influence the in vitro self-assembly of the guanidinium hydrochloride-extracted S-layer protein. Chemical modification studies further showed that the secondary cell wall polymer does not contribute significant free amino or carboxylate groups to the peptidoglycan-containing sacculi.","note":"PMID: 9190804","journalAbbreviation":"J. Bacteriol.","author":[{"family":"Ries","given":"W"},{"family":"Hotzy","given":"C"},{"family":"Schocher","given":"I"},{"family":"Sleytr","given":"U B"},{"family":"Sára","given":"M"}],"issued":{"year":1997,"month":6},"accessed":{"year":2012,"month":4,"day":2}}},{"id":77,"uris":["http://zotero.org/users/944474/items/Z6IUFDEB"],"uri":["http://zotero.org/users/944474/items/Z6IUFDEB"],"itemData":{"id":77,"type":"article-journal","title":"Cell wall peptidoglycan architecture in Bacillus subtilis","container-title":"Proceedings of the National Academy of Sciences of the United States of America","page":"14603-14608","volume":"105","issue":"38","abstract":"The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polymer.","DOI":"10.1073/pnas.0804138105","note":"PMID: 18784364","journalAbbreviation":"Proc. Natl. Acad. Sci. U.S.A.","author":[{"family":"Hayhurst","given":"Emma J"},{"family":"Kailas","given":"Lekshmi"},{"family":"Hobbs","given":"Jamie K"},{"family":"Foster","given":"Simon J"}],"issued":{"year":2008,"month":9,"day":23},"accessed":{"year":2012,"month":3,"day":7}}},{"id":45,"uris":["http://zotero.org/users/944474/items/G32WSWAT"],"uri":["http://zotero.org/users/944474/items/G32WSWAT"],"itemData":{"id":45,"type":"article-journal","title":"Peptidoglycan architecture can specify division planes in Staphylococcus aureus","container-title":"Nature Communications","page":"26","volume":"1","abstract":"Division in Staphylococci occurs equatorially and on specific sequentially orthogonal planes in three dimensions, resulting, after incomplete cell separation, in the 'bunch of grapes' cluster organization that defines the genus. The shape of Staphylococci is principally maintained by peptidoglycan. In this study, we use Atomic Force Microscopy (AFM) and fluorescence microscopy with vancomycin labelling to examine purified peptidoglycan architecture and its dynamics in Staphylococcus aureus and correlate these with the cell cycle. At the presumptive septum, cells were found to form a large belt of peptidoglycan in the division plane before the centripetal formation of the septal disc; this often had a 'piecrust' texture. After division, the structures remain as orthogonal ribs, encoding the location of past division planes in the cell wall. We propose that this epigenetic information is used to enable S. aureus to divide in sequentially orthogonal planes, explaining how a spherical organism can maintain division plane localization with fidelity over many generations.","DOI":"10.1038/ncomms1025","note":"PMID: 20975691","journalAbbreviation":"Nat Commun","author":[{"family":"Turner","given":"Robert D"},{"family":"Ratcliffe","given":"Emma C"},{"family":"Wheeler","given":"Richard"},{"family":"Golestanian","given":"Ramin"},{"family":"Hobbs","given":"Jamie K"},{"family":"Foster","given":"Simon J"}],"issued":{"year":2010},"accessed":{"year":2012,"month":3,"day":6}}}],"schema":"https://github.com/citation-style-language/schema/raw/master/csl-citation.json"} </w:instrText>
      </w:r>
      <w:r w:rsidRPr="00C00F77">
        <w:rPr>
          <w:rFonts w:ascii="Times New Roman" w:hAnsi="Times New Roman" w:cs="Times New Roman"/>
          <w:color w:val="000000" w:themeColor="text1"/>
          <w:sz w:val="24"/>
          <w:szCs w:val="24"/>
          <w:lang w:eastAsia="en-GB"/>
        </w:rPr>
        <w:fldChar w:fldCharType="separate"/>
      </w:r>
      <w:r w:rsidRPr="00C00F77">
        <w:rPr>
          <w:rFonts w:ascii="Times New Roman" w:hAnsi="Times New Roman" w:cs="Times New Roman"/>
          <w:color w:val="000000" w:themeColor="text1"/>
          <w:sz w:val="24"/>
          <w:szCs w:val="21"/>
        </w:rPr>
        <w:t xml:space="preserve">(Ries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xml:space="preserve">., 1997; Hayhurst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2008)</w:t>
      </w:r>
      <w:r w:rsidRPr="00C00F77">
        <w:rPr>
          <w:rFonts w:ascii="Times New Roman" w:hAnsi="Times New Roman" w:cs="Times New Roman"/>
          <w:color w:val="000000" w:themeColor="text1"/>
          <w:sz w:val="24"/>
          <w:szCs w:val="24"/>
          <w:lang w:eastAsia="en-GB"/>
        </w:rPr>
        <w:fldChar w:fldCharType="end"/>
      </w:r>
      <w:r w:rsidRPr="00C00F77">
        <w:rPr>
          <w:rFonts w:ascii="Times New Roman" w:hAnsi="Times New Roman" w:cs="Times New Roman"/>
          <w:color w:val="000000" w:themeColor="text1"/>
          <w:sz w:val="24"/>
          <w:szCs w:val="24"/>
          <w:lang w:eastAsia="en-GB"/>
        </w:rPr>
        <w:t>, it may be that nascent peptidoglycan architecture is lost via rapid remodelling due to autolytic activity. In support of this hypothesis, the architectural features were always observed in close proximity to annular growth rings (</w:t>
      </w:r>
      <w:r>
        <w:rPr>
          <w:rFonts w:ascii="Times New Roman" w:hAnsi="Times New Roman" w:cs="Times New Roman"/>
          <w:color w:val="000000" w:themeColor="text1"/>
          <w:sz w:val="24"/>
          <w:szCs w:val="24"/>
          <w:lang w:eastAsia="en-GB"/>
        </w:rPr>
        <w:t>Figure 3.8</w:t>
      </w:r>
      <w:r w:rsidRPr="00C00F77">
        <w:rPr>
          <w:rFonts w:ascii="Times New Roman" w:hAnsi="Times New Roman" w:cs="Times New Roman"/>
          <w:color w:val="000000" w:themeColor="text1"/>
          <w:sz w:val="24"/>
          <w:szCs w:val="24"/>
          <w:lang w:eastAsia="en-GB"/>
        </w:rPr>
        <w:t xml:space="preserve">) where glycan chain length is expected to be maximal. Previous AFM studies on living </w:t>
      </w:r>
      <w:r w:rsidRPr="00C00F77">
        <w:rPr>
          <w:rFonts w:ascii="Times New Roman" w:hAnsi="Times New Roman" w:cs="Times New Roman"/>
          <w:i/>
          <w:color w:val="000000" w:themeColor="text1"/>
          <w:sz w:val="24"/>
          <w:szCs w:val="24"/>
          <w:lang w:eastAsia="en-GB"/>
        </w:rPr>
        <w:t>L. lactis</w:t>
      </w:r>
      <w:r w:rsidRPr="00C00F77">
        <w:rPr>
          <w:rFonts w:ascii="Times New Roman" w:hAnsi="Times New Roman" w:cs="Times New Roman"/>
          <w:color w:val="000000" w:themeColor="text1"/>
          <w:sz w:val="24"/>
          <w:szCs w:val="24"/>
          <w:lang w:eastAsia="en-GB"/>
        </w:rPr>
        <w:t xml:space="preserve"> cells identified topographic ridges on the outer cell surface </w:t>
      </w:r>
      <w:r w:rsidRPr="00C00F77">
        <w:rPr>
          <w:rFonts w:ascii="Times New Roman" w:hAnsi="Times New Roman" w:cs="Times New Roman"/>
          <w:color w:val="000000" w:themeColor="text1"/>
          <w:sz w:val="24"/>
          <w:szCs w:val="24"/>
          <w:lang w:eastAsia="en-GB"/>
        </w:rPr>
        <w:fldChar w:fldCharType="begin"/>
      </w:r>
      <w:r w:rsidRPr="00C00F77">
        <w:rPr>
          <w:rFonts w:ascii="Times New Roman" w:hAnsi="Times New Roman" w:cs="Times New Roman"/>
          <w:color w:val="000000" w:themeColor="text1"/>
          <w:sz w:val="24"/>
          <w:szCs w:val="24"/>
          <w:lang w:eastAsia="en-GB"/>
        </w:rPr>
        <w:instrText xml:space="preserve"> ADDIN ZOTERO_ITEM CSL_CITATION {"citationID":"he72r1qj8","properties":{"formattedCitation":"(Andre et al., 2010)","plainCitation":"(Andre et al., 2010)"},"citationItems":[{"id":92,"uris":["http://zotero.org/users/944474/items/HJM9TTUJ"],"uri":["http://zotero.org/users/944474/items/HJM9TTUJ"],"itemData":{"id":92,"type":"article-journal","title":"Imaging the nanoscale organization of peptidoglycan in living Lactococcus lactis cells","container-title":"Nature Communications","page":"27","volume":"1","abstract":"The spatial organization of peptidoglycan, the major constituent of bacterial cell-walls, is an important, yet still unsolved issue in microbiology. In this paper, we show that the combined use of atomic force microscopy and cell wall mutants is a powerful platform for probing the nanoscale architecture of cell wall peptidoglycan in living Gram-positive bacteria. Using topographic imaging, we found that Lactococcus lactis wild-type cells display a smooth, featureless surface morphology, whereas mutant strains lacking cell wall exopolysaccharides feature 25-nm-wide periodic bands running parallel to the short axis of the cell. In addition, we used single-molecule recognition imaging to show that parallel bands are made of peptidoglycan. Our data, obtained for the first time on living ovococci, argue for an architectural feature of the cell wall in the plane perpendicular to the long axis of the cell. The non-invasive live cell experiments presented here open new avenues for understanding the architecture and assembly of peptidoglycan in Gram-positive bacteria.","DOI":"10.1038/ncomms1027","note":"PMID: 20975688","journalAbbreviation":"Nat Commun","author":[{"family":"Andre","given":"Guillaume"},{"family":"Kulakauskas","given":"Saulius"},{"family":"Chapot-Chartier","given":"Marie-Pierre"},{"family":"Navet","given":"Benjamine"},{"family":"Deghorain","given":"Marie"},{"family":"Bernard","given":"Elvis"},{"family":"Hols","given":"Pascal"},{"family":"Dufrêne","given":"Yves F"}],"issued":{"year":2010},"accessed":{"year":2012,"month":4,"day":2}}}],"schema":"https://github.com/citation-style-language/schema/raw/master/csl-citation.json"} </w:instrText>
      </w:r>
      <w:r w:rsidRPr="00C00F77">
        <w:rPr>
          <w:rFonts w:ascii="Times New Roman" w:hAnsi="Times New Roman" w:cs="Times New Roman"/>
          <w:color w:val="000000" w:themeColor="text1"/>
          <w:sz w:val="24"/>
          <w:szCs w:val="24"/>
          <w:lang w:eastAsia="en-GB"/>
        </w:rPr>
        <w:fldChar w:fldCharType="separate"/>
      </w:r>
      <w:r w:rsidRPr="00C00F77">
        <w:rPr>
          <w:rFonts w:ascii="Times New Roman" w:hAnsi="Times New Roman" w:cs="Times New Roman"/>
          <w:color w:val="000000" w:themeColor="text1"/>
          <w:sz w:val="24"/>
          <w:szCs w:val="21"/>
        </w:rPr>
        <w:t xml:space="preserve">(Andre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2010)</w:t>
      </w:r>
      <w:r w:rsidRPr="00C00F77">
        <w:rPr>
          <w:rFonts w:ascii="Times New Roman" w:hAnsi="Times New Roman" w:cs="Times New Roman"/>
          <w:color w:val="000000" w:themeColor="text1"/>
          <w:sz w:val="24"/>
          <w:szCs w:val="24"/>
          <w:lang w:eastAsia="en-GB"/>
        </w:rPr>
        <w:fldChar w:fldCharType="end"/>
      </w:r>
      <w:r w:rsidRPr="00C00F77">
        <w:rPr>
          <w:rFonts w:ascii="Times New Roman" w:hAnsi="Times New Roman" w:cs="Times New Roman"/>
          <w:color w:val="000000" w:themeColor="text1"/>
          <w:sz w:val="24"/>
          <w:szCs w:val="24"/>
          <w:lang w:eastAsia="en-GB"/>
        </w:rPr>
        <w:t xml:space="preserve"> that are not present on pure peptidoglycan. Thus, other wall components such as teichoic acids, polysaccharides and/or proteins exposed at the surface of </w:t>
      </w:r>
      <w:r w:rsidRPr="00C00F77">
        <w:rPr>
          <w:rFonts w:ascii="Times New Roman" w:hAnsi="Times New Roman" w:cs="Times New Roman"/>
          <w:i/>
          <w:color w:val="000000" w:themeColor="text1"/>
          <w:sz w:val="24"/>
          <w:szCs w:val="24"/>
          <w:lang w:eastAsia="en-GB"/>
        </w:rPr>
        <w:t>L. lactis</w:t>
      </w:r>
      <w:r w:rsidRPr="00C00F77">
        <w:rPr>
          <w:rFonts w:ascii="Times New Roman" w:hAnsi="Times New Roman" w:cs="Times New Roman"/>
          <w:color w:val="000000" w:themeColor="text1"/>
          <w:sz w:val="24"/>
          <w:szCs w:val="24"/>
          <w:lang w:eastAsia="en-GB"/>
        </w:rPr>
        <w:t xml:space="preserve"> contribute to the overall cell wall architectural features. However, unless purified material is used, such features cannot be unequivocally assigned to peptidoglycan, the structural integrity determinant of the cell wall. </w:t>
      </w:r>
    </w:p>
    <w:p w:rsidR="002D7C9B" w:rsidRPr="00C00F77" w:rsidRDefault="002D7C9B" w:rsidP="002D7C9B">
      <w:pPr>
        <w:spacing w:line="480" w:lineRule="auto"/>
        <w:jc w:val="both"/>
        <w:rPr>
          <w:rFonts w:ascii="Times New Roman" w:hAnsi="Times New Roman" w:cs="Times New Roman"/>
          <w:color w:val="000000" w:themeColor="text1"/>
          <w:sz w:val="24"/>
          <w:szCs w:val="24"/>
          <w:lang w:eastAsia="en-GB"/>
        </w:rPr>
      </w:pPr>
      <w:r w:rsidRPr="00C00F77">
        <w:rPr>
          <w:rFonts w:ascii="Times New Roman" w:hAnsi="Times New Roman" w:cs="Times New Roman"/>
          <w:color w:val="000000" w:themeColor="text1"/>
          <w:sz w:val="24"/>
          <w:szCs w:val="24"/>
          <w:lang w:eastAsia="en-GB"/>
        </w:rPr>
        <w:t xml:space="preserve">Our AFM analysis showed that the cell wall architecture in ovococci is distinct from that observed in other Gram-positive species. The rod-shaped organism </w:t>
      </w:r>
      <w:r w:rsidRPr="00C00F77">
        <w:rPr>
          <w:rFonts w:ascii="Times New Roman" w:hAnsi="Times New Roman" w:cs="Times New Roman"/>
          <w:i/>
          <w:color w:val="000000" w:themeColor="text1"/>
          <w:sz w:val="24"/>
          <w:szCs w:val="24"/>
          <w:lang w:eastAsia="en-GB"/>
        </w:rPr>
        <w:t xml:space="preserve">B. subtilis </w:t>
      </w:r>
      <w:r w:rsidRPr="00C00F77">
        <w:rPr>
          <w:rFonts w:ascii="Times New Roman" w:hAnsi="Times New Roman" w:cs="Times New Roman"/>
          <w:color w:val="000000" w:themeColor="text1"/>
          <w:sz w:val="24"/>
          <w:szCs w:val="24"/>
          <w:lang w:eastAsia="en-GB"/>
        </w:rPr>
        <w:t xml:space="preserve">has a cabled architecture along the cylinder, and apparent spiral septa </w:t>
      </w:r>
      <w:r w:rsidRPr="00C00F77">
        <w:rPr>
          <w:rFonts w:ascii="Times New Roman" w:hAnsi="Times New Roman" w:cs="Times New Roman"/>
          <w:color w:val="000000" w:themeColor="text1"/>
          <w:sz w:val="24"/>
          <w:szCs w:val="24"/>
          <w:lang w:eastAsia="en-GB"/>
        </w:rPr>
        <w:fldChar w:fldCharType="begin"/>
      </w:r>
      <w:r w:rsidRPr="00C00F77">
        <w:rPr>
          <w:rFonts w:ascii="Times New Roman" w:hAnsi="Times New Roman" w:cs="Times New Roman"/>
          <w:color w:val="000000" w:themeColor="text1"/>
          <w:sz w:val="24"/>
          <w:szCs w:val="24"/>
          <w:lang w:eastAsia="en-GB"/>
        </w:rPr>
        <w:instrText xml:space="preserve"> ADDIN ZOTERO_ITEM CSL_CITATION {"citationID":"lfn64dlfb","properties":{"formattedCitation":"(Hayhurst et al., 2008)","plainCitation":"(Hayhurst et al., 2008)"},"citationItems":[{"id":77,"uris":["http://zotero.org/users/944474/items/Z6IUFDEB"],"uri":["http://zotero.org/users/944474/items/Z6IUFDEB"],"itemData":{"id":77,"type":"article-journal","title":"Cell wall peptidoglycan architecture in Bacillus subtilis","container-title":"Proceedings of the National Academy of Sciences of the United States of America","page":"14603-14608","volume":"105","issue":"38","abstract":"The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polymer.","DOI":"10.1073/pnas.0804138105","note":"PMID: 18784364","journalAbbreviation":"Proc. Natl. Acad. Sci. U.S.A.","author":[{"family":"Hayhurst","given":"Emma J"},{"family":"Kailas","given":"Lekshmi"},{"family":"Hobbs","given":"Jamie K"},{"family":"Foster","given":"Simon J"}],"issued":{"year":2008,"month":9,"day":23},"accessed":{"year":2012,"month":3,"day":7}}}],"schema":"https://github.com/citation-style-language/schema/raw/master/csl-citation.json"} </w:instrText>
      </w:r>
      <w:r w:rsidRPr="00C00F77">
        <w:rPr>
          <w:rFonts w:ascii="Times New Roman" w:hAnsi="Times New Roman" w:cs="Times New Roman"/>
          <w:color w:val="000000" w:themeColor="text1"/>
          <w:sz w:val="24"/>
          <w:szCs w:val="24"/>
          <w:lang w:eastAsia="en-GB"/>
        </w:rPr>
        <w:fldChar w:fldCharType="separate"/>
      </w:r>
      <w:r w:rsidRPr="00C00F77">
        <w:rPr>
          <w:rFonts w:ascii="Times New Roman" w:hAnsi="Times New Roman" w:cs="Times New Roman"/>
          <w:color w:val="000000" w:themeColor="text1"/>
          <w:sz w:val="24"/>
          <w:szCs w:val="24"/>
        </w:rPr>
        <w:t xml:space="preserve">(Hayhurst </w:t>
      </w:r>
      <w:r w:rsidRPr="00294AE4">
        <w:rPr>
          <w:rFonts w:ascii="Times New Roman" w:hAnsi="Times New Roman" w:cs="Times New Roman"/>
          <w:i/>
          <w:color w:val="000000" w:themeColor="text1"/>
          <w:sz w:val="24"/>
          <w:szCs w:val="24"/>
        </w:rPr>
        <w:t>et al</w:t>
      </w:r>
      <w:r w:rsidRPr="00C00F77">
        <w:rPr>
          <w:rFonts w:ascii="Times New Roman" w:hAnsi="Times New Roman" w:cs="Times New Roman"/>
          <w:color w:val="000000" w:themeColor="text1"/>
          <w:sz w:val="24"/>
          <w:szCs w:val="24"/>
        </w:rPr>
        <w:t>., 2008)</w:t>
      </w:r>
      <w:r w:rsidRPr="00C00F77">
        <w:rPr>
          <w:rFonts w:ascii="Times New Roman" w:hAnsi="Times New Roman" w:cs="Times New Roman"/>
          <w:color w:val="000000" w:themeColor="text1"/>
          <w:sz w:val="24"/>
          <w:szCs w:val="24"/>
          <w:lang w:eastAsia="en-GB"/>
        </w:rPr>
        <w:fldChar w:fldCharType="end"/>
      </w:r>
      <w:r w:rsidRPr="00C00F77">
        <w:rPr>
          <w:rFonts w:ascii="Times New Roman" w:hAnsi="Times New Roman" w:cs="Times New Roman"/>
          <w:color w:val="000000" w:themeColor="text1"/>
          <w:sz w:val="24"/>
          <w:szCs w:val="24"/>
          <w:lang w:eastAsia="en-GB"/>
        </w:rPr>
        <w:t xml:space="preserve">. In contrast, the spherical </w:t>
      </w:r>
      <w:r w:rsidRPr="00C00F77">
        <w:rPr>
          <w:rFonts w:ascii="Times New Roman" w:hAnsi="Times New Roman" w:cs="Times New Roman"/>
          <w:i/>
          <w:color w:val="000000" w:themeColor="text1"/>
          <w:sz w:val="24"/>
          <w:szCs w:val="24"/>
          <w:lang w:eastAsia="en-GB"/>
        </w:rPr>
        <w:t>S. aureus</w:t>
      </w:r>
      <w:r w:rsidRPr="00C00F77">
        <w:rPr>
          <w:rFonts w:ascii="Times New Roman" w:hAnsi="Times New Roman" w:cs="Times New Roman"/>
          <w:color w:val="000000" w:themeColor="text1"/>
          <w:sz w:val="24"/>
          <w:szCs w:val="24"/>
          <w:lang w:eastAsia="en-GB"/>
        </w:rPr>
        <w:t xml:space="preserve"> has a complex, dynamic architecture of rings of nascent peptidoglycan which mature during growth into a knobbly architecture (Chapter 4).</w:t>
      </w:r>
      <w:r w:rsidRPr="00C00F77" w:rsidDel="003733E4">
        <w:rPr>
          <w:rFonts w:ascii="Times New Roman" w:hAnsi="Times New Roman" w:cs="Times New Roman"/>
          <w:color w:val="000000" w:themeColor="text1"/>
          <w:sz w:val="24"/>
          <w:szCs w:val="24"/>
          <w:lang w:eastAsia="en-GB"/>
        </w:rPr>
        <w:t xml:space="preserve"> </w:t>
      </w:r>
      <w:r w:rsidRPr="00C00F77">
        <w:rPr>
          <w:rFonts w:ascii="Times New Roman" w:hAnsi="Times New Roman" w:cs="Times New Roman"/>
          <w:color w:val="000000" w:themeColor="text1"/>
          <w:sz w:val="24"/>
          <w:szCs w:val="24"/>
          <w:lang w:eastAsia="en-GB"/>
        </w:rPr>
        <w:t xml:space="preserve">Our analysis of ovococci also revealed architectural variation between species. To explain the differences in cell wall ultra-structure, we followed the dynamics of the ovococcal cell cycle using fluorescent vancomycin labelling in conjunction with 3D-SIM (OMX) super-resolution microscopy. To our knowledge this is the first reported use of 3D-SIM to study bacterial specimens with a size close to the resolution limit of conventional light microscopy. </w:t>
      </w:r>
    </w:p>
    <w:p w:rsidR="002D7C9B" w:rsidRPr="00C00F77" w:rsidRDefault="002D7C9B" w:rsidP="002D7C9B">
      <w:pPr>
        <w:pStyle w:val="Bibliography"/>
        <w:spacing w:after="120" w:line="480" w:lineRule="auto"/>
        <w:ind w:left="0" w:firstLine="0"/>
        <w:jc w:val="both"/>
        <w:rPr>
          <w:rFonts w:ascii="Times New Roman" w:hAnsi="Times New Roman" w:cs="Times New Roman"/>
          <w:color w:val="000000" w:themeColor="text1"/>
          <w:sz w:val="24"/>
          <w:szCs w:val="24"/>
          <w:lang w:eastAsia="en-GB"/>
        </w:rPr>
      </w:pPr>
      <w:r w:rsidRPr="00C00F77">
        <w:rPr>
          <w:rFonts w:ascii="Times New Roman" w:hAnsi="Times New Roman" w:cs="Times New Roman"/>
          <w:color w:val="000000" w:themeColor="text1"/>
          <w:sz w:val="24"/>
          <w:szCs w:val="24"/>
          <w:lang w:eastAsia="en-GB"/>
        </w:rPr>
        <w:t>We propose a model describing the cell cycle for each of the ovococci, taking into account AFM and fluorescence microscopy data (</w:t>
      </w:r>
      <w:r>
        <w:rPr>
          <w:rFonts w:ascii="Times New Roman" w:hAnsi="Times New Roman" w:cs="Times New Roman"/>
          <w:color w:val="000000" w:themeColor="text1"/>
          <w:sz w:val="24"/>
          <w:szCs w:val="24"/>
          <w:lang w:eastAsia="en-GB"/>
        </w:rPr>
        <w:t>Figure 3.18</w:t>
      </w:r>
      <w:r w:rsidRPr="00C00F77">
        <w:rPr>
          <w:rFonts w:ascii="Times New Roman" w:hAnsi="Times New Roman" w:cs="Times New Roman"/>
          <w:color w:val="000000" w:themeColor="text1"/>
          <w:sz w:val="24"/>
          <w:szCs w:val="24"/>
          <w:lang w:eastAsia="en-GB"/>
        </w:rPr>
        <w:t>D). These</w:t>
      </w:r>
      <w:r w:rsidRPr="00A34D95">
        <w:rPr>
          <w:rFonts w:ascii="Times New Roman" w:hAnsi="Times New Roman" w:cs="Times New Roman"/>
          <w:sz w:val="24"/>
          <w:szCs w:val="24"/>
          <w:lang w:eastAsia="en-GB"/>
        </w:rPr>
        <w:t xml:space="preserve"> models account </w:t>
      </w:r>
      <w:r w:rsidRPr="00A34D95">
        <w:rPr>
          <w:rFonts w:ascii="Times New Roman" w:hAnsi="Times New Roman" w:cs="Times New Roman"/>
          <w:sz w:val="24"/>
          <w:szCs w:val="24"/>
          <w:lang w:eastAsia="en-GB"/>
        </w:rPr>
        <w:lastRenderedPageBreak/>
        <w:t xml:space="preserve">for the activity of the peptidoglycan synthesis machineries involved in elongation (in red) and septation (in black). They highlight major differences in the temporal and spatial regulation of the cell cycle in the ovococci: (i) the initiation of </w:t>
      </w:r>
      <w:r w:rsidRPr="00975625">
        <w:rPr>
          <w:rFonts w:ascii="Times New Roman" w:hAnsi="Times New Roman" w:cs="Times New Roman"/>
          <w:sz w:val="24"/>
          <w:szCs w:val="24"/>
          <w:lang w:eastAsia="en-GB"/>
        </w:rPr>
        <w:t xml:space="preserve">subsequent rounds of division; (ii) </w:t>
      </w:r>
      <w:r w:rsidRPr="00C00F77">
        <w:rPr>
          <w:rFonts w:ascii="Times New Roman" w:hAnsi="Times New Roman" w:cs="Times New Roman"/>
          <w:color w:val="000000" w:themeColor="text1"/>
          <w:sz w:val="24"/>
          <w:szCs w:val="24"/>
          <w:lang w:eastAsia="en-GB"/>
        </w:rPr>
        <w:t xml:space="preserve">the coordination of septal constriction with cell separation; (iii) the timing of peripheral vs. septal peptidoglycan synthesis. </w:t>
      </w:r>
    </w:p>
    <w:p w:rsidR="002D7C9B" w:rsidRPr="00C00F77" w:rsidRDefault="002D7C9B" w:rsidP="002D7C9B">
      <w:pPr>
        <w:spacing w:after="120" w:line="480" w:lineRule="auto"/>
        <w:jc w:val="both"/>
        <w:rPr>
          <w:rFonts w:ascii="Times New Roman" w:hAnsi="Times New Roman" w:cs="Times New Roman"/>
          <w:color w:val="000000" w:themeColor="text1"/>
          <w:sz w:val="24"/>
          <w:szCs w:val="24"/>
          <w:lang w:eastAsia="en-GB"/>
        </w:rPr>
      </w:pPr>
      <w:r w:rsidRPr="00C00F77">
        <w:rPr>
          <w:rFonts w:ascii="Times New Roman" w:hAnsi="Times New Roman" w:cs="Times New Roman"/>
          <w:color w:val="000000" w:themeColor="text1"/>
          <w:sz w:val="24"/>
          <w:szCs w:val="24"/>
          <w:lang w:eastAsia="en-GB"/>
        </w:rPr>
        <w:t xml:space="preserve">Our AFM analysis of ovococci showed that the sacculus exterior was extremely smooth. This is not surprising as the entire outer surface is revealed as the result of hydrolytic activity coordinated with peptidoglycan synthesis. As the peripheral wall is split at the mid-cell, the internal peptidoglycan is pulled into the stress-bearing plane and becomes the exposed outer surface of the cell wall. In all the ovococci included in this study, cell separation primarily relies on glucosaminidase activity </w:t>
      </w:r>
      <w:r w:rsidRPr="00C00F77">
        <w:rPr>
          <w:rFonts w:ascii="Times New Roman" w:hAnsi="Times New Roman" w:cs="Times New Roman"/>
          <w:color w:val="000000" w:themeColor="text1"/>
          <w:sz w:val="24"/>
          <w:szCs w:val="24"/>
          <w:lang w:eastAsia="en-GB"/>
        </w:rPr>
        <w:fldChar w:fldCharType="begin"/>
      </w:r>
      <w:r w:rsidRPr="00C00F77">
        <w:rPr>
          <w:rFonts w:ascii="Times New Roman" w:hAnsi="Times New Roman" w:cs="Times New Roman"/>
          <w:color w:val="000000" w:themeColor="text1"/>
          <w:sz w:val="24"/>
          <w:szCs w:val="24"/>
          <w:lang w:eastAsia="en-GB"/>
        </w:rPr>
        <w:instrText xml:space="preserve"> ADDIN ZOTERO_ITEM CSL_CITATION {"citationID":"1cj5n0apk2","properties":{"formattedCitation":"(Buist et al., 1995; De Las Rivas et al., 2002; Mesnage et al., 2008)","plainCitation":"(Buist et al., 1995; De Las Rivas et al., 2002; Mesnage et al., 2008)"},"citationItems":[{"id":116,"uris":["http://zotero.org/users/944474/items/KP3MDQXK"],"uri":["http://zotero.org/users/944474/items/KP3MDQXK"],"itemData":{"id":116,"type":"article-journal","title":"Molecular cloning and nucleotide sequence of the gene encoding the major peptidoglycan hydrolase of Lactococcus lactis, a muramidase needed for cell separation","container-title":"Journal of Bacteriology","page":"1554-1563","volume":"177","issue":"6","abstract":"A gene of Lactococcus lactis subsp. cremoris MG1363 encoding a peptidoglycan hydrolase was identified in a genomic library of the strain in pUC19 by screening Escherichia coli transformants for cell wall lysis activity on a medium containing autoclaved, lyophilized Micrococcus lysodeikticus cells. In cell extracts of L. lactis MG1363 and several halo-producing E. coli transformants, lytic bands of similar sizes were identified by denaturing sodium dodecyl sulfate (SDS)-polyacrylamide gels containing L. lactis or M. lysodeikticus cell walls. Of these clearing bands, corresponding to the presence of lytic enzymes with sizes of 46 and 41 kDa, the 41-kDa band was also present in the supernatant of an L. lactis culture. Deletion analysis of one of the recombinant plasmids showed that the information specifying lytic activity was contained within a 2,428-bp EcoRV-Sau3A fragment. Sequencing of part of this fragment revealed a gene (acmA) that could encode a polypeptide of 437 amino acid residues. The calculated molecular mass of AcmA (46,564 Da) corresponded to that of one of the lytic activities detected. Presumably, the enzyme is synthesized as a precursor protein which is processed by cleavage after the Ala at position 57, thus producing a mature protein with a size of 40,264 Da, which would correspond to the size of the enzyme whose lytic activity was present in culture supernatants of L. lactis. The N-terminal region of the mature protein showed 60% identity with the N-terminal region of the mature muramidase-2 of Enterococcus hirae and the autolysin of Streptococcus faecalis. Like the latter two enzymes, AcmA contains C-terminal repeated regions. In AcmA, these three repeats are separated by nonhomologous intervening sequences highly enriched in serine, threonine, and asparagine. Genes specifying identical activities were detected in various strains of L. lactis subsp. lactis and L. lactis subsp. cremoris by the SDS-polyacrylamide gel electrophoresis detection assay and PCR experiments. By replacement recombination, an acmA deletion mutant which grew as long chains was constructed, indicating that AcmA is required for cell separation.","note":"PMID: 7883712","journalAbbreviation":"J. Bacteriol.","author":[{"family":"Buist","given":"G"},{"family":"Kok","given":"J"},{"family":"Leenhouts","given":"K J"},{"family":"Dabrowska","given":"M"},{"family":"Venema","given":"G"},{"family":"Haandrikman","given":"A J"}],"issued":{"year":1995,"month":3},"accessed":{"year":2012,"month":4,"day":2}}},{"id":117,"uris":["http://zotero.org/users/944474/items/3GCA9NUA"],"uri":["http://zotero.org/users/944474/items/3GCA9NUA"],"itemData":{"id":117,"type":"article-journal","title":"Purification and polar localization of pneumococcal LytB, a putative endo-beta-N-acetylglucosaminidase: the chain-dispersing murein hydrolase","container-title":"Journal of Bacteriology","page":"4988-5000","volume":"184","issue":"18","abstract":"The DNA region encoding the mature form of a pneumococcal murein hydrolase (LytB) was cloned and expressed in Escherichia coli. LytB was purified by affinity chromatography, and its activity was suggested to be the first identified endo-beta-N-acetylglucosaminidase of Streptococcus pneumoniae. LytB can remove a maximum of only 25% of the radioactivity from [(3)H]choline-labeled pneumococcal cell walls in in vitro assays. Inactivation of the lytB gene of wild-type strain R6 (R6B mutant) led to the formation of long chains but did not affect either total cell wall hydrolytic activity at the stationary phase of growth or development of genetic competence. Longer chains were formed when the lytB mutation was introduced into the M31 strain (M31B mutant), which harbors a complete deletion of lytA, which codes for the major autolysin. Furthermore, the use of this mutant revealed that LytB is the first nonautolytic murein hydrolase of pneumococcus. Purified LytB added to pneumococcal cultures of R6B or M31B was capable of dispersing, in a dose-dependent manner, the long chains characteristic of these mutants into diplococci or short chains, the typical morphology of R6 and M31 strains, respectively. In vitro acetylation of purified pneumococcal cell walls did not affect the activity of LytB, whereas that of the LytA amidase was drastically reduced. On the other hand, the use of a translational fusion between the gene (gfp) coding for the green fluorescent protein (GFP) and lytB supports the notion that LytB accumulates in the cell poles of either the wild-type R6, lytB mutants, or ethanolamine-containing cells (EA cells). The GFP-LytB fusion protein was also able to unchain the lytB mutants but not the EA cells. In contrast, translational fusion protein GFP-LytA preferentially bound to the equatorial regions of choline-containing cells but did not affect their average chain length. These observations suggest the existence of specific receptors for LytB that are positioned at the polar region on the pneumococcal surface, allowing localized peptidoglycan hydrolysis and separation of the daughter cells.","note":"PMID: 12193614","shortTitle":"Purification and polar localization of pneumococcal LytB, a putative endo-beta-N-acetylglucosaminidase","journalAbbreviation":"J. Bacteriol.","author":[{"family":"De Las Rivas","given":"Blanca"},{"family":"García","given":"José L"},{"family":"López","given":"Rubens"},{"family":"García","given":"Pedro"}],"issued":{"year":2002,"month":9},"accessed":{"year":2012,"month":4,"day":2}}},{"id":118,"uris":["http://zotero.org/users/944474/items/DST98BM8"],"uri":["http://zotero.org/users/944474/items/DST98BM8"],"itemData":{"id":118,"type":"article-journal","title":"Role of N-acetylglucosaminidase and N-acetylmuramidase activities in Enterococcus faecalis peptidoglycan metabolism","container-title":"The Journal of Biological Chemistry","page":"19845-19853","volume":"283","issue":"28","abstract":"Identification of the full complement of peptidoglycan hydrolases detected by zymogram in Enterococcus faecalis extracts led to the characterization of two novel hydrolases that we named AtlB and AtlC. Both enzymes have a similar modular organization comprising a central catalytic domain fused to two LysM peptidoglycan-binding modules. AtlB and AtlC displayed N-acetylmuramidase activity, as demonstrated by tandem mass spectrometry analyses of peptidoglycan fragments generated by the purified enzymes. The genes encoding AtlB and AtlC were deleted either alone or in combination with the gene encoding AtlA, a previously described N-acetylglucosaminidase. No autolytic activity was detected in the triple mutant indicating that AtlA, AtlB, and AtlC account for the major hydrolytic activities in E. faecalis. Analysis of cell size distribution by flow cytometry showed that deletion of atlA resulted in the formation of long chains. Thus, AtlA digests the septum and is required for cell separation after cell division. We found that AtlB could act as a surrogate for AtlA, although the enzyme was less efficient at septum digestion. Deletion of atlC had no impact on cell morphology. Labeling of the peptidoglycan with N-[14C]acetylglucosamine revealed an unusually slow turnover as compared with model organisms, almost completely dependent upon the combined activities of AtlA and AtlB. In contrast to atlA, the atlB and atlC genes are located in putative prophages. Because AtlB and AtlC were produced in the absence of cell lysis or production of phage progeny, these enzymes may have been hijacked by E. faecalis to contribute to peptidoglycan metabolism.","DOI":"10.1074/jbc.M802323200","note":"PMID: 18490448","journalAbbreviation":"J. Biol. Chem.","author":[{"family":"Mesnage","given":"Stéphane"},{"family":"Chau","given":"Françoise"},{"family":"Dubost","given":"Lionel"},{"family":"Arthur","given":"Michel"}],"issued":{"year":2008,"month":7,"day":11},"accessed":{"year":2012,"month":4,"day":2}}}],"schema":"https://github.com/citation-style-language/schema/raw/master/csl-citation.json"} </w:instrText>
      </w:r>
      <w:r w:rsidRPr="00C00F77">
        <w:rPr>
          <w:rFonts w:ascii="Times New Roman" w:hAnsi="Times New Roman" w:cs="Times New Roman"/>
          <w:color w:val="000000" w:themeColor="text1"/>
          <w:sz w:val="24"/>
          <w:szCs w:val="24"/>
          <w:lang w:eastAsia="en-GB"/>
        </w:rPr>
        <w:fldChar w:fldCharType="separate"/>
      </w:r>
      <w:r w:rsidRPr="00C00F77">
        <w:rPr>
          <w:rFonts w:ascii="Times New Roman" w:hAnsi="Times New Roman" w:cs="Times New Roman"/>
          <w:color w:val="000000" w:themeColor="text1"/>
          <w:sz w:val="24"/>
          <w:szCs w:val="21"/>
        </w:rPr>
        <w:t xml:space="preserve">(Buist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xml:space="preserve">., 1995; De Las Rivas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xml:space="preserve">., 2002; Mesnage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2008)</w:t>
      </w:r>
      <w:r w:rsidRPr="00C00F77">
        <w:rPr>
          <w:rFonts w:ascii="Times New Roman" w:hAnsi="Times New Roman" w:cs="Times New Roman"/>
          <w:color w:val="000000" w:themeColor="text1"/>
          <w:sz w:val="24"/>
          <w:szCs w:val="24"/>
          <w:lang w:eastAsia="en-GB"/>
        </w:rPr>
        <w:fldChar w:fldCharType="end"/>
      </w:r>
      <w:r w:rsidRPr="00C00F77">
        <w:rPr>
          <w:rFonts w:ascii="Times New Roman" w:hAnsi="Times New Roman" w:cs="Times New Roman"/>
          <w:color w:val="000000" w:themeColor="text1"/>
          <w:sz w:val="24"/>
          <w:szCs w:val="24"/>
          <w:lang w:eastAsia="en-GB"/>
        </w:rPr>
        <w:t xml:space="preserve">. A unique feature of </w:t>
      </w:r>
      <w:r w:rsidRPr="00C00F77">
        <w:rPr>
          <w:rFonts w:ascii="Times New Roman" w:hAnsi="Times New Roman" w:cs="Times New Roman"/>
          <w:i/>
          <w:color w:val="000000" w:themeColor="text1"/>
          <w:sz w:val="24"/>
          <w:szCs w:val="24"/>
          <w:lang w:eastAsia="en-GB"/>
        </w:rPr>
        <w:t>E. faecalis</w:t>
      </w:r>
      <w:r w:rsidRPr="00C00F77">
        <w:rPr>
          <w:rFonts w:ascii="Times New Roman" w:hAnsi="Times New Roman" w:cs="Times New Roman"/>
          <w:color w:val="000000" w:themeColor="text1"/>
          <w:sz w:val="24"/>
          <w:szCs w:val="24"/>
          <w:lang w:eastAsia="en-GB"/>
        </w:rPr>
        <w:t xml:space="preserve"> was the formation of a deeply penetrating cross-wall prior to cell separation. Such a cross-wall was never seen in the other ovococci, as a result of a tight association between septum constriction and hydrolysis. Our data thus indicate that synchronisation of glucosaminidase enzymes with peptidoglycan synthesis is regulated differently amongst ovococci. The precise mechanism responsible for the coordination of septum synthesis with hydrolysis awaits further analysis.</w:t>
      </w:r>
    </w:p>
    <w:p w:rsidR="002D7C9B" w:rsidRPr="00C00F77" w:rsidRDefault="002D7C9B" w:rsidP="002D7C9B">
      <w:pPr>
        <w:spacing w:after="120" w:line="480" w:lineRule="auto"/>
        <w:jc w:val="both"/>
        <w:rPr>
          <w:rFonts w:ascii="Times New Roman" w:hAnsi="Times New Roman" w:cs="Times New Roman"/>
          <w:color w:val="000000" w:themeColor="text1"/>
          <w:sz w:val="24"/>
          <w:szCs w:val="24"/>
          <w:lang w:eastAsia="en-GB"/>
        </w:rPr>
      </w:pPr>
      <w:r w:rsidRPr="00C00F77">
        <w:rPr>
          <w:rFonts w:ascii="Times New Roman" w:hAnsi="Times New Roman" w:cs="Times New Roman"/>
          <w:color w:val="000000" w:themeColor="text1"/>
          <w:sz w:val="24"/>
          <w:szCs w:val="24"/>
          <w:lang w:eastAsia="en-GB"/>
        </w:rPr>
        <w:t>A hallmark of the ovococci, identified by AFM, is the presence of equatorial ring features in presumptive daughter cells (</w:t>
      </w:r>
      <w:r>
        <w:rPr>
          <w:rFonts w:ascii="Times New Roman" w:hAnsi="Times New Roman" w:cs="Times New Roman"/>
          <w:color w:val="000000" w:themeColor="text1"/>
          <w:sz w:val="24"/>
          <w:szCs w:val="24"/>
          <w:lang w:eastAsia="en-GB"/>
        </w:rPr>
        <w:t>Figure 3.11</w:t>
      </w:r>
      <w:r w:rsidRPr="00C00F77">
        <w:rPr>
          <w:rFonts w:ascii="Times New Roman" w:hAnsi="Times New Roman" w:cs="Times New Roman"/>
          <w:color w:val="000000" w:themeColor="text1"/>
          <w:sz w:val="24"/>
          <w:szCs w:val="24"/>
          <w:lang w:eastAsia="en-GB"/>
        </w:rPr>
        <w:t>;</w:t>
      </w:r>
      <w:r w:rsidRPr="00C00F77">
        <w:rPr>
          <w:rFonts w:ascii="Times New Roman" w:hAnsi="Times New Roman" w:cs="Times New Roman"/>
          <w:color w:val="000000" w:themeColor="text1"/>
          <w:sz w:val="24"/>
          <w:szCs w:val="24"/>
          <w:lang w:eastAsia="en-GB"/>
        </w:rPr>
        <w:fldChar w:fldCharType="begin"/>
      </w:r>
      <w:r w:rsidRPr="00C00F77">
        <w:rPr>
          <w:rFonts w:ascii="Times New Roman" w:hAnsi="Times New Roman" w:cs="Times New Roman"/>
          <w:color w:val="000000" w:themeColor="text1"/>
          <w:sz w:val="24"/>
          <w:szCs w:val="24"/>
          <w:lang w:eastAsia="en-GB"/>
        </w:rPr>
        <w:instrText xml:space="preserve"> ADDIN ZOTERO_ITEM CSL_CITATION {"citationID":"b7d5isfnc","properties":{"formattedCitation":"(Higgins and Shockman, 1970)","plainCitation":"(Higgins and Shockman, 1970)"},"citationItems":[{"id":119,"uris":["http://zotero.org/users/944474/items/5VZGQQUH"],"uri":["http://zotero.org/users/944474/items/5VZGQQUH"],"itemData":{"id":119,"type":"article-journal","title":"Model for cell wall growth of Streptococcus faecalis","container-title":"Journal of Bacteriology","page":"643-648","volume":"101","issue":"2","abstract":"In exponentially growing and dividing cells of Streptococcus faecalis, it is proposed that the leading edge of the annularly closing cross wall is the point of extension for both cross wall and peripheral wall. Peripheral wall extension is thought to be produced by the separation or splitting of the cross wall at its junction with peripheral wall. This results in the pushing of the equatorial wall bands, found on S. faecalis walls, to subsequatorial positions. These bands therefore mark the separation of old wall from new wall. Mesosomal formation was observed usually to precede cross wall initiation.","note":"PMID: 4984078","journalAbbreviation":"J. Bacteriol.","author":[{"family":"Higgins","given":"M L"},{"family":"Shockman","given":"G D"}],"issued":{"year":1970,"month":2},"accessed":{"year":2012,"month":4,"day":2}}}],"schema":"https://github.com/citation-style-language/schema/raw/master/csl-citation.json"} </w:instrText>
      </w:r>
      <w:r w:rsidRPr="00C00F77">
        <w:rPr>
          <w:rFonts w:ascii="Times New Roman" w:hAnsi="Times New Roman" w:cs="Times New Roman"/>
          <w:color w:val="000000" w:themeColor="text1"/>
          <w:sz w:val="24"/>
          <w:szCs w:val="24"/>
          <w:lang w:eastAsia="en-GB"/>
        </w:rPr>
        <w:fldChar w:fldCharType="separate"/>
      </w:r>
      <w:r w:rsidRPr="00C00F77">
        <w:rPr>
          <w:rFonts w:ascii="Times New Roman" w:hAnsi="Times New Roman" w:cs="Times New Roman"/>
          <w:color w:val="000000" w:themeColor="text1"/>
          <w:sz w:val="24"/>
          <w:szCs w:val="21"/>
        </w:rPr>
        <w:t xml:space="preserve"> Higgins and Shockman, 1970)</w:t>
      </w:r>
      <w:r w:rsidRPr="00C00F77">
        <w:rPr>
          <w:rFonts w:ascii="Times New Roman" w:hAnsi="Times New Roman" w:cs="Times New Roman"/>
          <w:color w:val="000000" w:themeColor="text1"/>
          <w:sz w:val="24"/>
          <w:szCs w:val="24"/>
          <w:lang w:eastAsia="en-GB"/>
        </w:rPr>
        <w:fldChar w:fldCharType="end"/>
      </w:r>
      <w:r w:rsidRPr="00C00F77">
        <w:rPr>
          <w:rFonts w:ascii="Times New Roman" w:hAnsi="Times New Roman" w:cs="Times New Roman"/>
          <w:color w:val="000000" w:themeColor="text1"/>
          <w:sz w:val="24"/>
          <w:szCs w:val="24"/>
          <w:lang w:eastAsia="en-GB"/>
        </w:rPr>
        <w:t xml:space="preserve"> that coincide with the initiation site of the next round of peptidoglycan synthesis (</w:t>
      </w:r>
      <w:r>
        <w:rPr>
          <w:rFonts w:ascii="Times New Roman" w:hAnsi="Times New Roman" w:cs="Times New Roman"/>
          <w:color w:val="000000" w:themeColor="text1"/>
          <w:sz w:val="24"/>
          <w:szCs w:val="24"/>
          <w:lang w:eastAsia="en-GB"/>
        </w:rPr>
        <w:t>Figure 3.17</w:t>
      </w:r>
      <w:r w:rsidRPr="00C00F77">
        <w:rPr>
          <w:rFonts w:ascii="Times New Roman" w:hAnsi="Times New Roman" w:cs="Times New Roman"/>
          <w:color w:val="000000" w:themeColor="text1"/>
          <w:sz w:val="24"/>
          <w:szCs w:val="24"/>
          <w:lang w:eastAsia="en-GB"/>
        </w:rPr>
        <w:t xml:space="preserve">). No mechanism for targeting the division machinery to the nascent septum has been identified in the ovococci. One possibility is that epigenetic information encoded by the local peptidoglycan architecture to the equatorial rings aids recruitment of the peptidoglycan synthesis machinery. The use of such intergenerational peptidoglycan </w:t>
      </w:r>
      <w:r w:rsidRPr="00C00F77">
        <w:rPr>
          <w:rFonts w:ascii="Times New Roman" w:hAnsi="Times New Roman" w:cs="Times New Roman"/>
          <w:color w:val="000000" w:themeColor="text1"/>
          <w:sz w:val="24"/>
          <w:szCs w:val="24"/>
          <w:lang w:eastAsia="en-GB"/>
        </w:rPr>
        <w:lastRenderedPageBreak/>
        <w:t xml:space="preserve">architectural features to convey information to guide the spatial control of nascent synthesis has recently been suggested for </w:t>
      </w:r>
      <w:r w:rsidRPr="00C00F77">
        <w:rPr>
          <w:rFonts w:ascii="Times New Roman" w:hAnsi="Times New Roman" w:cs="Times New Roman"/>
          <w:i/>
          <w:color w:val="000000" w:themeColor="text1"/>
          <w:sz w:val="24"/>
          <w:szCs w:val="24"/>
          <w:lang w:eastAsia="en-GB"/>
        </w:rPr>
        <w:t>S. aureus</w:t>
      </w:r>
      <w:r w:rsidRPr="00C00F77">
        <w:rPr>
          <w:rFonts w:ascii="Times New Roman" w:hAnsi="Times New Roman" w:cs="Times New Roman"/>
          <w:color w:val="000000" w:themeColor="text1"/>
          <w:sz w:val="24"/>
          <w:szCs w:val="24"/>
          <w:lang w:eastAsia="en-GB"/>
        </w:rPr>
        <w:t xml:space="preserve"> (Chapter 4; </w:t>
      </w:r>
      <w:r w:rsidRPr="00C00F77">
        <w:rPr>
          <w:rFonts w:ascii="Times New Roman" w:hAnsi="Times New Roman" w:cs="Times New Roman"/>
          <w:color w:val="000000" w:themeColor="text1"/>
          <w:sz w:val="24"/>
          <w:szCs w:val="24"/>
          <w:lang w:eastAsia="en-GB"/>
        </w:rPr>
        <w:fldChar w:fldCharType="begin"/>
      </w:r>
      <w:r w:rsidRPr="00C00F77">
        <w:rPr>
          <w:rFonts w:ascii="Times New Roman" w:hAnsi="Times New Roman" w:cs="Times New Roman"/>
          <w:color w:val="000000" w:themeColor="text1"/>
          <w:sz w:val="24"/>
          <w:szCs w:val="24"/>
          <w:lang w:eastAsia="en-GB"/>
        </w:rPr>
        <w:instrText xml:space="preserve"> ADDIN ZOTERO_ITEM CSL_CITATION {"citationID":"1oigqdj6e9","properties":{"formattedCitation":"(Turner et al., 2010)","plainCitation":"(Turner et al., 2010)"},"citationItems":[{"id":45,"uris":["http://zotero.org/users/944474/items/G32WSWAT"],"uri":["http://zotero.org/users/944474/items/G32WSWAT"],"itemData":{"id":45,"type":"article-journal","title":"Peptidoglycan architecture can specify division planes in Staphylococcus aureus","container-title":"Nature Communications","page":"26","volume":"1","abstract":"Division in Staphylococci occurs equatorially and on specific sequentially orthogonal planes in three dimensions, resulting, after incomplete cell separation, in the 'bunch of grapes' cluster organization that defines the genus. The shape of Staphylococci is principally maintained by peptidoglycan. In this study, we use Atomic Force Microscopy (AFM) and fluorescence microscopy with vancomycin labelling to examine purified peptidoglycan architecture and its dynamics in Staphylococcus aureus and correlate these with the cell cycle. At the presumptive septum, cells were found to form a large belt of peptidoglycan in the division plane before the centripetal formation of the septal disc; this often had a 'piecrust' texture. After division, the structures remain as orthogonal ribs, encoding the location of past division planes in the cell wall. We propose that this epigenetic information is used to enable S. aureus to divide in sequentially orthogonal planes, explaining how a spherical organism can maintain division plane localization with fidelity over many generations.","DOI":"10.1038/ncomms1025","note":"PMID: 20975691","journalAbbreviation":"Nat Commun","author":[{"family":"Turner","given":"Robert D"},{"family":"Ratcliffe","given":"Emma C"},{"family":"Wheeler","given":"Richard"},{"family":"Golestanian","given":"Ramin"},{"family":"Hobbs","given":"Jamie K"},{"family":"Foster","given":"Simon J"}],"issued":{"year":2010},"accessed":{"year":2012,"month":3,"day":6}}}],"schema":"https://github.com/citation-style-language/schema/raw/master/csl-citation.json"} </w:instrText>
      </w:r>
      <w:r w:rsidRPr="00C00F77">
        <w:rPr>
          <w:rFonts w:ascii="Times New Roman" w:hAnsi="Times New Roman" w:cs="Times New Roman"/>
          <w:color w:val="000000" w:themeColor="text1"/>
          <w:sz w:val="24"/>
          <w:szCs w:val="24"/>
          <w:lang w:eastAsia="en-GB"/>
        </w:rPr>
        <w:fldChar w:fldCharType="separate"/>
      </w:r>
      <w:r w:rsidRPr="00C00F77">
        <w:rPr>
          <w:rFonts w:ascii="Times New Roman" w:hAnsi="Times New Roman" w:cs="Times New Roman"/>
          <w:color w:val="000000" w:themeColor="text1"/>
          <w:sz w:val="24"/>
          <w:szCs w:val="21"/>
        </w:rPr>
        <w:t xml:space="preserve">Turner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2010)</w:t>
      </w:r>
      <w:r w:rsidRPr="00C00F77">
        <w:rPr>
          <w:rFonts w:ascii="Times New Roman" w:hAnsi="Times New Roman" w:cs="Times New Roman"/>
          <w:color w:val="000000" w:themeColor="text1"/>
          <w:sz w:val="24"/>
          <w:szCs w:val="24"/>
          <w:lang w:eastAsia="en-GB"/>
        </w:rPr>
        <w:fldChar w:fldCharType="end"/>
      </w:r>
      <w:r w:rsidRPr="00C00F77">
        <w:rPr>
          <w:rFonts w:ascii="Times New Roman" w:hAnsi="Times New Roman" w:cs="Times New Roman"/>
          <w:color w:val="000000" w:themeColor="text1"/>
          <w:sz w:val="24"/>
          <w:szCs w:val="24"/>
          <w:lang w:eastAsia="en-GB"/>
        </w:rPr>
        <w:t>.</w:t>
      </w:r>
      <w:r w:rsidRPr="00C00F77">
        <w:rPr>
          <w:rFonts w:ascii="Times New Roman" w:hAnsi="Times New Roman" w:cs="Times New Roman"/>
          <w:i/>
          <w:color w:val="000000" w:themeColor="text1"/>
          <w:sz w:val="24"/>
          <w:szCs w:val="24"/>
          <w:lang w:eastAsia="en-GB"/>
        </w:rPr>
        <w:t xml:space="preserve"> </w:t>
      </w:r>
      <w:r w:rsidRPr="00C00F77">
        <w:rPr>
          <w:rFonts w:ascii="Times New Roman" w:hAnsi="Times New Roman" w:cs="Times New Roman"/>
          <w:color w:val="000000" w:themeColor="text1"/>
          <w:sz w:val="24"/>
          <w:szCs w:val="24"/>
          <w:lang w:eastAsia="en-GB"/>
        </w:rPr>
        <w:t>In the ovococci, following recruitment of the peripheral wall peptidoglycan synthesis machinery at the equatorial rings, a single annulus of peptidoglycan synthesis is detected from which both elongation and septation occur. Elongation and septation are therefore intimately linked processes in ovococci.</w:t>
      </w:r>
    </w:p>
    <w:p w:rsidR="002D7C9B" w:rsidRPr="00C00F77" w:rsidRDefault="002D7C9B" w:rsidP="002D7C9B">
      <w:pPr>
        <w:spacing w:after="120" w:line="480" w:lineRule="auto"/>
        <w:jc w:val="both"/>
        <w:rPr>
          <w:rFonts w:ascii="Times New Roman" w:hAnsi="Times New Roman" w:cs="Times New Roman"/>
          <w:color w:val="000000" w:themeColor="text1"/>
          <w:sz w:val="24"/>
          <w:szCs w:val="24"/>
          <w:lang w:eastAsia="en-GB"/>
        </w:rPr>
      </w:pPr>
      <w:r w:rsidRPr="00C00F77">
        <w:rPr>
          <w:rFonts w:ascii="Times New Roman" w:hAnsi="Times New Roman" w:cs="Times New Roman"/>
          <w:color w:val="000000" w:themeColor="text1"/>
          <w:sz w:val="24"/>
          <w:szCs w:val="24"/>
          <w:lang w:eastAsia="en-GB"/>
        </w:rPr>
        <w:t xml:space="preserve">A very recent study on </w:t>
      </w:r>
      <w:r w:rsidRPr="00C00F77">
        <w:rPr>
          <w:rFonts w:ascii="Times New Roman" w:hAnsi="Times New Roman" w:cs="Times New Roman"/>
          <w:i/>
          <w:color w:val="000000" w:themeColor="text1"/>
          <w:sz w:val="24"/>
          <w:szCs w:val="24"/>
          <w:lang w:eastAsia="en-GB"/>
        </w:rPr>
        <w:t>S. pneumoniae</w:t>
      </w:r>
      <w:r w:rsidRPr="00C00F77">
        <w:rPr>
          <w:rFonts w:ascii="Times New Roman" w:hAnsi="Times New Roman" w:cs="Times New Roman"/>
          <w:color w:val="000000" w:themeColor="text1"/>
          <w:sz w:val="24"/>
          <w:szCs w:val="24"/>
          <w:lang w:eastAsia="en-GB"/>
        </w:rPr>
        <w:t xml:space="preserve"> also provides support for the two-state elongation-septation model </w:t>
      </w:r>
      <w:r w:rsidRPr="00C00F77">
        <w:rPr>
          <w:rFonts w:ascii="Times New Roman" w:hAnsi="Times New Roman" w:cs="Times New Roman"/>
          <w:color w:val="000000" w:themeColor="text1"/>
          <w:sz w:val="24"/>
          <w:szCs w:val="24"/>
          <w:lang w:eastAsia="en-GB"/>
        </w:rPr>
        <w:fldChar w:fldCharType="begin"/>
      </w:r>
      <w:r w:rsidRPr="00C00F77">
        <w:rPr>
          <w:rFonts w:ascii="Times New Roman" w:hAnsi="Times New Roman" w:cs="Times New Roman"/>
          <w:color w:val="000000" w:themeColor="text1"/>
          <w:sz w:val="24"/>
          <w:szCs w:val="24"/>
          <w:lang w:eastAsia="en-GB"/>
        </w:rPr>
        <w:instrText xml:space="preserve"> ADDIN ZOTERO_ITEM CSL_CITATION {"citationID":"2du9k0961h","properties":{"formattedCitation":"(Land and Winkler, 2011)","plainCitation":"(Land and Winkler, 2011)"},"citationItems":[{"id":120,"uris":["http://zotero.org/users/944474/items/IV964CD6"],"uri":["http://zotero.org/users/944474/items/IV964CD6"],"itemData":{"id":120,"type":"article-journal","title":"The requirement for pneumococcal MreC and MreD is relieved by inactivation of the gene encoding PBP1a","container-title":"Journal of Bacteriology","page":"4166-4179","volume":"193","issue":"16","abstract":"MreC and MreD, along with the actin homologue MreB, are required to maintain the shape of rod-shaped bacteria. The depletion of MreCD in rod-shaped bacteria leads to the formation of spherical cells and the accumulation of suppressor mutations. Ovococcus bacteria, such as Streptococcus pneumoniae, lack MreB homologues, and the functions of the S. pneumoniae MreCD (MreCD(Spn)) proteins are unknown. mreCD are located upstream from the pcsB cell division gene in most Streptococcus species, but we found that mreCD and pcsB are transcribed independently. Similarly to rod-shaped bacteria, we show that mreCD are essential in the virulent serotype 2 D39 strain of S. pneumoniae, and the depletion of MreCD results in cell rounding and lysis. In contrast, laboratory strain R6 contains suppressors that allow the growth of ΔmreCD mutants, and bypass suppressors accumulate in D39 ΔmreCD mutants. One class of suppressors eliminates the function of class A penicillin binding protein 1a (PBP1a). Unencapsulated Δpbp1a D39 mutants have smaller diameters than their pbp1a(+) parent or Δpbp2a and Δpbp1b mutants, which lack other class A PBPs and do not show the suppression of ΔmreCD mutations. Suppressed ΔmreCD Δpbp1a double mutants form aberrantly shaped cells, some with misplaced peptidoglycan (PG) biosynthesis compared to that of single Δpbp1a mutants. Quantitative Western blotting showed that MreC(Spn) is abundant (≈8,500 dimers per cell), and immunofluorescent microscopy (IFM) located MreCD(Spn) to the equators and septa of dividing cells, similarly to the PBPs and PG pentapeptides indicative of PG synthesis. These combined results are consistent with a model in which MreCD(Spn) direct peripheral PG synthesis and control PBP1a localization or activity.","DOI":"10.1128/JB.05245-11","note":"PMID: 21685290","journalAbbreviation":"J. Bacteriol.","author":[{"family":"Land","given":"Adrian D"},{"family":"Winkler","given":"Malcolm E"}],"issued":{"year":2011,"month":8},"accessed":{"year":2012,"month":4,"day":2}}}],"schema":"https://github.com/citation-style-language/schema/raw/master/csl-citation.json"} </w:instrText>
      </w:r>
      <w:r w:rsidRPr="00C00F77">
        <w:rPr>
          <w:rFonts w:ascii="Times New Roman" w:hAnsi="Times New Roman" w:cs="Times New Roman"/>
          <w:color w:val="000000" w:themeColor="text1"/>
          <w:sz w:val="24"/>
          <w:szCs w:val="24"/>
          <w:lang w:eastAsia="en-GB"/>
        </w:rPr>
        <w:fldChar w:fldCharType="separate"/>
      </w:r>
      <w:r w:rsidRPr="00C00F77">
        <w:rPr>
          <w:rFonts w:ascii="Times New Roman" w:hAnsi="Times New Roman" w:cs="Times New Roman"/>
          <w:color w:val="000000" w:themeColor="text1"/>
          <w:sz w:val="24"/>
          <w:szCs w:val="21"/>
        </w:rPr>
        <w:t>(Land and Winkler, 2011)</w:t>
      </w:r>
      <w:r w:rsidRPr="00C00F77">
        <w:rPr>
          <w:rFonts w:ascii="Times New Roman" w:hAnsi="Times New Roman" w:cs="Times New Roman"/>
          <w:color w:val="000000" w:themeColor="text1"/>
          <w:sz w:val="24"/>
          <w:szCs w:val="24"/>
          <w:lang w:eastAsia="en-GB"/>
        </w:rPr>
        <w:fldChar w:fldCharType="end"/>
      </w:r>
      <w:r w:rsidRPr="00C00F77">
        <w:rPr>
          <w:rFonts w:ascii="Times New Roman" w:hAnsi="Times New Roman" w:cs="Times New Roman"/>
          <w:i/>
          <w:color w:val="000000" w:themeColor="text1"/>
          <w:sz w:val="24"/>
          <w:szCs w:val="24"/>
          <w:lang w:eastAsia="en-GB"/>
        </w:rPr>
        <w:t>.</w:t>
      </w:r>
      <w:r w:rsidRPr="00C00F77">
        <w:rPr>
          <w:rFonts w:ascii="Times New Roman" w:hAnsi="Times New Roman" w:cs="Times New Roman"/>
          <w:color w:val="000000" w:themeColor="text1"/>
          <w:sz w:val="24"/>
          <w:szCs w:val="24"/>
          <w:lang w:eastAsia="en-GB"/>
        </w:rPr>
        <w:t xml:space="preserve"> Our results are in agreement with recent studies in </w:t>
      </w:r>
      <w:r w:rsidRPr="00C00F77">
        <w:rPr>
          <w:rFonts w:ascii="Times New Roman" w:hAnsi="Times New Roman" w:cs="Times New Roman"/>
          <w:i/>
          <w:color w:val="000000" w:themeColor="text1"/>
          <w:sz w:val="24"/>
          <w:szCs w:val="24"/>
          <w:lang w:eastAsia="en-GB"/>
        </w:rPr>
        <w:t>L. lactis</w:t>
      </w:r>
      <w:r w:rsidRPr="00C00F77">
        <w:rPr>
          <w:rFonts w:ascii="Times New Roman" w:hAnsi="Times New Roman" w:cs="Times New Roman"/>
          <w:color w:val="000000" w:themeColor="text1"/>
          <w:sz w:val="24"/>
          <w:szCs w:val="24"/>
          <w:lang w:eastAsia="en-GB"/>
        </w:rPr>
        <w:t xml:space="preserve"> which revealed that in filamentous cells, peripheral wall synthesis was co-localised with FtsK, </w:t>
      </w:r>
      <w:r w:rsidRPr="00C00F77">
        <w:rPr>
          <w:rFonts w:ascii="Times New Roman" w:eastAsia="Calibri" w:hAnsi="Times New Roman" w:cs="Times New Roman"/>
          <w:color w:val="000000" w:themeColor="text1"/>
          <w:sz w:val="24"/>
          <w:szCs w:val="24"/>
        </w:rPr>
        <w:t xml:space="preserve">one of the first proteins to localize at the septal Z-ring </w:t>
      </w:r>
      <w:r w:rsidRPr="00C00F77">
        <w:rPr>
          <w:rFonts w:ascii="Times New Roman" w:eastAsia="Calibri" w:hAnsi="Times New Roman" w:cs="Times New Roman"/>
          <w:color w:val="000000" w:themeColor="text1"/>
          <w:sz w:val="24"/>
          <w:szCs w:val="24"/>
        </w:rPr>
        <w:fldChar w:fldCharType="begin"/>
      </w:r>
      <w:r w:rsidRPr="00C00F77">
        <w:rPr>
          <w:rFonts w:ascii="Times New Roman" w:eastAsia="Calibri" w:hAnsi="Times New Roman" w:cs="Times New Roman"/>
          <w:color w:val="000000" w:themeColor="text1"/>
          <w:sz w:val="24"/>
          <w:szCs w:val="24"/>
        </w:rPr>
        <w:instrText xml:space="preserve"> ADDIN ZOTERO_ITEM CSL_CITATION {"citationID":"15dfvcr919","properties":{"formattedCitation":"{\\rtf (P\\uc0\\u233{}rez-N\\uc0\\u250{}\\uc0\\u241{}ez et al., 2011)}","plainCitation":"(Pérez-Núñez et al., 2011)"},"citationItems":[{"id":93,"uris":["http://zotero.org/users/944474/items/IU5HEDB6"],"uri":["http://zotero.org/users/944474/items/IU5HEDB6"],"itemData":{"id":93,"type":"article-journal","title":"A new morphogenesis pathway in bacteria: unbalanced activity of cell wall synthesis machineries leads to coccus-to-rod transition and filamentation in ovococci","container-title":"Molecular Microbiology","page":"759-771","volume":"79","issue":"3","abstract":"Bacteria display a variety of shapes, which have biological relevance. In most eubacteria, cell shape is maintained by the tough peptidoglycan (PG) layer of the cell wall, the sacculus. The organization of PG synthesis machineries, orchestrated by different cytoskeletal elements, determines the specific shapes of sacculi. In rod-shaped bacteria, the actin-like (MreB) and the tubuline-like (FtsZ) cytoskeletons control synthesis of the sidewall (elongation) and the crosswall (septation) respectively. Much less is known concerning cell morphogenesis in cocci, which lack MreB proteins. While spherical cocci exclusively display septal growth, ovococci additionally display peripheral growth, which is responsible of the slight longitudinal expansion that generates their ovoid shape. Here, we report that the ovococcus Lactococcus lactis has the ability to become rod-shaped. L. lactis IL1403 wild-type cells form long aseptate filaments during both biofilm and planktonic growth in a synthetic medium. Nascent PG insertion and the division protein FtsK localize in multiple peripheral rings regularly spaced along the filaments. We show that filamentation results from septation inhibition, and that penicillin-binding proteins PBP2x and PBP2b play a direct role in this process. We propose a model for filament formation in L. lactis, and discuss the possible biological role of such morphological differentiation.","DOI":"10.1111/j.1365-2958.2010.07483.x","note":"PMID: 21255117","shortTitle":"A new morphogenesis pathway in bacteria","journalAbbreviation":"Mol. Microbiol.","author":[{"family":"Pérez-Núñez","given":"Daniel"},{"family":"Briandet","given":"Romain"},{"family":"David","given":"Blandine"},{"family":"Gautier","given":"Céline"},{"family":"Renault","given":"Pierre"},{"family":"Hallet","given":"Bernard"},{"family":"Hols","given":"Pascal"},{"family":"Carballido-López","given":"Rut"},{"family":"Guédon","given":"Eric"}],"issued":{"year":2011,"month":2},"accessed":{"year":2012,"month":4,"day":2}}}],"schema":"https://github.com/citation-style-language/schema/raw/master/csl-citation.json"} </w:instrText>
      </w:r>
      <w:r w:rsidRPr="00C00F77">
        <w:rPr>
          <w:rFonts w:ascii="Times New Roman" w:eastAsia="Calibri" w:hAnsi="Times New Roman" w:cs="Times New Roman"/>
          <w:color w:val="000000" w:themeColor="text1"/>
          <w:sz w:val="24"/>
          <w:szCs w:val="24"/>
        </w:rPr>
        <w:fldChar w:fldCharType="separate"/>
      </w:r>
      <w:r w:rsidRPr="00C00F77">
        <w:rPr>
          <w:rFonts w:ascii="Times New Roman" w:hAnsi="Times New Roman" w:cs="Times New Roman"/>
          <w:color w:val="000000" w:themeColor="text1"/>
          <w:sz w:val="24"/>
          <w:szCs w:val="24"/>
        </w:rPr>
        <w:t xml:space="preserve">(Pérez-Núñez </w:t>
      </w:r>
      <w:r w:rsidRPr="00294AE4">
        <w:rPr>
          <w:rFonts w:ascii="Times New Roman" w:hAnsi="Times New Roman" w:cs="Times New Roman"/>
          <w:i/>
          <w:color w:val="000000" w:themeColor="text1"/>
          <w:sz w:val="24"/>
          <w:szCs w:val="24"/>
        </w:rPr>
        <w:t>et al</w:t>
      </w:r>
      <w:r w:rsidRPr="00C00F77">
        <w:rPr>
          <w:rFonts w:ascii="Times New Roman" w:hAnsi="Times New Roman" w:cs="Times New Roman"/>
          <w:color w:val="000000" w:themeColor="text1"/>
          <w:sz w:val="24"/>
          <w:szCs w:val="24"/>
        </w:rPr>
        <w:t>., 2011)</w:t>
      </w:r>
      <w:r w:rsidRPr="00C00F77">
        <w:rPr>
          <w:rFonts w:ascii="Times New Roman" w:eastAsia="Calibri" w:hAnsi="Times New Roman" w:cs="Times New Roman"/>
          <w:color w:val="000000" w:themeColor="text1"/>
          <w:sz w:val="24"/>
          <w:szCs w:val="24"/>
        </w:rPr>
        <w:fldChar w:fldCharType="end"/>
      </w:r>
      <w:r w:rsidRPr="00C00F77">
        <w:rPr>
          <w:rFonts w:ascii="Times New Roman" w:hAnsi="Times New Roman" w:cs="Times New Roman"/>
          <w:color w:val="000000" w:themeColor="text1"/>
          <w:sz w:val="24"/>
          <w:szCs w:val="24"/>
          <w:lang w:eastAsia="en-GB"/>
        </w:rPr>
        <w:t xml:space="preserve">. Interestingly, it has been shown in </w:t>
      </w:r>
      <w:r w:rsidRPr="00C00F77">
        <w:rPr>
          <w:rFonts w:ascii="Times New Roman" w:hAnsi="Times New Roman" w:cs="Times New Roman"/>
          <w:i/>
          <w:color w:val="000000" w:themeColor="text1"/>
          <w:sz w:val="24"/>
          <w:szCs w:val="24"/>
          <w:lang w:eastAsia="en-GB"/>
        </w:rPr>
        <w:t>C. crescentus</w:t>
      </w:r>
      <w:r w:rsidRPr="00C00F77">
        <w:rPr>
          <w:rFonts w:ascii="Times New Roman" w:hAnsi="Times New Roman" w:cs="Times New Roman"/>
          <w:color w:val="000000" w:themeColor="text1"/>
          <w:sz w:val="24"/>
          <w:szCs w:val="24"/>
          <w:lang w:eastAsia="en-GB"/>
        </w:rPr>
        <w:t xml:space="preserve"> that independent of Mre-mediated elongation, FtsZ-dependent elongation also occurs prior to constriction </w:t>
      </w:r>
      <w:r w:rsidRPr="00C00F77">
        <w:rPr>
          <w:rFonts w:ascii="Times New Roman" w:hAnsi="Times New Roman" w:cs="Times New Roman"/>
          <w:color w:val="000000" w:themeColor="text1"/>
          <w:sz w:val="24"/>
          <w:szCs w:val="24"/>
          <w:lang w:eastAsia="en-GB"/>
        </w:rPr>
        <w:fldChar w:fldCharType="begin"/>
      </w:r>
      <w:r w:rsidRPr="00C00F77">
        <w:rPr>
          <w:rFonts w:ascii="Times New Roman" w:hAnsi="Times New Roman" w:cs="Times New Roman"/>
          <w:color w:val="000000" w:themeColor="text1"/>
          <w:sz w:val="24"/>
          <w:szCs w:val="24"/>
          <w:lang w:eastAsia="en-GB"/>
        </w:rPr>
        <w:instrText xml:space="preserve"> ADDIN ZOTERO_ITEM CSL_CITATION {"citationID":"10er5feavh","properties":{"formattedCitation":"(Aaron et al., 2007)","plainCitation":"(Aaron et al., 2007)"},"citationItems":[{"id":121,"uris":["http://zotero.org/users/944474/items/ES8M2PE5"],"uri":["http://zotero.org/users/944474/items/ES8M2PE5"],"itemData":{"id":121,"type":"article-journal","title":"The tubulin homologue FtsZ contributes to cell elongation by guiding cell wall precursor synthesis in Caulobacter crescentus","container-title":"Molecular Microbiology","page":"938-952","volume":"64","issue":"4","abstract":"The tubulin homologue FtsZ is well known for its essential function in bacterial cell division. Here, we show that in Caulobacter crescentus, FtsZ also plays a major role in cell elongation by spatially regulating the location of MurG, which produces the essential lipid II peptidoglycan cell wall precursor. The early assembly of FtsZ into a highly mobile ring-like structure during cell elongation is quickly followed by the recruitment of MurG and a major redirection of peptidoglycan precursor synthesis to the midcell region. These FtsZ-dependent events occur well before cell constriction and contribute to cell elongation. In the absence of FtsZ, MurG fails to accumulate near midcell and cell elongation proceeds unperturbed in appearance by insertion of peptidoglycan material along the entire sidewalls. Evidence suggests that bacteria use both a FtsZ-independent and a FtsZ-dependent mode of peptidoglycan synthesis to elongate, the importance of each mode depending on the timing of FtsZ assembly during elongation.","DOI":"10.1111/j.1365-2958.2007.05720.x","note":"PMID: 17501919","journalAbbreviation":"Mol. Microbiol.","author":[{"family":"Aaron","given":"Michelle"},{"family":"Charbon","given":"Godefroid"},{"family":"Lam","given":"Hubert"},{"family":"Schwarz","given":"Heinz"},{"family":"Vollmer","given":"Waldemar"},{"family":"Jacobs-Wagner","given":"Christine"}],"issued":{"year":2007,"month":5},"accessed":{"year":2012,"month":4,"day":2}}}],"schema":"https://github.com/citation-style-language/schema/raw/master/csl-citation.json"} </w:instrText>
      </w:r>
      <w:r w:rsidRPr="00C00F77">
        <w:rPr>
          <w:rFonts w:ascii="Times New Roman" w:hAnsi="Times New Roman" w:cs="Times New Roman"/>
          <w:color w:val="000000" w:themeColor="text1"/>
          <w:sz w:val="24"/>
          <w:szCs w:val="24"/>
          <w:lang w:eastAsia="en-GB"/>
        </w:rPr>
        <w:fldChar w:fldCharType="separate"/>
      </w:r>
      <w:r w:rsidRPr="00C00F77">
        <w:rPr>
          <w:rFonts w:ascii="Times New Roman" w:hAnsi="Times New Roman" w:cs="Times New Roman"/>
          <w:color w:val="000000" w:themeColor="text1"/>
          <w:sz w:val="24"/>
          <w:szCs w:val="21"/>
        </w:rPr>
        <w:t xml:space="preserve">(Aaron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2007)</w:t>
      </w:r>
      <w:r w:rsidRPr="00C00F77">
        <w:rPr>
          <w:rFonts w:ascii="Times New Roman" w:hAnsi="Times New Roman" w:cs="Times New Roman"/>
          <w:color w:val="000000" w:themeColor="text1"/>
          <w:sz w:val="24"/>
          <w:szCs w:val="24"/>
          <w:lang w:eastAsia="en-GB"/>
        </w:rPr>
        <w:fldChar w:fldCharType="end"/>
      </w:r>
      <w:r w:rsidRPr="00C00F77">
        <w:rPr>
          <w:rFonts w:ascii="Times New Roman" w:hAnsi="Times New Roman" w:cs="Times New Roman"/>
          <w:color w:val="000000" w:themeColor="text1"/>
          <w:sz w:val="24"/>
          <w:szCs w:val="24"/>
          <w:lang w:eastAsia="en-GB"/>
        </w:rPr>
        <w:t xml:space="preserve">. Co-localisation of all the high molecular weight penicillin binding proteins, which are responsible for peptidoglycan biosynthesis, with FtsZ has been reported in </w:t>
      </w:r>
      <w:r w:rsidRPr="00C00F77">
        <w:rPr>
          <w:rFonts w:ascii="Times New Roman" w:hAnsi="Times New Roman" w:cs="Times New Roman"/>
          <w:i/>
          <w:color w:val="000000" w:themeColor="text1"/>
          <w:sz w:val="24"/>
          <w:szCs w:val="24"/>
          <w:lang w:eastAsia="en-GB"/>
        </w:rPr>
        <w:t xml:space="preserve">S. pneumoniae </w:t>
      </w:r>
      <w:r w:rsidRPr="00C00F77">
        <w:rPr>
          <w:rFonts w:ascii="Times New Roman" w:hAnsi="Times New Roman" w:cs="Times New Roman"/>
          <w:i/>
          <w:color w:val="000000" w:themeColor="text1"/>
          <w:sz w:val="24"/>
          <w:szCs w:val="24"/>
          <w:lang w:eastAsia="en-GB"/>
        </w:rPr>
        <w:fldChar w:fldCharType="begin"/>
      </w:r>
      <w:r w:rsidRPr="00C00F77">
        <w:rPr>
          <w:rFonts w:ascii="Times New Roman" w:hAnsi="Times New Roman" w:cs="Times New Roman"/>
          <w:i/>
          <w:color w:val="000000" w:themeColor="text1"/>
          <w:sz w:val="24"/>
          <w:szCs w:val="24"/>
          <w:lang w:eastAsia="en-GB"/>
        </w:rPr>
        <w:instrText xml:space="preserve"> ADDIN ZOTERO_ITEM CSL_CITATION {"citationID":"1nvqfsgaal","properties":{"formattedCitation":"(Zapun et al., 2008)","plainCitation":"(Zapun et al., 2008)"},"citationItems":[{"id":87,"uris":["http://zotero.org/users/944474/items/N52MZFST"],"uri":["http://zotero.org/users/944474/items/N52MZFST"],"itemData":{"id":87,"type":"article-journal","title":"The different shapes of cocci","container-title":"FEMS Microbiology Reviews","page":"345-360","volume":"32","issue":"2","abstract":"The shape of bacteria is determined by their cell wall and can be very diverse. Even among genera with the suffix 'cocci', which are the focus of this review, different shapes exist. While staphylococci or Neisseria cells, for example, are truly round-shaped, streptococci, lactococci or enterococci have an ovoid shape. Interestingly, there seems to be a correlation between the shape of an organism and its set of penicillin-binding proteins--the enzymes that assemble the peptidoglycan, the main constituent of the cell wall. While only one peptidoglycan biosynthesis machinery seems to exist in staphylococci, two of these machineries are proposed to function in ovoid-shaped bacteria, reinforcing the intrinsic differences regarding the morphogenesis of different classes of cocci. The present review aims to integrate older ultra-structural data with recent localization studies, in order to clarify the relation between the mechanisms of cell wall synthesis and the determination of cell shape in various cocci.","DOI":"10.1111/j.1574-6976.2007.00098.x","note":"PMID: 18266741","journalAbbreviation":"FEMS Microbiol. Rev.","author":[{"family":"Zapun","given":"André"},{"family":"Vernet","given":"Thierry"},{"family":"Pinho","given":"Mariana G"}],"issued":{"year":2008,"month":3},"accessed":{"year":2012,"month":4,"day":2}}}],"schema":"https://github.com/citation-style-language/schema/raw/master/csl-citation.json"} </w:instrText>
      </w:r>
      <w:r w:rsidRPr="00C00F77">
        <w:rPr>
          <w:rFonts w:ascii="Times New Roman" w:hAnsi="Times New Roman" w:cs="Times New Roman"/>
          <w:i/>
          <w:color w:val="000000" w:themeColor="text1"/>
          <w:sz w:val="24"/>
          <w:szCs w:val="24"/>
          <w:lang w:eastAsia="en-GB"/>
        </w:rPr>
        <w:fldChar w:fldCharType="separate"/>
      </w:r>
      <w:r w:rsidRPr="00C00F77">
        <w:rPr>
          <w:rFonts w:ascii="Times New Roman" w:hAnsi="Times New Roman" w:cs="Times New Roman"/>
          <w:color w:val="000000" w:themeColor="text1"/>
          <w:sz w:val="24"/>
          <w:szCs w:val="21"/>
        </w:rPr>
        <w:t xml:space="preserve">(Zapun </w:t>
      </w:r>
      <w:r w:rsidRPr="00294AE4">
        <w:rPr>
          <w:rFonts w:ascii="Times New Roman" w:hAnsi="Times New Roman" w:cs="Times New Roman"/>
          <w:i/>
          <w:color w:val="000000" w:themeColor="text1"/>
          <w:sz w:val="24"/>
          <w:szCs w:val="21"/>
        </w:rPr>
        <w:t>et al</w:t>
      </w:r>
      <w:r w:rsidRPr="00C00F77">
        <w:rPr>
          <w:rFonts w:ascii="Times New Roman" w:hAnsi="Times New Roman" w:cs="Times New Roman"/>
          <w:color w:val="000000" w:themeColor="text1"/>
          <w:sz w:val="24"/>
          <w:szCs w:val="21"/>
        </w:rPr>
        <w:t>., 2008)</w:t>
      </w:r>
      <w:r w:rsidRPr="00C00F77">
        <w:rPr>
          <w:rFonts w:ascii="Times New Roman" w:hAnsi="Times New Roman" w:cs="Times New Roman"/>
          <w:i/>
          <w:color w:val="000000" w:themeColor="text1"/>
          <w:sz w:val="24"/>
          <w:szCs w:val="24"/>
          <w:lang w:eastAsia="en-GB"/>
        </w:rPr>
        <w:fldChar w:fldCharType="end"/>
      </w:r>
      <w:r w:rsidRPr="00C00F77">
        <w:rPr>
          <w:rFonts w:ascii="Times New Roman" w:hAnsi="Times New Roman" w:cs="Times New Roman"/>
          <w:color w:val="000000" w:themeColor="text1"/>
          <w:sz w:val="24"/>
          <w:szCs w:val="24"/>
          <w:lang w:eastAsia="en-GB"/>
        </w:rPr>
        <w:t xml:space="preserve"> suggesting that a similar mechanism to </w:t>
      </w:r>
      <w:r w:rsidRPr="00C00F77">
        <w:rPr>
          <w:rFonts w:ascii="Times New Roman" w:hAnsi="Times New Roman" w:cs="Times New Roman"/>
          <w:i/>
          <w:color w:val="000000" w:themeColor="text1"/>
          <w:sz w:val="24"/>
          <w:szCs w:val="24"/>
          <w:lang w:eastAsia="en-GB"/>
        </w:rPr>
        <w:t xml:space="preserve">C. crescentus </w:t>
      </w:r>
      <w:r w:rsidRPr="00C00F77">
        <w:rPr>
          <w:rFonts w:ascii="Times New Roman" w:hAnsi="Times New Roman" w:cs="Times New Roman"/>
          <w:color w:val="000000" w:themeColor="text1"/>
          <w:sz w:val="24"/>
          <w:szCs w:val="24"/>
          <w:lang w:eastAsia="en-GB"/>
        </w:rPr>
        <w:t>may exist in the ovococci for the coordination of elongation and constriction during the cell cycle. Unfortunately there are no studies reporting FtsZ-depletion in ovococcal species. If both peripheral elongation and septation are FtsZ-dependent events, the strictly sequential process of peripheral elongation prior to septation observed in this study would be necessary to prevent formation of coccoid shaped cells due to premature septation. Such a finding would raise the possibility that, in ovococci, peripheral elongation and septal biosynthesis machineries share common elements, in addition to the unique components of the ovococcal elongasome and divisome.</w:t>
      </w:r>
    </w:p>
    <w:p w:rsidR="000179F1" w:rsidRDefault="000179F1">
      <w:pPr>
        <w:rPr>
          <w:rFonts w:ascii="Times New Roman" w:hAnsi="Times New Roman" w:cs="Times New Roman"/>
          <w:sz w:val="24"/>
          <w:szCs w:val="24"/>
        </w:rPr>
      </w:pPr>
      <w:r>
        <w:rPr>
          <w:rFonts w:ascii="Times New Roman" w:hAnsi="Times New Roman" w:cs="Times New Roman"/>
          <w:sz w:val="24"/>
          <w:szCs w:val="24"/>
        </w:rPr>
        <w:br w:type="page"/>
      </w:r>
    </w:p>
    <w:p w:rsidR="00AA5269" w:rsidRDefault="00AA5269" w:rsidP="00AA5269">
      <w:pPr>
        <w:jc w:val="center"/>
        <w:rPr>
          <w:rFonts w:ascii="Times New Roman" w:hAnsi="Times New Roman" w:cs="Times New Roman"/>
          <w:sz w:val="28"/>
          <w:szCs w:val="28"/>
        </w:rPr>
      </w:pPr>
      <w:r>
        <w:rPr>
          <w:rFonts w:ascii="Times New Roman" w:hAnsi="Times New Roman" w:cs="Times New Roman"/>
          <w:sz w:val="28"/>
          <w:szCs w:val="28"/>
        </w:rPr>
        <w:lastRenderedPageBreak/>
        <w:t>Chapter 4</w:t>
      </w:r>
    </w:p>
    <w:p w:rsidR="00AA5269" w:rsidRDefault="00AA5269" w:rsidP="00AA5269">
      <w:pPr>
        <w:jc w:val="center"/>
        <w:rPr>
          <w:rFonts w:ascii="Times New Roman" w:hAnsi="Times New Roman" w:cs="Times New Roman"/>
          <w:i/>
          <w:sz w:val="28"/>
          <w:szCs w:val="28"/>
        </w:rPr>
      </w:pPr>
      <w:r>
        <w:rPr>
          <w:rFonts w:ascii="Times New Roman" w:hAnsi="Times New Roman" w:cs="Times New Roman"/>
          <w:sz w:val="28"/>
          <w:szCs w:val="28"/>
        </w:rPr>
        <w:t xml:space="preserve">Peptidoglycan architecture of </w:t>
      </w:r>
      <w:r>
        <w:rPr>
          <w:rFonts w:ascii="Times New Roman" w:hAnsi="Times New Roman" w:cs="Times New Roman"/>
          <w:i/>
          <w:sz w:val="28"/>
          <w:szCs w:val="28"/>
        </w:rPr>
        <w:t>S. aureus</w:t>
      </w:r>
    </w:p>
    <w:p w:rsidR="00AA5269" w:rsidRDefault="00AA5269" w:rsidP="00AA5269">
      <w:pPr>
        <w:rPr>
          <w:rFonts w:ascii="Times New Roman" w:hAnsi="Times New Roman" w:cs="Times New Roman"/>
          <w:sz w:val="24"/>
          <w:szCs w:val="24"/>
        </w:rPr>
      </w:pPr>
    </w:p>
    <w:p w:rsidR="00AA5269" w:rsidRDefault="00AA5269" w:rsidP="00AA5269">
      <w:pPr>
        <w:spacing w:line="360" w:lineRule="auto"/>
        <w:jc w:val="center"/>
        <w:rPr>
          <w:rFonts w:ascii="Times New Roman" w:hAnsi="Times New Roman" w:cs="Times New Roman"/>
          <w:sz w:val="24"/>
          <w:szCs w:val="24"/>
        </w:rPr>
      </w:pPr>
      <w:r>
        <w:rPr>
          <w:rFonts w:ascii="Times New Roman" w:hAnsi="Times New Roman" w:cs="Times New Roman"/>
          <w:sz w:val="24"/>
          <w:szCs w:val="24"/>
        </w:rPr>
        <w:t>The work in this chapter was carried out in collaboration with Robert D. Turner (AFM and vancomycin labelling) and Emma C. Ratcliffe (AFM).</w:t>
      </w:r>
    </w:p>
    <w:p w:rsidR="00AA5269" w:rsidRDefault="00AA5269" w:rsidP="00AA5269">
      <w:pPr>
        <w:rPr>
          <w:rFonts w:ascii="Times New Roman" w:hAnsi="Times New Roman" w:cs="Times New Roman"/>
          <w:sz w:val="24"/>
          <w:szCs w:val="24"/>
        </w:rPr>
      </w:pPr>
    </w:p>
    <w:p w:rsidR="00AA5269" w:rsidRDefault="00AA5269" w:rsidP="00AA5269">
      <w:pPr>
        <w:spacing w:line="480" w:lineRule="auto"/>
        <w:rPr>
          <w:rFonts w:ascii="Times New Roman" w:hAnsi="Times New Roman" w:cs="Times New Roman"/>
          <w:sz w:val="28"/>
          <w:szCs w:val="28"/>
        </w:rPr>
      </w:pPr>
      <w:r>
        <w:rPr>
          <w:rFonts w:ascii="Times New Roman" w:hAnsi="Times New Roman" w:cs="Times New Roman"/>
          <w:sz w:val="28"/>
          <w:szCs w:val="28"/>
        </w:rPr>
        <w:t>4.1</w:t>
      </w:r>
      <w:r>
        <w:rPr>
          <w:rFonts w:ascii="Times New Roman" w:hAnsi="Times New Roman" w:cs="Times New Roman"/>
          <w:sz w:val="28"/>
          <w:szCs w:val="28"/>
        </w:rPr>
        <w:tab/>
      </w:r>
      <w:r>
        <w:rPr>
          <w:rFonts w:ascii="Times New Roman" w:hAnsi="Times New Roman" w:cs="Times New Roman"/>
          <w:sz w:val="28"/>
          <w:szCs w:val="28"/>
        </w:rPr>
        <w:tab/>
        <w:t>Introduction</w:t>
      </w:r>
    </w:p>
    <w:p w:rsidR="00AA5269" w:rsidRDefault="00AA5269" w:rsidP="00AA5269">
      <w:pPr>
        <w:spacing w:line="480" w:lineRule="auto"/>
        <w:rPr>
          <w:rFonts w:ascii="Times New Roman" w:hAnsi="Times New Roman" w:cs="Times New Roman"/>
          <w:i/>
          <w:sz w:val="28"/>
          <w:szCs w:val="28"/>
        </w:rPr>
      </w:pPr>
      <w:r>
        <w:rPr>
          <w:rFonts w:ascii="Times New Roman" w:hAnsi="Times New Roman" w:cs="Times New Roman"/>
          <w:sz w:val="28"/>
          <w:szCs w:val="28"/>
        </w:rPr>
        <w:t>4.1.1</w:t>
      </w:r>
      <w:r>
        <w:rPr>
          <w:rFonts w:ascii="Times New Roman" w:hAnsi="Times New Roman" w:cs="Times New Roman"/>
          <w:sz w:val="28"/>
          <w:szCs w:val="28"/>
        </w:rPr>
        <w:tab/>
      </w:r>
      <w:r>
        <w:rPr>
          <w:rFonts w:ascii="Times New Roman" w:hAnsi="Times New Roman" w:cs="Times New Roman"/>
          <w:sz w:val="28"/>
          <w:szCs w:val="28"/>
        </w:rPr>
        <w:tab/>
        <w:t xml:space="preserve">The cell wall architecture of </w:t>
      </w:r>
      <w:r>
        <w:rPr>
          <w:rFonts w:ascii="Times New Roman" w:hAnsi="Times New Roman" w:cs="Times New Roman"/>
          <w:i/>
          <w:sz w:val="28"/>
          <w:szCs w:val="28"/>
        </w:rPr>
        <w:t>S. aureus</w:t>
      </w:r>
    </w:p>
    <w:p w:rsidR="00AA5269" w:rsidRDefault="00AA5269" w:rsidP="00AA5269">
      <w:pPr>
        <w:spacing w:after="120" w:line="48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Whilst several models of peptidoglycan architecture have been proposed based </w:t>
      </w:r>
      <w:r>
        <w:rPr>
          <w:rFonts w:ascii="Times New Roman" w:hAnsi="Times New Roman" w:cs="Times New Roman"/>
          <w:color w:val="000000" w:themeColor="text1"/>
          <w:sz w:val="24"/>
          <w:szCs w:val="24"/>
        </w:rPr>
        <w:t xml:space="preserve">primarily on characterisation of the peptidoglycan biochemistry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{"citationID":"21c00fpivn","properties":{"formattedCitation":"(Koch, 1998; Dmitriev et al., 2004; Meroueh et al., 2006; Vollmer and Seligman, 2010)","plainCitation":"(Koch, 1998; Dmitriev et al., 2004; Meroueh et al., 2006; Vollmer and Seligman, 2010)"},"citationItems":[{"id":82,"uris":["http://zotero.org/users/944474/items/RSPA52DZ"],"uri":["http://zotero.org/users/944474/items/RSPA52DZ"],"itemData":{"id":82,"type":"article-journal","title":"Orientation of the peptidoglycan chains in the sacculus of Escherichia coli","container-title":"Research in Microbiology","page":"689-701","volume":"149","issue":"10","abstract":"The organization of chains of oligopeptidoglycan in the saccular wall is of critical importance in the study of the mechanism and physiology of prokaryotic wall growth. The electron microphotographs of De Pedro et al. present new findings and can be used to negate or at least raise questions about the previously accepted conclusion that the glycan chains are oriented transversely to the axis of rod-shaped Escherichia coli. This suggests caution in assuming that the glycan chains in the murein structure are parallel to each other and are perpendicular to the axis of the cell. These results should reopen the question of not only the orientation of the peptidoglycan chains, but the possibility of variability in orientation. Three classes of hypotheses about wall growth are reconsidered and problems with them are presented. The new results from De Pedro's laboratory and the experimental glycan chain length distribution argue against proposed systematic models. These include models that postulate belts or hoops stretched around the circumference of the cell and mechanisms that insert new chains of the length of presumptive \"docking\" strands in the stress-bearing wall. They are consistent, however, with the surface stress theory that proposes that random enzyme action together with physical forces are involved in the elongation of the rod-shaped Gram-negative wall.","note":"PMID: 9921576","journalAbbreviation":"Res. Microbiol.","author":[{"family":"Koch","given":"A L"}],"issued":{"year":1998,"month":12},"accessed":{"year":2012,"month":4,"day":2},"page-first":"689"}},{"id":105,"uris":["http://zotero.org/users/944474/items/TJQSNHHI"],"uri":["http://zotero.org/users/944474/items/TJQSNHHI"],"itemData":{"id":105,"type":"article-journal","title":"Tertiary structure of Staphylococcus aureus cell wall murein","container-title":"Journal of Bacteriology","page":"7141-7148","volume":"186","issue":"21","abstract":"The recently described scaffold model of murein architecture depicts the gram-negative bacterial cell wall as a gel-like matrix composed of cross-linked glycan strands oriented perpendicularly to the plasma membrane while peptide bridges adopt a parallel orientation (B. A. Dmitriev, F. V. Toukach, K. J. Schaper, O. Holst, E. T. Rietschel, and S. Ehlers, J. Bacteriol. 185:3458-3468, 2003). Based on the scaffold model, we now present computer simulation studies on the peptidoglycan arrangement of the gram-positive organism Staphylococcus aureus, which show that the orientation of peptide bridges is critical for the highly cross-linked murein architecture of this microorganism. According to the proposed refined model, staphylococcal murein is composed of glycan and oligopeptide chains, both running in a plane that is perpendicular to the plasma membrane, with oligopeptide chains adopting a zigzag conformation and zippering adjacent glycan strands along their lengths. In contrast to previous models of murein in gram-positive bacteria, this model reflects the high degree of cross-linking that is the hallmark of the staphylococcal cell wall and is compatible with distinguishing features of S. aureus cytokinesis such as the triple consecutive alteration of the division plane orientation and the strictly centripetal mode of septum closure.","DOI":"10.1128/JB.186.21.7141-7148.2004","note":"PMID: 15489425","journalAbbreviation":"J. Bacteriol.","author":[{"family":"Dmitriev","given":"Boris A"},{"family":"Toukach","given":"Filip V"},{"family":"Holst","given":"O"},{"family":"Rietschel","given":"E T"},{"family":"Ehlers","given":"S"}],"issued":{"year":2004,"month":11},"accessed":{"year":2012,"month":4,"day":2},"page-first":"7141"}},{"id":83,"uris":["http://zotero.org/users/944474/items/WHSAE7JK"],"uri":["http://zotero.org/users/944474/items/WHSAE7JK"],"itemData":{"id":83,"type":"article-journal","title":"Three-dimensional structure of the bacterial cell wall peptidoglycan","container-title":"Proceedings of the National Academy of Sciences of the United States of America","page":"4404-4409","volume":"103","issue":"12","abstract":"The 3D structure of the bacterial peptidoglycan, the major constituent of the cell wall, is one of the most important, yet still unsolved, structural problems in biochemistry. The peptidoglycan comprises alternating N-acetylglucosamine (NAG) and N-acetylmuramic disaccharide (NAM) saccharides, the latter of which has a peptide stem. Adjacent peptide stems are cross-linked by the transpeptidase enzymes of cell wall biosynthesis to provide the cell wall polymer with the structural integrity required by the bacterium. The cell wall and its biosynthetic enzymes are targets of antibiotics. The 3D structure of the cell wall has been elusive because of its complexity and the lack of pure samples. Herein we report the 3D solution structure as determined by NMR of the 2-kDa NAG-NAM(pentapeptide)-NAG-NAM(pentapeptide) synthetic fragment of the cell wall. The glycan backbone of this peptidoglycan forms a right-handed helix with a periodicity of three for the NAG-NAM repeat (per turn of the helix). The first two amino acids of the pentapeptide adopt a limited number of conformations. Based on this structure a model for the bacterial cell wall is proposed.","DOI":"10.1073/pnas.0510182103","note":"PMID: 16537437","journalAbbreviation":"Proc. Natl. Acad. Sci. U.S.A.","author":[{"family":"Meroueh","given":"Samy O"},{"family":"Bencze","given":"Krisztina Z"},{"family":"Hesek","given":"Dusan"},{"family":"Lee","given":"Mijoon"},{"family":"Fisher","given":"Jed F"},{"family":"Stemmler","given":"Timothy L"},{"family":"Mobashery","given":"Shahriar"}],"issued":{"year":2006,"month":3,"day":21},"accessed":{"year":2012,"month":4,"day":2},"page-first":"4404"}},{"id":86,"uris":["http://zotero.org/users/944474/items/EJQB4RC2"],"uri":["http://zotero.org/users/944474/items/EJQB4RC2"],"itemData":{"id":86,"type":"article-journal","title":"Architecture of peptidoglycan: more data and more models","container-title":"Trends in Microbiology","page":"59-66","volume":"18","issue":"2","abstract":"Peptidoglycan forms a net-like sacculus made of glycan strands crosslinked by peptides. The length of the glycan strands and the degree of crosslinkage vary with bacterial species, strains and growth conditions. Several models for the three-dimensional architecture of peptidoglycan have been proposed, some of which have been tested experimentally. The new data support a layered model in Gram-negative bacteria, and a more elaborate peptidoglycan architecture, with bands made of coiled bundles of glycan strands, in the rod-shaped Bacillus subtilis. However, many questions remain unanswered and, therefore, more data and more models are required to decipher the complex cell wall architecture in bacteria.","DOI":"10.1016/j.tim.2009.12.004","note":"PMID: 20060721","shortTitle":"Architecture of peptidoglycan","journalAbbreviation":"Trends Microbiol.","author":[{"family":"Vollmer","given":"Waldemar"},{"family":"Seligman","given":"Stephen J"}],"issued":{"year":2010,"month":2},"accessed":{"year":2012,"month":4,"day":2},"page-first":"59"}}],"schema":"https://github.com/citation-style-language/schema/raw/master/csl-citation.json"}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(Koch, 1998; Dmitriev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xml:space="preserve">., 2004; Meroueh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2006; Vollmer and Seligman, 2010)</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direct observation of the cell wall architecture has proved challenging. A number of features have been identified by microscopy of the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xml:space="preserve"> cell wall ultrastructure. Equatorial rings associated with septal disks were observed by EM of purified sacculi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{"citationID":"1es71arkhl","properties":{"formattedCitation":"(Gilbo et al., 1967)","plainCitation":"(Gilbo et al., 1967)"},"citationItems":[{"id":647,"uris":["http://zotero.org/users/944474/items/AGWPGJUA"],"uri":["http://zotero.org/users/944474/items/AGWPGJUA"],"itemData":{"id":647,"type":"article-journal","title":"Electron Microscopy of the Lysis of Staphylococcus aureus Cell Walls by Aeromonas Lytic Factor","container-title":"Journal of Bacteriology","page":"1972-1975","volume":"93","issue":"6","abstract":"Isolated and purified cell walls of Staphylococcus aureus were treated with a purified fraction of the culture supernatant fluid of a species of Aeromonas. The course of lysis of the cell walls was followed over a period of time by examination of samples under an electron microscope. The undifferentiated cell wall was rapidly digested, but the equatorial rings were more resistant. The undifferentiated cell wall became a very thin sheet before completely dissolving, leaving a series of equatorial rings of various widths. As digestion proceeded, solubilization of the entire cell wall occurred. Analogous findings were obtained with purified S. aureus mucopeptide. It is concluded that the Aeromonas lytic principle is an enzyme, and that susceptible bonds are more concentrated in the undifferentiated cell wall mucopeptide.","note":"PMID: 6025309\nPMCID: PMC276717","journalAbbreviation":"J Bacteriol","author":[{"family":"Gilbo","given":"C. M."},{"family":"Beaton","given":"C. D."},{"family":"Coles","given":"N. W."}],"issued":{"year":1967,"month":6},"accessed":{"year":2012,"month":6,"day":29},"page-first":"1972"}}],"schema":"https://github.com/citation-style-language/schema/raw/master/csl-citation.json"}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(Gilbo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1967)</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EM and AFM studies revealed centripetal rings associated with the exposed septal crosswall following division, and a fibrous honeycomb architecture was observed at the mature wall by AFM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{"citationID":"3vsq869ic","properties":{"formattedCitation":"(Amako and Umeda, 1978; Giesbrecht et al., 1992, 1997; Touhami et al., 2004)","plainCitation":"(Amako and Umeda, 1978; Giesbrecht et al., 1992, 1997; Touhami et al., 2004)"},"citationItems":[{"id":131,"uris":["http://zotero.org/users/944474/items/KKX82EJN"],"uri":["http://zotero.org/users/944474/items/KKX82EJN"],"itemData":{"id":131,"type":"article-journal","title":"Concentric circular structure of the cell wall of Staphylococcus epidermidis revealed by the scanning electron microscope","container-title":"Journal of Electron Microscopy","page":"147-148","volume":"27","issue":"2","note":"PMID: 690561","journalAbbreviation":"J Electron Microsc (Tokyo)","author":[{"family":"Amako","given":"K"},{"family":"Umeda","given":"A"}],"issued":{"year":1978},"accessed":{"year":2012,"month":4,"day":18},"page-first":"147"}},{"id":150,"uris":["http://zotero.org/users/944474/items/E6WNMHDE"],"uri":["http://zotero.org/users/944474/items/E6WNMHDE"],"itemData":{"id":150,"type":"article-journal","title":"Fan-shaped ejections of regularly arranged murosomes involved in penicillin-induced death of staphylococci","container-title":"Journal of Bacteriology","page":"2241-2252","volume":"174","issue":"7","abstract":"Electron microscopic research into the murosomes of staphylococci has shown that the number of murosomes involved in penicillin-induced death varies depending on the experimental conditions employed. With 0.1 micrograms of penicillin G per ml, only 1 of a total of about 20 murosomes, the \"killing murosome,\" completely perforated the pressure-stabilized peripheral cell wall during a three-step process. This strictly localized event was mainly attributed to a mechanical effect being comparable to the process of aneurysm formation. Wall perforation was also considered to mark the very moment of penicillin-induced death (\"nonlytic killing event\"), while bacteriolysis started only postmortem. By varying the osmolarity of the growth medium, the number of murosomes involved in penicillin-induced killing increased considerably, which resulted in the ejection of a fan-shaped row of murosomes at the second division plane. These data are compatible with the finding that, in untreated or chloramphenicol-treated staphylococci, the activation of the murosomes resulted in (i) the formation of regularly arranged \"blebs\" on the cell surface, containing traces of disintegrated wall material, and (ii) the subsequent liberation of the murosomes lying underneath, leaving behind their former sites in the peripheral wall as a row of regularly arranged \"pores\" in every division plane. The number, distribution, and positioning of these blebs corresponded with those of the pores and the original murosomes. The significance of wall autolysins liberated from the first division plane for penicillin-induced wall perforation at the second division plane is discussed.","note":"PMID: 1551845","journalAbbreviation":"J. Bacteriol.","author":[{"family":"Giesbrecht","given":"P"},{"family":"Kersten","given":"T"},{"family":"Wecke","given":"J"}],"issued":{"year":1992,"month":4},"accessed":{"year":2012,"month":4,"day":23},"page-first":"2241"}},{"id":149,"uris":["http://zotero.org/users/944474/items/QDZQRNW8"],"uri":["http://zotero.org/users/944474/items/QDZQRNW8"],"itemData":{"id":149,"type":"article-journal","title":"Two alternative mechanisms of cell separation in staphylococci: one lytic and one mechanical","container-title":"Archives of Microbiology","page":"239-250","volume":"167","issue":"4","abstract":"Electron microscopy studies revealed two different mechanisms of cell separation in Staphylococcus aureus. Both mechanisms were initiated by the centrifugal lytic action (directed outward from the center) of murosomes, which perforated the peripheral cell wall. Thereafter, during the first type of cell separation, murosomes also lysed large parts of the cross wall proper in the opposite, i.e., centripetal direction, forming spokelike lytic lesions (\"separation scars\") next to the most prominent structure of the cross wall, the splitting system. This bidirectional lytic action of murosomes revealed that the staphylococcal cross wall is composed of permanent and transitory parts; transitory parts constituted about one-third of the volume of the total cross wall and seemed to be digested during cell separation. The second mechanism of cell separation was encountered within the splitting system, which has been regarded as the main control unit for lytic cell separation for more than 25 years. The splitting system, however, represents mainly a mechanical aid for cell separation and becomes effective when cell-wall autolytic activities are insufficient.","note":"PMID: 9075623","shortTitle":"Two alternative mechanisms of cell separation in staphylococci","journalAbbreviation":"Arch. Microbiol.","author":[{"family":"Giesbrecht","given":"P"},{"family":"Kersten","given":"T"},{"family":"Maidhof","given":"H"},{"family":"Wecke","given":"J"}],"issued":{"year":1997,"month":4},"accessed":{"year":2012,"month":4,"day":23},"page-first":"239"}},{"id":147,"uris":["http://zotero.org/users/944474/items/H8B2DIMV"],"uri":["http://zotero.org/users/944474/items/H8B2DIMV"],"itemData":{"id":147,"type":"article-journal","title":"Atomic force microscopy of cell growth and division in Staphylococcus aureus","container-title":"Journal of Bacteriology","page":"3286-3295","volume":"186","issue":"11","abstract":"The growth and division of Staphylococcus aureus was monitored by atomic force microscopy (AFM) and thin-section transmission electron microscopy (TEM). A good correlation of the structural events of division was found using the two microscopies, and AFM was able to provide new additional information. AFM was performed under water, ensuring that all structures were in the hydrated condition. Sequential images on the same structure revealed progressive changes to surfaces, suggesting the cells were growing while images were being taken. Using AFM small depressions were seen around the septal annulus at the onset of division that could be attributed to so-called murosomes (Giesbrecht et al., Arch. Microbiol. 141:315-324, 1985). The new cell wall formed from the cross wall (i.e., completed septum) after cell separation and possessed concentric surface rings and a central depression; these structures could be correlated to a midline of reactive material in the developing septum that was seen by TEM. The older wall, that which was not derived from a newly formed cross wall, was partitioned into two different surface zones, smooth and gel-like zones, with different adhesive properties that could be attributed to cell wall turnover. The new and old wall topographies are equated to possible peptidoglycan arrangements, but no conclusion can be made regarding the planar or scaffolding models.","DOI":"10.1128/JB.186.11.3286-3295.2004","note":"PMID: 15150213","journalAbbreviation":"J. Bacteriol.","author":[{"family":"Touhami","given":"Ahmed"},{"family":"Jericho","given":"Manfred H"},{"family":"Beveridge","given":"Terry J"}],"issued":{"year":2004,"month":6},"accessed":{"year":2012,"month":4,"day":22},"page-first":"3286"}}],"schema":"https://github.com/citation-style-language/schema/raw/master/csl-citation.json"}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(Amako and Umeda, 1978; Giesbrecht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xml:space="preserve">., 1992, 1997; Touhami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2004)</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Video AFM has been used to observe growth and division of individual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xml:space="preserve"> cells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{"citationID":"1nqkqmuu7u","properties":{"formattedCitation":"(Kailas et al., 2009)","plainCitation":"(Kailas et al., 2009)"},"citationItems":[{"id":245,"uris":["http://zotero.org/users/944474/items/EMBE5KM2"],"uri":["http://zotero.org/users/944474/items/EMBE5KM2"],"itemData":{"id":245,"type":"article-journal","title":"Immobilizing live bacteria for AFM imaging of cellular processes","container-title":"Ultramicroscopy","page":"775-780","volume":"109","issue":"7","abstract":"Coccoid cells of the bacterial species Staphylococcus aureus have been mechanically trapped in lithographically patterned substrates and imaged under growth media using atomic force microscopy (AFM) in order to follow cellular processes. The cells are not perturbed as there is no chemical linkage to the surface. Confinement effects are minimized compared to trapping the cells in porous membranes or soft gels. S. aureus cells have been imaged undergoing cell division whilst trapped in the patterned substrates. Entrapment in lithographically patterned substrates provides a novel way for anchoring bacterial cells so that the AFM tip will not push the cells off during imaging, whilst allowing the bacteria to continue with cellular processes.","DOI":"10.1016/j.ultramic.2009.01.012","note":"PMID: 19268460","journalAbbreviation":"Ultramicroscopy","author":[{"family":"Kailas","given":"L"},{"family":"Ratcliffe","given":"E C"},{"family":"Hayhurst","given":"E J"},{"family":"Walker","given":"M G"},{"family":"Foster","given":"S J"},{"family":"Hobbs","given":"J K"}],"issued":{"year":2009,"month":6},"accessed":{"year":2012,"month":5,"day":22},"page-first":"775"}}],"schema":"https://github.com/citation-style-language/schema/raw/master/csl-citation.json"}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(Kailas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2009)</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p>
    <w:p w:rsidR="00AA5269" w:rsidRDefault="00AA5269" w:rsidP="00AA5269">
      <w:pPr>
        <w:spacing w:after="120" w:line="48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Despite the fact that AFM is a method capable of generating high contrast, nanometre</w:t>
      </w:r>
      <w:r>
        <w:rPr>
          <w:rFonts w:ascii="Times New Roman" w:hAnsi="Times New Roman" w:cs="Times New Roman"/>
          <w:sz w:val="24"/>
          <w:szCs w:val="24"/>
        </w:rPr>
        <w:t xml:space="preserve"> resolution images of surfaces, </w:t>
      </w:r>
      <w:proofErr w:type="gramStart"/>
      <w:r>
        <w:rPr>
          <w:rFonts w:ascii="Times New Roman" w:hAnsi="Times New Roman" w:cs="Times New Roman"/>
          <w:sz w:val="24"/>
          <w:szCs w:val="24"/>
        </w:rPr>
        <w:t>this</w:t>
      </w:r>
      <w:proofErr w:type="gramEnd"/>
      <w:r>
        <w:rPr>
          <w:rFonts w:ascii="Times New Roman" w:hAnsi="Times New Roman" w:cs="Times New Roman"/>
          <w:sz w:val="24"/>
          <w:szCs w:val="24"/>
        </w:rPr>
        <w:t xml:space="preserve"> technique has not been used specifically to probe the peptidoglycan architecture of purified </w:t>
      </w:r>
      <w:r>
        <w:rPr>
          <w:rFonts w:ascii="Times New Roman" w:hAnsi="Times New Roman" w:cs="Times New Roman"/>
          <w:i/>
          <w:sz w:val="24"/>
          <w:szCs w:val="24"/>
        </w:rPr>
        <w:t>S. aureus</w:t>
      </w:r>
      <w:r>
        <w:rPr>
          <w:rFonts w:ascii="Times New Roman" w:hAnsi="Times New Roman" w:cs="Times New Roman"/>
          <w:sz w:val="24"/>
          <w:szCs w:val="24"/>
        </w:rPr>
        <w:t xml:space="preserve"> sacculi. Studies of the cell wall ultrastructure have typically imaged living cells, where secondary wall polymers and proteins could contribute to the observed architecture This chapter aims to characterise </w:t>
      </w:r>
      <w:r>
        <w:rPr>
          <w:rFonts w:ascii="Times New Roman" w:hAnsi="Times New Roman" w:cs="Times New Roman"/>
          <w:sz w:val="24"/>
          <w:szCs w:val="24"/>
        </w:rPr>
        <w:lastRenderedPageBreak/>
        <w:t xml:space="preserve">the major architectural features of </w:t>
      </w:r>
      <w:r>
        <w:rPr>
          <w:rFonts w:ascii="Times New Roman" w:hAnsi="Times New Roman" w:cs="Times New Roman"/>
          <w:i/>
          <w:sz w:val="24"/>
          <w:szCs w:val="24"/>
        </w:rPr>
        <w:t>S. aureus</w:t>
      </w:r>
      <w:r>
        <w:rPr>
          <w:rFonts w:ascii="Times New Roman" w:hAnsi="Times New Roman" w:cs="Times New Roman"/>
          <w:sz w:val="24"/>
          <w:szCs w:val="24"/>
        </w:rPr>
        <w:t xml:space="preserve"> by AFM of sacculi, and to relate these to the growth mode of the cell. This data will be used as a foundation on which to develop new methods for investigating the </w:t>
      </w:r>
      <w:r>
        <w:rPr>
          <w:rFonts w:ascii="Times New Roman" w:hAnsi="Times New Roman" w:cs="Times New Roman"/>
          <w:i/>
          <w:sz w:val="24"/>
          <w:szCs w:val="24"/>
        </w:rPr>
        <w:t xml:space="preserve">in situ </w:t>
      </w:r>
      <w:r>
        <w:rPr>
          <w:rFonts w:ascii="Times New Roman" w:hAnsi="Times New Roman" w:cs="Times New Roman"/>
          <w:sz w:val="24"/>
          <w:szCs w:val="24"/>
        </w:rPr>
        <w:t>peptidoglycan architecture</w:t>
      </w:r>
      <w:r>
        <w:rPr>
          <w:rFonts w:ascii="Times New Roman" w:hAnsi="Times New Roman" w:cs="Times New Roman"/>
          <w:i/>
          <w:sz w:val="24"/>
          <w:szCs w:val="24"/>
        </w:rPr>
        <w:t xml:space="preserve"> </w:t>
      </w:r>
      <w:r>
        <w:rPr>
          <w:rFonts w:ascii="Times New Roman" w:hAnsi="Times New Roman" w:cs="Times New Roman"/>
          <w:sz w:val="24"/>
          <w:szCs w:val="24"/>
        </w:rPr>
        <w:t>that enables cells to undergo dynamic growth processes, and to adapt to their environment in order to maintain viability.</w:t>
      </w:r>
    </w:p>
    <w:p w:rsidR="00AA5269" w:rsidRDefault="00AA5269" w:rsidP="00AA5269">
      <w:pPr>
        <w:spacing w:after="120" w:line="480" w:lineRule="auto"/>
        <w:jc w:val="both"/>
        <w:rPr>
          <w:rFonts w:ascii="Times New Roman" w:hAnsi="Times New Roman" w:cs="Times New Roman"/>
          <w:sz w:val="24"/>
          <w:szCs w:val="24"/>
        </w:rPr>
      </w:pPr>
    </w:p>
    <w:p w:rsidR="00AA5269" w:rsidRDefault="00AA5269" w:rsidP="00AA5269">
      <w:pPr>
        <w:spacing w:line="480" w:lineRule="auto"/>
        <w:rPr>
          <w:rFonts w:ascii="Times New Roman" w:hAnsi="Times New Roman" w:cs="Times New Roman"/>
          <w:sz w:val="28"/>
          <w:szCs w:val="28"/>
        </w:rPr>
      </w:pPr>
      <w:r>
        <w:rPr>
          <w:rFonts w:ascii="Times New Roman" w:hAnsi="Times New Roman" w:cs="Times New Roman"/>
          <w:sz w:val="28"/>
          <w:szCs w:val="28"/>
        </w:rPr>
        <w:t>4.1.2</w:t>
      </w:r>
      <w:r>
        <w:rPr>
          <w:rFonts w:ascii="Times New Roman" w:hAnsi="Times New Roman" w:cs="Times New Roman"/>
          <w:sz w:val="28"/>
          <w:szCs w:val="28"/>
        </w:rPr>
        <w:tab/>
      </w:r>
      <w:r>
        <w:rPr>
          <w:rFonts w:ascii="Times New Roman" w:hAnsi="Times New Roman" w:cs="Times New Roman"/>
          <w:sz w:val="28"/>
          <w:szCs w:val="28"/>
        </w:rPr>
        <w:tab/>
        <w:t>Aims of this chapter</w:t>
      </w:r>
    </w:p>
    <w:p w:rsidR="00AA5269" w:rsidRDefault="00AA5269" w:rsidP="00AA5269">
      <w:pPr>
        <w:pStyle w:val="ListParagraph"/>
        <w:numPr>
          <w:ilvl w:val="0"/>
          <w:numId w:val="17"/>
        </w:numPr>
        <w:spacing w:after="120" w:line="480" w:lineRule="auto"/>
        <w:rPr>
          <w:rFonts w:ascii="Times New Roman" w:hAnsi="Times New Roman" w:cs="Times New Roman"/>
          <w:sz w:val="24"/>
          <w:szCs w:val="24"/>
        </w:rPr>
      </w:pPr>
      <w:r>
        <w:rPr>
          <w:rFonts w:ascii="Times New Roman" w:hAnsi="Times New Roman" w:cs="Times New Roman"/>
          <w:sz w:val="24"/>
          <w:szCs w:val="24"/>
        </w:rPr>
        <w:t xml:space="preserve">Characterise peptidoglycan architectural features of </w:t>
      </w:r>
      <w:r>
        <w:rPr>
          <w:rFonts w:ascii="Times New Roman" w:hAnsi="Times New Roman" w:cs="Times New Roman"/>
          <w:i/>
          <w:sz w:val="24"/>
          <w:szCs w:val="24"/>
        </w:rPr>
        <w:t>S. aureus</w:t>
      </w:r>
    </w:p>
    <w:p w:rsidR="00AA5269" w:rsidRDefault="00AA5269" w:rsidP="00AA5269">
      <w:pPr>
        <w:pStyle w:val="ListParagraph"/>
        <w:numPr>
          <w:ilvl w:val="0"/>
          <w:numId w:val="17"/>
        </w:numPr>
        <w:spacing w:after="120" w:line="480" w:lineRule="auto"/>
        <w:rPr>
          <w:rFonts w:ascii="Times New Roman" w:hAnsi="Times New Roman" w:cs="Times New Roman"/>
          <w:sz w:val="24"/>
          <w:szCs w:val="24"/>
        </w:rPr>
      </w:pPr>
      <w:r>
        <w:rPr>
          <w:rFonts w:ascii="Times New Roman" w:hAnsi="Times New Roman" w:cs="Times New Roman"/>
          <w:sz w:val="24"/>
          <w:szCs w:val="24"/>
        </w:rPr>
        <w:t>Investigate the dynamics of peptidoglycan synthesis and the intergenerational inheritance of cell wall material</w:t>
      </w:r>
    </w:p>
    <w:p w:rsidR="00AA5269" w:rsidRDefault="00AA5269" w:rsidP="00AA5269">
      <w:pPr>
        <w:pStyle w:val="ListParagraph"/>
        <w:numPr>
          <w:ilvl w:val="0"/>
          <w:numId w:val="17"/>
        </w:numPr>
        <w:spacing w:after="120" w:line="480" w:lineRule="auto"/>
        <w:rPr>
          <w:rFonts w:ascii="Times New Roman" w:hAnsi="Times New Roman" w:cs="Times New Roman"/>
          <w:sz w:val="24"/>
          <w:szCs w:val="24"/>
        </w:rPr>
      </w:pPr>
      <w:r>
        <w:rPr>
          <w:rFonts w:ascii="Times New Roman" w:hAnsi="Times New Roman" w:cs="Times New Roman"/>
          <w:sz w:val="24"/>
          <w:szCs w:val="24"/>
        </w:rPr>
        <w:t xml:space="preserve">Develop a model relating peptidoglycan architecture to the growth mode of </w:t>
      </w:r>
      <w:r>
        <w:rPr>
          <w:rFonts w:ascii="Times New Roman" w:hAnsi="Times New Roman" w:cs="Times New Roman"/>
          <w:i/>
          <w:sz w:val="24"/>
          <w:szCs w:val="24"/>
        </w:rPr>
        <w:t>S. aureus</w:t>
      </w:r>
    </w:p>
    <w:p w:rsidR="00AA5269" w:rsidRDefault="00AA5269" w:rsidP="00AA5269">
      <w:pPr>
        <w:rPr>
          <w:rFonts w:ascii="Times New Roman" w:hAnsi="Times New Roman" w:cs="Times New Roman"/>
          <w:sz w:val="24"/>
          <w:szCs w:val="24"/>
        </w:rPr>
      </w:pPr>
      <w:r>
        <w:rPr>
          <w:rFonts w:ascii="Times New Roman" w:hAnsi="Times New Roman" w:cs="Times New Roman"/>
          <w:sz w:val="24"/>
          <w:szCs w:val="24"/>
        </w:rPr>
        <w:br w:type="page"/>
      </w:r>
    </w:p>
    <w:p w:rsidR="00AA5269" w:rsidRDefault="00AA5269" w:rsidP="00AA5269">
      <w:pPr>
        <w:spacing w:line="480" w:lineRule="auto"/>
        <w:rPr>
          <w:rFonts w:ascii="Times New Roman" w:hAnsi="Times New Roman" w:cs="Times New Roman"/>
          <w:sz w:val="28"/>
          <w:szCs w:val="28"/>
        </w:rPr>
      </w:pPr>
      <w:r>
        <w:rPr>
          <w:rFonts w:ascii="Times New Roman" w:hAnsi="Times New Roman" w:cs="Times New Roman"/>
          <w:sz w:val="28"/>
          <w:szCs w:val="28"/>
        </w:rPr>
        <w:lastRenderedPageBreak/>
        <w:t>4.2</w:t>
      </w:r>
      <w:r>
        <w:rPr>
          <w:rFonts w:ascii="Times New Roman" w:hAnsi="Times New Roman" w:cs="Times New Roman"/>
          <w:sz w:val="28"/>
          <w:szCs w:val="28"/>
        </w:rPr>
        <w:tab/>
      </w:r>
      <w:r>
        <w:rPr>
          <w:rFonts w:ascii="Times New Roman" w:hAnsi="Times New Roman" w:cs="Times New Roman"/>
          <w:sz w:val="28"/>
          <w:szCs w:val="28"/>
        </w:rPr>
        <w:tab/>
        <w:t>Results</w:t>
      </w:r>
    </w:p>
    <w:p w:rsidR="00AA5269" w:rsidRDefault="00AA5269" w:rsidP="00AA5269">
      <w:pPr>
        <w:spacing w:line="480" w:lineRule="auto"/>
        <w:ind w:left="1440" w:hanging="1440"/>
        <w:rPr>
          <w:rFonts w:ascii="Times New Roman" w:hAnsi="Times New Roman" w:cs="Times New Roman"/>
          <w:sz w:val="28"/>
          <w:szCs w:val="28"/>
        </w:rPr>
      </w:pPr>
      <w:r>
        <w:rPr>
          <w:rFonts w:ascii="Times New Roman" w:hAnsi="Times New Roman" w:cs="Times New Roman"/>
          <w:sz w:val="28"/>
          <w:szCs w:val="28"/>
        </w:rPr>
        <w:t xml:space="preserve">4.2.1 </w:t>
      </w:r>
      <w:r>
        <w:rPr>
          <w:rFonts w:ascii="Times New Roman" w:hAnsi="Times New Roman" w:cs="Times New Roman"/>
          <w:sz w:val="28"/>
          <w:szCs w:val="28"/>
        </w:rPr>
        <w:tab/>
        <w:t xml:space="preserve">AFM analysis of </w:t>
      </w:r>
      <w:r>
        <w:rPr>
          <w:rFonts w:ascii="Times New Roman" w:hAnsi="Times New Roman" w:cs="Times New Roman"/>
          <w:i/>
          <w:sz w:val="28"/>
          <w:szCs w:val="28"/>
        </w:rPr>
        <w:t xml:space="preserve">S. aureus </w:t>
      </w:r>
      <w:r>
        <w:rPr>
          <w:rFonts w:ascii="Times New Roman" w:hAnsi="Times New Roman" w:cs="Times New Roman"/>
          <w:sz w:val="28"/>
          <w:szCs w:val="28"/>
        </w:rPr>
        <w:t>peptidoglycan architecture</w:t>
      </w:r>
    </w:p>
    <w:p w:rsidR="00AA5269" w:rsidRDefault="00AA5269" w:rsidP="00AA5269">
      <w:pPr>
        <w:spacing w:line="48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Sacculi </w:t>
      </w:r>
      <w:r>
        <w:rPr>
          <w:rFonts w:ascii="Times New Roman" w:hAnsi="Times New Roman" w:cs="Times New Roman"/>
          <w:color w:val="000000" w:themeColor="text1"/>
          <w:sz w:val="24"/>
          <w:szCs w:val="24"/>
        </w:rPr>
        <w:t xml:space="preserve">were mechanically broken and purified by boiling in SDS, pronase treatment and incubation in HF to remove all non-covalently and covalently bound wall polymers including teichoic acids. Sacculi were air-dried onto a clean mica-sheet and imaged by AFM in tapping-mode under ambient conditions (Chapter 2.15.8). Over 400 images of sacculi were obtained. A typical field of sacculi is shown in Figure 4.1. In some cases, sacculi remained intact and retained the cytoplasmic material, which obscured the sacculus surface features (Figure 4.1). </w:t>
      </w:r>
    </w:p>
    <w:p w:rsidR="00AA5269" w:rsidRDefault="00AA5269" w:rsidP="00AA5269">
      <w:pPr>
        <w:spacing w:line="480" w:lineRule="auto"/>
        <w:jc w:val="both"/>
        <w:rPr>
          <w:rFonts w:ascii="Times New Roman" w:hAnsi="Times New Roman" w:cs="Times New Roman"/>
          <w:color w:val="000000" w:themeColor="text1"/>
          <w:sz w:val="24"/>
          <w:szCs w:val="24"/>
        </w:rPr>
      </w:pPr>
    </w:p>
    <w:p w:rsidR="00AA5269" w:rsidRDefault="00AA5269" w:rsidP="00AA5269">
      <w:pPr>
        <w:spacing w:line="48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4.2.1.1</w:t>
      </w:r>
      <w:r>
        <w:rPr>
          <w:rFonts w:ascii="Times New Roman" w:hAnsi="Times New Roman" w:cs="Times New Roman"/>
          <w:color w:val="000000" w:themeColor="text1"/>
          <w:sz w:val="28"/>
          <w:szCs w:val="28"/>
        </w:rPr>
        <w:tab/>
        <w:t xml:space="preserve">Gross features of </w:t>
      </w:r>
      <w:r>
        <w:rPr>
          <w:rFonts w:ascii="Times New Roman" w:hAnsi="Times New Roman" w:cs="Times New Roman"/>
          <w:i/>
          <w:color w:val="000000" w:themeColor="text1"/>
          <w:sz w:val="28"/>
          <w:szCs w:val="28"/>
        </w:rPr>
        <w:t>S. aureus</w:t>
      </w:r>
      <w:r>
        <w:rPr>
          <w:rFonts w:ascii="Times New Roman" w:hAnsi="Times New Roman" w:cs="Times New Roman"/>
          <w:color w:val="000000" w:themeColor="text1"/>
          <w:sz w:val="28"/>
          <w:szCs w:val="28"/>
        </w:rPr>
        <w:t xml:space="preserve"> peptidoglycan sacculi</w:t>
      </w:r>
    </w:p>
    <w:p w:rsidR="00AA5269" w:rsidRDefault="00AA5269" w:rsidP="00AA5269">
      <w:pPr>
        <w:spacing w:line="48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The major feature of </w:t>
      </w:r>
      <w:r>
        <w:rPr>
          <w:rFonts w:ascii="Times New Roman" w:hAnsi="Times New Roman" w:cs="Times New Roman"/>
          <w:i/>
          <w:color w:val="000000" w:themeColor="text1"/>
          <w:sz w:val="24"/>
          <w:szCs w:val="24"/>
        </w:rPr>
        <w:t xml:space="preserve">S. aureus </w:t>
      </w:r>
      <w:r>
        <w:rPr>
          <w:rFonts w:ascii="Times New Roman" w:hAnsi="Times New Roman" w:cs="Times New Roman"/>
          <w:color w:val="000000" w:themeColor="text1"/>
          <w:sz w:val="24"/>
          <w:szCs w:val="24"/>
        </w:rPr>
        <w:t>sacculi is a thick ring of peptidoglycan that encircles the cell circumferentially (Figure 4.2A). The fine architecture of the ring had a regular corrugated appearance, resembling the crimped outer edge of a pie (Figure 4.2A, inset). The ring was therefore denoted the “piecrust”. Piecrusts were always observed to encircle the cell equatorially on the apparent plane of division, denoting the outer boundary of the septal cross wall (Figure 4.2A). Measurement of the piecrust diameter (inclusive of the outer edge) indicated that the piecrust does not undergo constriction during septation, but remains at a constant size approximately equal to the diameter of the cell (Figure 4.2B). The average diameter of the piecrust measured from dried, broken sacculi was 1100 nm ± 100 nm (n=89), which</w:t>
      </w:r>
      <w:r>
        <w:rPr>
          <w:rFonts w:ascii="Times New Roman" w:hAnsi="Times New Roman" w:cs="Times New Roman"/>
          <w:sz w:val="24"/>
          <w:szCs w:val="24"/>
        </w:rPr>
        <w:t xml:space="preserve"> is just slightly less than cell diameter measurements taken from optical microscopy images of fixed, hydrated cells (1400 nm ± 200 nm, n = 127). Incomplete septa flattened in the plane of the mica </w:t>
      </w:r>
    </w:p>
    <w:p w:rsidR="00AA5269" w:rsidRDefault="00AA5269" w:rsidP="00AA5269">
      <w:pPr>
        <w:spacing w:after="0" w:line="480" w:lineRule="auto"/>
        <w:rPr>
          <w:rFonts w:ascii="Times New Roman" w:hAnsi="Times New Roman" w:cs="Times New Roman"/>
          <w:sz w:val="24"/>
          <w:szCs w:val="24"/>
        </w:rPr>
        <w:sectPr w:rsidR="00AA5269" w:rsidSect="00AA5269">
          <w:pgSz w:w="11906" w:h="16838"/>
          <w:pgMar w:top="1440" w:right="1134" w:bottom="1440" w:left="2268" w:header="709" w:footer="709" w:gutter="0"/>
          <w:pgNumType w:start="154"/>
          <w:cols w:space="720"/>
        </w:sectPr>
      </w:pPr>
    </w:p>
    <w:p w:rsidR="00AA5269" w:rsidRDefault="00AA5269" w:rsidP="00AA5269">
      <w:pPr>
        <w:spacing w:after="0" w:line="480" w:lineRule="auto"/>
        <w:jc w:val="center"/>
        <w:rPr>
          <w:rFonts w:ascii="Times New Roman" w:hAnsi="Times New Roman" w:cs="Times New Roman"/>
          <w:sz w:val="24"/>
          <w:szCs w:val="24"/>
        </w:rPr>
      </w:pPr>
      <w:r>
        <w:rPr>
          <w:rFonts w:ascii="Times New Roman" w:hAnsi="Times New Roman" w:cs="Times New Roman"/>
          <w:b/>
          <w:noProof/>
          <w:sz w:val="24"/>
          <w:szCs w:val="24"/>
          <w:lang w:eastAsia="en-GB"/>
        </w:rPr>
        <w:lastRenderedPageBreak/>
        <w:drawing>
          <wp:inline distT="0" distB="0" distL="0" distR="0">
            <wp:extent cx="3966210" cy="7564755"/>
            <wp:effectExtent l="19050" t="0" r="0" b="0"/>
            <wp:docPr id="81" name="Picture 2" descr="Figure 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 4.3.png"/>
                    <pic:cNvPicPr>
                      <a:picLocks noChangeAspect="1" noChangeArrowheads="1"/>
                    </pic:cNvPicPr>
                  </pic:nvPicPr>
                  <pic:blipFill>
                    <a:blip r:embed="rId57" cstate="print"/>
                    <a:srcRect/>
                    <a:stretch>
                      <a:fillRect/>
                    </a:stretch>
                  </pic:blipFill>
                  <pic:spPr bwMode="auto">
                    <a:xfrm>
                      <a:off x="0" y="0"/>
                      <a:ext cx="3966210" cy="7564755"/>
                    </a:xfrm>
                    <a:prstGeom prst="rect">
                      <a:avLst/>
                    </a:prstGeom>
                    <a:noFill/>
                    <a:ln w="9525">
                      <a:noFill/>
                      <a:miter lim="800000"/>
                      <a:headEnd/>
                      <a:tailEnd/>
                    </a:ln>
                  </pic:spPr>
                </pic:pic>
              </a:graphicData>
            </a:graphic>
          </wp:inline>
        </w:drawing>
      </w:r>
    </w:p>
    <w:p w:rsidR="00AA5269" w:rsidRDefault="00AA5269" w:rsidP="00AA5269">
      <w:pPr>
        <w:spacing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t>Figure 4.1.</w:t>
      </w:r>
      <w:proofErr w:type="gramEnd"/>
      <w:r>
        <w:rPr>
          <w:rFonts w:ascii="Times New Roman" w:hAnsi="Times New Roman" w:cs="Times New Roman"/>
          <w:b/>
          <w:sz w:val="24"/>
          <w:szCs w:val="24"/>
        </w:rPr>
        <w:t xml:space="preserve"> </w:t>
      </w:r>
      <w:proofErr w:type="gramStart"/>
      <w:r>
        <w:rPr>
          <w:rFonts w:ascii="Times New Roman" w:hAnsi="Times New Roman" w:cs="Times New Roman"/>
          <w:b/>
          <w:sz w:val="24"/>
          <w:szCs w:val="24"/>
        </w:rPr>
        <w:t xml:space="preserve">AFM analysis of purified </w:t>
      </w:r>
      <w:r>
        <w:rPr>
          <w:rFonts w:ascii="Times New Roman" w:hAnsi="Times New Roman" w:cs="Times New Roman"/>
          <w:b/>
          <w:i/>
          <w:sz w:val="24"/>
          <w:szCs w:val="24"/>
        </w:rPr>
        <w:t xml:space="preserve">S. aureus </w:t>
      </w:r>
      <w:r>
        <w:rPr>
          <w:rFonts w:ascii="Times New Roman" w:hAnsi="Times New Roman" w:cs="Times New Roman"/>
          <w:b/>
          <w:sz w:val="24"/>
          <w:szCs w:val="24"/>
        </w:rPr>
        <w:t>sacculi.</w:t>
      </w:r>
      <w:proofErr w:type="gramEnd"/>
      <w:r>
        <w:rPr>
          <w:rFonts w:ascii="Times New Roman" w:hAnsi="Times New Roman" w:cs="Times New Roman"/>
          <w:sz w:val="24"/>
          <w:szCs w:val="24"/>
        </w:rPr>
        <w:t xml:space="preserve"> Height (H) and phase (P) images showing a typical field of broken </w:t>
      </w:r>
      <w:r>
        <w:rPr>
          <w:rFonts w:ascii="Times New Roman" w:hAnsi="Times New Roman" w:cs="Times New Roman"/>
          <w:i/>
          <w:sz w:val="24"/>
          <w:szCs w:val="24"/>
        </w:rPr>
        <w:t xml:space="preserve">S. aureus </w:t>
      </w:r>
      <w:r>
        <w:rPr>
          <w:rFonts w:ascii="Times New Roman" w:hAnsi="Times New Roman" w:cs="Times New Roman"/>
          <w:sz w:val="24"/>
          <w:szCs w:val="24"/>
        </w:rPr>
        <w:t xml:space="preserve">sacculi dried onto a mica surface. Scales: bar 500 nm, H 200 nm, </w:t>
      </w:r>
      <w:proofErr w:type="gramStart"/>
      <w:r>
        <w:rPr>
          <w:rFonts w:ascii="Times New Roman" w:hAnsi="Times New Roman" w:cs="Times New Roman"/>
          <w:sz w:val="24"/>
          <w:szCs w:val="24"/>
        </w:rPr>
        <w:t>P 16°</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Image by R. D. Turner.</w:t>
      </w:r>
      <w:proofErr w:type="gramEnd"/>
      <w:r>
        <w:rPr>
          <w:rFonts w:ascii="Times New Roman" w:hAnsi="Times New Roman" w:cs="Times New Roman"/>
          <w:sz w:val="24"/>
          <w:szCs w:val="24"/>
        </w:rPr>
        <w:tab/>
      </w:r>
      <w:r>
        <w:rPr>
          <w:rFonts w:ascii="Times New Roman" w:hAnsi="Times New Roman" w:cs="Times New Roman"/>
          <w:sz w:val="24"/>
          <w:szCs w:val="24"/>
        </w:rPr>
        <w:br w:type="page"/>
      </w:r>
      <w:r>
        <w:rPr>
          <w:rFonts w:ascii="Times New Roman" w:hAnsi="Times New Roman" w:cs="Times New Roman"/>
          <w:b/>
          <w:noProof/>
          <w:sz w:val="24"/>
          <w:szCs w:val="24"/>
          <w:lang w:eastAsia="en-GB"/>
        </w:rPr>
        <w:lastRenderedPageBreak/>
        <w:drawing>
          <wp:inline distT="0" distB="0" distL="0" distR="0">
            <wp:extent cx="5272405" cy="7719060"/>
            <wp:effectExtent l="0" t="0" r="4445" b="0"/>
            <wp:docPr id="80" name="Picture 2" descr="Figure 4.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 4.4.tif"/>
                    <pic:cNvPicPr>
                      <a:picLocks noChangeAspect="1" noChangeArrowheads="1"/>
                    </pic:cNvPicPr>
                  </pic:nvPicPr>
                  <pic:blipFill>
                    <a:blip r:embed="rId58" cstate="print"/>
                    <a:srcRect t="1103" b="31439"/>
                    <a:stretch>
                      <a:fillRect/>
                    </a:stretch>
                  </pic:blipFill>
                  <pic:spPr bwMode="auto">
                    <a:xfrm>
                      <a:off x="0" y="0"/>
                      <a:ext cx="5272405" cy="7719060"/>
                    </a:xfrm>
                    <a:prstGeom prst="rect">
                      <a:avLst/>
                    </a:prstGeom>
                    <a:noFill/>
                    <a:ln w="9525">
                      <a:noFill/>
                      <a:miter lim="800000"/>
                      <a:headEnd/>
                      <a:tailEnd/>
                    </a:ln>
                  </pic:spPr>
                </pic:pic>
              </a:graphicData>
            </a:graphic>
          </wp:inline>
        </w:drawing>
      </w:r>
      <w:r>
        <w:rPr>
          <w:rFonts w:ascii="Times New Roman" w:hAnsi="Times New Roman" w:cs="Times New Roman"/>
          <w:b/>
          <w:sz w:val="24"/>
          <w:szCs w:val="24"/>
        </w:rPr>
        <w:br w:type="page"/>
      </w:r>
    </w:p>
    <w:p w:rsidR="00AA5269" w:rsidRDefault="00AA5269" w:rsidP="00AA5269">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lang w:eastAsia="en-GB"/>
        </w:rPr>
        <w:lastRenderedPageBreak/>
        <w:drawing>
          <wp:inline distT="0" distB="0" distL="0" distR="0">
            <wp:extent cx="5272405" cy="3277870"/>
            <wp:effectExtent l="0" t="0" r="0" b="0"/>
            <wp:docPr id="79" name="Picture 11" descr="Figure 4.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ure 4.4.tif"/>
                    <pic:cNvPicPr>
                      <a:picLocks noChangeAspect="1" noChangeArrowheads="1"/>
                    </pic:cNvPicPr>
                  </pic:nvPicPr>
                  <pic:blipFill>
                    <a:blip r:embed="rId58" cstate="print"/>
                    <a:srcRect t="69113" b="2206"/>
                    <a:stretch>
                      <a:fillRect/>
                    </a:stretch>
                  </pic:blipFill>
                  <pic:spPr bwMode="auto">
                    <a:xfrm>
                      <a:off x="0" y="0"/>
                      <a:ext cx="5272405" cy="3277870"/>
                    </a:xfrm>
                    <a:prstGeom prst="rect">
                      <a:avLst/>
                    </a:prstGeom>
                    <a:noFill/>
                    <a:ln w="9525">
                      <a:noFill/>
                      <a:miter lim="800000"/>
                      <a:headEnd/>
                      <a:tailEnd/>
                    </a:ln>
                  </pic:spPr>
                </pic:pic>
              </a:graphicData>
            </a:graphic>
          </wp:inline>
        </w:drawing>
      </w:r>
    </w:p>
    <w:p w:rsidR="00AA5269" w:rsidRDefault="00AA5269" w:rsidP="00AA5269">
      <w:pPr>
        <w:spacing w:line="360" w:lineRule="auto"/>
        <w:jc w:val="both"/>
        <w:rPr>
          <w:rFonts w:ascii="Times New Roman" w:hAnsi="Times New Roman" w:cs="Times New Roman"/>
          <w:b/>
          <w:noProof/>
          <w:sz w:val="24"/>
          <w:szCs w:val="24"/>
          <w:lang w:eastAsia="en-GB"/>
        </w:rPr>
      </w:pPr>
      <w:proofErr w:type="gramStart"/>
      <w:r>
        <w:rPr>
          <w:rFonts w:ascii="Times New Roman" w:hAnsi="Times New Roman" w:cs="Times New Roman"/>
          <w:b/>
          <w:sz w:val="24"/>
          <w:szCs w:val="24"/>
        </w:rPr>
        <w:t>Figure 4.2.</w:t>
      </w:r>
      <w:proofErr w:type="gramEnd"/>
      <w:r>
        <w:rPr>
          <w:rFonts w:ascii="Times New Roman" w:hAnsi="Times New Roman" w:cs="Times New Roman"/>
          <w:b/>
          <w:sz w:val="24"/>
          <w:szCs w:val="24"/>
        </w:rPr>
        <w:t xml:space="preserve"> Architecture of the peptidoglycan “piecrust” feature associated with septation in </w:t>
      </w:r>
      <w:r>
        <w:rPr>
          <w:rFonts w:ascii="Times New Roman" w:hAnsi="Times New Roman" w:cs="Times New Roman"/>
          <w:b/>
          <w:i/>
          <w:sz w:val="24"/>
          <w:szCs w:val="24"/>
        </w:rPr>
        <w:t>S. aureus</w:t>
      </w:r>
      <w:r>
        <w:rPr>
          <w:rFonts w:ascii="Times New Roman" w:hAnsi="Times New Roman" w:cs="Times New Roman"/>
          <w:b/>
          <w:sz w:val="24"/>
          <w:szCs w:val="24"/>
        </w:rPr>
        <w:t xml:space="preserve">. </w:t>
      </w:r>
      <w:r>
        <w:rPr>
          <w:rFonts w:ascii="Times New Roman" w:hAnsi="Times New Roman" w:cs="Times New Roman"/>
          <w:sz w:val="24"/>
          <w:szCs w:val="24"/>
        </w:rPr>
        <w:t xml:space="preserve">(A) </w:t>
      </w:r>
      <w:proofErr w:type="gramStart"/>
      <w:r>
        <w:rPr>
          <w:rFonts w:ascii="Times New Roman" w:hAnsi="Times New Roman" w:cs="Times New Roman"/>
          <w:sz w:val="24"/>
          <w:szCs w:val="24"/>
        </w:rPr>
        <w:t>and</w:t>
      </w:r>
      <w:proofErr w:type="gramEnd"/>
      <w:r>
        <w:rPr>
          <w:rFonts w:ascii="Times New Roman" w:hAnsi="Times New Roman" w:cs="Times New Roman"/>
          <w:sz w:val="24"/>
          <w:szCs w:val="24"/>
        </w:rPr>
        <w:t xml:space="preserve"> (B) Height (H) and phase (P) AFM images showing peptidoglycan “piecrust” rings which encircle the incomplete septa. A higher resolution image of the piecrust (area marked by rectangular box in the phase image) is shown beneath each image. (C) </w:t>
      </w:r>
      <w:proofErr w:type="gramStart"/>
      <w:r>
        <w:rPr>
          <w:rFonts w:ascii="Times New Roman" w:hAnsi="Times New Roman" w:cs="Times New Roman"/>
          <w:sz w:val="24"/>
          <w:szCs w:val="24"/>
        </w:rPr>
        <w:t>Measurement  of</w:t>
      </w:r>
      <w:proofErr w:type="gramEnd"/>
      <w:r>
        <w:rPr>
          <w:rFonts w:ascii="Times New Roman" w:hAnsi="Times New Roman" w:cs="Times New Roman"/>
          <w:sz w:val="24"/>
          <w:szCs w:val="24"/>
        </w:rPr>
        <w:t xml:space="preserve"> the outer diameter of the piecrust ring (n= 89 sacculi). Measurements were performed on sacculi where the piecrust was in the plane of the mica. Scales (A) top H 75 nm, P 13°, bottom H 12.5 nm, P 13°; (B) Top, H 100 nm, P 9°, bottom H 12.5 nm, P 9°. Images and measurements provided by R. D. Turner.</w:t>
      </w:r>
      <w:r>
        <w:rPr>
          <w:rFonts w:ascii="Times New Roman" w:hAnsi="Times New Roman" w:cs="Times New Roman"/>
          <w:sz w:val="24"/>
          <w:szCs w:val="24"/>
        </w:rPr>
        <w:tab/>
      </w:r>
      <w:r>
        <w:rPr>
          <w:rFonts w:ascii="Times New Roman" w:hAnsi="Times New Roman" w:cs="Times New Roman"/>
          <w:b/>
          <w:sz w:val="24"/>
          <w:szCs w:val="24"/>
        </w:rPr>
        <w:br w:type="page"/>
      </w:r>
    </w:p>
    <w:p w:rsidR="00AA5269" w:rsidRDefault="00AA5269" w:rsidP="00AA5269">
      <w:pPr>
        <w:spacing w:line="480" w:lineRule="auto"/>
        <w:jc w:val="both"/>
        <w:rPr>
          <w:rFonts w:ascii="Times New Roman" w:hAnsi="Times New Roman" w:cs="Times New Roman"/>
          <w:color w:val="000000" w:themeColor="text1"/>
          <w:sz w:val="24"/>
          <w:szCs w:val="24"/>
        </w:rPr>
      </w:pPr>
      <w:proofErr w:type="gramStart"/>
      <w:r>
        <w:rPr>
          <w:rFonts w:ascii="Times New Roman" w:hAnsi="Times New Roman" w:cs="Times New Roman"/>
          <w:sz w:val="24"/>
          <w:szCs w:val="24"/>
        </w:rPr>
        <w:lastRenderedPageBreak/>
        <w:t>were</w:t>
      </w:r>
      <w:proofErr w:type="gramEnd"/>
      <w:r>
        <w:rPr>
          <w:rFonts w:ascii="Times New Roman" w:hAnsi="Times New Roman" w:cs="Times New Roman"/>
          <w:sz w:val="24"/>
          <w:szCs w:val="24"/>
        </w:rPr>
        <w:t xml:space="preserve"> always surrounded by a thick piecrust ring, suggesting that piecrust formation </w:t>
      </w:r>
      <w:r>
        <w:rPr>
          <w:rFonts w:ascii="Times New Roman" w:hAnsi="Times New Roman" w:cs="Times New Roman"/>
          <w:color w:val="000000" w:themeColor="text1"/>
          <w:sz w:val="24"/>
          <w:szCs w:val="24"/>
        </w:rPr>
        <w:t>occurs prior to synthesis of the invaginating septal cross-wall (Figure 4.2A, bottom). This hypothesis is further supported by the fact that when sacculi were flattened such that the piecrust was oriented perpendicular to the plane of the mica, the fully formed piecrust appeared as two parallel bands, suggesting the absence of a deeply penetrating septal cross wall (Figure 4.2A, top).</w:t>
      </w:r>
    </w:p>
    <w:p w:rsidR="00AA5269" w:rsidRDefault="00AA5269" w:rsidP="00AA5269">
      <w:pPr>
        <w:spacing w:line="480" w:lineRule="auto"/>
        <w:jc w:val="both"/>
        <w:rPr>
          <w:rFonts w:ascii="Times New Roman" w:hAnsi="Times New Roman" w:cs="Times New Roman"/>
          <w:color w:val="000000" w:themeColor="text1"/>
          <w:sz w:val="24"/>
          <w:szCs w:val="24"/>
        </w:rPr>
      </w:pPr>
    </w:p>
    <w:p w:rsidR="00AA5269" w:rsidRDefault="00AA5269" w:rsidP="00AA5269">
      <w:pPr>
        <w:spacing w:line="48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4.2.1.2</w:t>
      </w:r>
      <w:r>
        <w:rPr>
          <w:rFonts w:ascii="Times New Roman" w:hAnsi="Times New Roman" w:cs="Times New Roman"/>
          <w:color w:val="000000" w:themeColor="text1"/>
          <w:sz w:val="28"/>
          <w:szCs w:val="28"/>
        </w:rPr>
        <w:tab/>
        <w:t xml:space="preserve">Nanoscale architecture of </w:t>
      </w:r>
      <w:r>
        <w:rPr>
          <w:rFonts w:ascii="Times New Roman" w:hAnsi="Times New Roman" w:cs="Times New Roman"/>
          <w:i/>
          <w:color w:val="000000" w:themeColor="text1"/>
          <w:sz w:val="28"/>
          <w:szCs w:val="28"/>
        </w:rPr>
        <w:t>S. aureus</w:t>
      </w:r>
      <w:r>
        <w:rPr>
          <w:rFonts w:ascii="Times New Roman" w:hAnsi="Times New Roman" w:cs="Times New Roman"/>
          <w:color w:val="000000" w:themeColor="text1"/>
          <w:sz w:val="28"/>
          <w:szCs w:val="28"/>
        </w:rPr>
        <w:t xml:space="preserve"> sacculi by AFM</w:t>
      </w:r>
    </w:p>
    <w:p w:rsidR="00AA5269" w:rsidRDefault="00AA5269" w:rsidP="00AA5269">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Two distinct architectures were observed on the outer surface of </w:t>
      </w:r>
      <w:r>
        <w:rPr>
          <w:rFonts w:ascii="Times New Roman" w:hAnsi="Times New Roman" w:cs="Times New Roman"/>
          <w:i/>
          <w:color w:val="000000" w:themeColor="text1"/>
          <w:sz w:val="24"/>
          <w:szCs w:val="24"/>
        </w:rPr>
        <w:t xml:space="preserve">S. aureus </w:t>
      </w:r>
      <w:r>
        <w:rPr>
          <w:rFonts w:ascii="Times New Roman" w:hAnsi="Times New Roman" w:cs="Times New Roman"/>
          <w:color w:val="000000" w:themeColor="text1"/>
          <w:sz w:val="24"/>
          <w:szCs w:val="24"/>
        </w:rPr>
        <w:t>sacculi, a</w:t>
      </w:r>
      <w:r>
        <w:rPr>
          <w:rFonts w:ascii="Times New Roman" w:hAnsi="Times New Roman" w:cs="Times New Roman"/>
          <w:i/>
          <w:color w:val="000000" w:themeColor="text1"/>
          <w:sz w:val="24"/>
          <w:szCs w:val="24"/>
        </w:rPr>
        <w:t xml:space="preserve"> </w:t>
      </w:r>
      <w:r>
        <w:rPr>
          <w:rFonts w:ascii="Times New Roman" w:hAnsi="Times New Roman" w:cs="Times New Roman"/>
          <w:color w:val="000000" w:themeColor="text1"/>
          <w:sz w:val="24"/>
          <w:szCs w:val="24"/>
        </w:rPr>
        <w:t xml:space="preserve">circle of peptidoglycan covering slightly less than half the surface of the cell, comprising an architecture of smooth, concentric rings, consistent with the peptidoglycan associated rings reported previously (Figure 4.3;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{"citationID":"20pfmpphjl","properties":{"formattedCitation":"(Amako et al., 1982)","plainCitation":"(Amako et al., 1982)"},"citationItems":[{"id":43,"uris":["http://zotero.org/users/944474/items/P9M47BKB"],"uri":["http://zotero.org/users/944474/items/P9M47BKB"],"itemData":{"id":43,"type":"article-journal","title":"Arrangement of peptidoglycan in the cell wall of Staphylococcus spp","container-title":"Journal of Bacteriology","page":"844-850","volume":"150","issue":"2","abstract":"The arrangement of peptidoglycan in the cell wall of Staphylococcus was observed with the newly developed freeze-fracture technique, using n-octanol instead of water as the freezing medium. The replica of the trichloroacetic acid-extracted cell wall (TCA-wall) showed two areas. One of them has a concentric circular structure, a characteristic surface structure of the staphylococcal cell wall, and the other showed an irregular and rough surface. The chemical analysis of the wall revealed that the TCA-wall consisted of mostly peptidoglycan. By digesting the TCA-wall with lysozyme, the circular structures were greatly disturbed, and they disappeared after 60 min of treatment. From these observations it can be expected that the peptidoglycan is arranged in a concentric circular manner in the newly generated cell wall of Staphylococcus.","note":"PMID: 7068534","journalAbbreviation":"J. Bacteriol.","author":[{"family":"Amako","given":"K"},{"family":"Umeda","given":"A"},{"family":"Murata","given":"K"}],"issued":{"year":1982,"month":5},"accessed":{"year":2012,"month":3,"day":6},"page-first":"844"}}],"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Amako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1982)</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The remainder of the sacculus had </w:t>
      </w:r>
      <w:proofErr w:type="gramStart"/>
      <w:r>
        <w:rPr>
          <w:rFonts w:ascii="Times New Roman" w:hAnsi="Times New Roman" w:cs="Times New Roman"/>
          <w:color w:val="000000" w:themeColor="text1"/>
          <w:sz w:val="24"/>
          <w:szCs w:val="24"/>
        </w:rPr>
        <w:t>an architecture</w:t>
      </w:r>
      <w:proofErr w:type="gramEnd"/>
      <w:r>
        <w:rPr>
          <w:rFonts w:ascii="Times New Roman" w:hAnsi="Times New Roman" w:cs="Times New Roman"/>
          <w:color w:val="000000" w:themeColor="text1"/>
          <w:sz w:val="24"/>
          <w:szCs w:val="24"/>
        </w:rPr>
        <w:t xml:space="preserve"> of rough knobbles of peptidoglycan (Figure 4.3). The architecture of peptidoglycan knobbles was attributed to the mature cell wall. More disordered regions of concentric ring architecture were observed rarely, and were interpreted as regions of nascent cell wall (rings architecture) transitioning to the knobbled architecture of the mature cell wall (Figure 4.3D).</w:t>
      </w:r>
    </w:p>
    <w:p w:rsidR="00AA5269" w:rsidRDefault="00AA5269" w:rsidP="00AA5269">
      <w:pPr>
        <w:spacing w:line="480" w:lineRule="auto"/>
        <w:jc w:val="both"/>
        <w:rPr>
          <w:rFonts w:ascii="Times New Roman" w:hAnsi="Times New Roman" w:cs="Times New Roman"/>
          <w:color w:val="000000" w:themeColor="text1"/>
          <w:sz w:val="24"/>
          <w:szCs w:val="24"/>
        </w:rPr>
      </w:pPr>
    </w:p>
    <w:p w:rsidR="00AA5269" w:rsidRDefault="00AA5269" w:rsidP="00AA5269">
      <w:pPr>
        <w:spacing w:line="48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4.2.1.3</w:t>
      </w:r>
      <w:r>
        <w:rPr>
          <w:rFonts w:ascii="Times New Roman" w:hAnsi="Times New Roman" w:cs="Times New Roman"/>
          <w:color w:val="000000" w:themeColor="text1"/>
          <w:sz w:val="28"/>
          <w:szCs w:val="28"/>
        </w:rPr>
        <w:tab/>
        <w:t>Labelling of nascent cell wall with fluorescent vancomycin</w:t>
      </w:r>
    </w:p>
    <w:p w:rsidR="00AA5269" w:rsidRDefault="00AA5269" w:rsidP="00AA5269">
      <w:pPr>
        <w:spacing w:line="48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In order to correlate AFM observations with the growth mode of the </w:t>
      </w:r>
      <w:r>
        <w:rPr>
          <w:rFonts w:ascii="Times New Roman" w:hAnsi="Times New Roman" w:cs="Times New Roman"/>
          <w:i/>
          <w:color w:val="000000" w:themeColor="text1"/>
          <w:sz w:val="24"/>
          <w:szCs w:val="24"/>
        </w:rPr>
        <w:t xml:space="preserve">S. aureus </w:t>
      </w:r>
      <w:r>
        <w:rPr>
          <w:rFonts w:ascii="Times New Roman" w:hAnsi="Times New Roman" w:cs="Times New Roman"/>
          <w:color w:val="000000" w:themeColor="text1"/>
          <w:sz w:val="24"/>
          <w:szCs w:val="24"/>
        </w:rPr>
        <w:t>cells, we investigated the dynamics of peptidoglycan synthesis during the cell cycle by labelling sites of nascent peptidoglycan synthesis with fluorescent vancomycin. Vancomycin</w:t>
      </w:r>
      <w:r>
        <w:rPr>
          <w:rFonts w:ascii="Times New Roman" w:hAnsi="Times New Roman" w:cs="Times New Roman"/>
          <w:sz w:val="24"/>
          <w:szCs w:val="24"/>
        </w:rPr>
        <w:t xml:space="preserve"> binds to terminal </w:t>
      </w:r>
      <w:r>
        <w:rPr>
          <w:rFonts w:ascii="Times New Roman" w:hAnsi="Times New Roman" w:cs="Times New Roman"/>
          <w:sz w:val="16"/>
          <w:szCs w:val="16"/>
        </w:rPr>
        <w:t>D</w:t>
      </w:r>
      <w:r>
        <w:rPr>
          <w:rFonts w:ascii="Times New Roman" w:hAnsi="Times New Roman" w:cs="Times New Roman"/>
          <w:sz w:val="24"/>
          <w:szCs w:val="24"/>
        </w:rPr>
        <w:t xml:space="preserve">-alanine residues of uncross-linked peptide stems, which are most </w:t>
      </w:r>
    </w:p>
    <w:p w:rsidR="00AA5269" w:rsidRDefault="00AA5269" w:rsidP="00AA5269">
      <w:pPr>
        <w:spacing w:after="0" w:line="480" w:lineRule="auto"/>
        <w:rPr>
          <w:rFonts w:ascii="Times New Roman" w:hAnsi="Times New Roman" w:cs="Times New Roman"/>
          <w:sz w:val="24"/>
          <w:szCs w:val="24"/>
        </w:rPr>
        <w:sectPr w:rsidR="00AA5269">
          <w:type w:val="continuous"/>
          <w:pgSz w:w="11906" w:h="16838"/>
          <w:pgMar w:top="1440" w:right="1134" w:bottom="1440" w:left="2268" w:header="709" w:footer="709" w:gutter="0"/>
          <w:cols w:space="720"/>
        </w:sectPr>
      </w:pPr>
    </w:p>
    <w:p w:rsidR="00AA5269" w:rsidRDefault="00AA5269" w:rsidP="00AA5269">
      <w:pPr>
        <w:spacing w:line="480" w:lineRule="auto"/>
        <w:jc w:val="center"/>
        <w:rPr>
          <w:rFonts w:ascii="Times New Roman" w:hAnsi="Times New Roman" w:cs="Times New Roman"/>
          <w:b/>
          <w:sz w:val="24"/>
          <w:szCs w:val="24"/>
        </w:rPr>
      </w:pPr>
      <w:r>
        <w:rPr>
          <w:rFonts w:ascii="Times New Roman" w:hAnsi="Times New Roman" w:cs="Times New Roman"/>
          <w:b/>
          <w:noProof/>
          <w:sz w:val="24"/>
          <w:szCs w:val="24"/>
          <w:lang w:eastAsia="en-GB"/>
        </w:rPr>
        <w:lastRenderedPageBreak/>
        <w:drawing>
          <wp:inline distT="0" distB="0" distL="0" distR="0">
            <wp:extent cx="3776345" cy="8858885"/>
            <wp:effectExtent l="0" t="0" r="0" b="0"/>
            <wp:docPr id="78" name="Picture 18" descr="Figure 4.5A-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gure 4.5A-B.tif"/>
                    <pic:cNvPicPr>
                      <a:picLocks noChangeAspect="1" noChangeArrowheads="1"/>
                    </pic:cNvPicPr>
                  </pic:nvPicPr>
                  <pic:blipFill>
                    <a:blip r:embed="rId59" cstate="print"/>
                    <a:srcRect/>
                    <a:stretch>
                      <a:fillRect/>
                    </a:stretch>
                  </pic:blipFill>
                  <pic:spPr bwMode="auto">
                    <a:xfrm>
                      <a:off x="0" y="0"/>
                      <a:ext cx="3776345" cy="8858885"/>
                    </a:xfrm>
                    <a:prstGeom prst="rect">
                      <a:avLst/>
                    </a:prstGeom>
                    <a:noFill/>
                    <a:ln w="9525">
                      <a:noFill/>
                      <a:miter lim="800000"/>
                      <a:headEnd/>
                      <a:tailEnd/>
                    </a:ln>
                  </pic:spPr>
                </pic:pic>
              </a:graphicData>
            </a:graphic>
          </wp:inline>
        </w:drawing>
      </w:r>
      <w:r>
        <w:rPr>
          <w:rFonts w:ascii="Times New Roman" w:hAnsi="Times New Roman" w:cs="Times New Roman"/>
          <w:b/>
          <w:sz w:val="24"/>
          <w:szCs w:val="24"/>
        </w:rPr>
        <w:br w:type="page"/>
      </w:r>
    </w:p>
    <w:p w:rsidR="00AA5269" w:rsidRDefault="00AA5269" w:rsidP="00AA5269">
      <w:pPr>
        <w:rPr>
          <w:rFonts w:ascii="Times New Roman" w:hAnsi="Times New Roman" w:cs="Times New Roman"/>
          <w:b/>
          <w:sz w:val="24"/>
          <w:szCs w:val="24"/>
        </w:rPr>
      </w:pPr>
      <w:r>
        <w:lastRenderedPageBreak/>
        <w:pict>
          <v:shape id="_x0000_s1047" type="#_x0000_t202" style="position:absolute;margin-left:25.8pt;margin-top:401.2pt;width:31.65pt;height:31.7pt;z-index:251683840;mso-width-relative:margin;mso-height-relative:margin" filled="f" stroked="f">
            <v:textbox>
              <w:txbxContent>
                <w:p w:rsidR="00AA5269" w:rsidRDefault="00AA5269" w:rsidP="00AA5269">
                  <w:pPr>
                    <w:rPr>
                      <w:rFonts w:ascii="Times New Roman" w:hAnsi="Times New Roman" w:cs="Times New Roman"/>
                      <w:color w:val="FFFFFF" w:themeColor="background1"/>
                      <w:sz w:val="36"/>
                      <w:szCs w:val="36"/>
                    </w:rPr>
                  </w:pPr>
                  <w:proofErr w:type="gramStart"/>
                  <w:r>
                    <w:rPr>
                      <w:rFonts w:ascii="Times New Roman" w:hAnsi="Times New Roman" w:cs="Times New Roman"/>
                      <w:color w:val="FFFFFF" w:themeColor="background1"/>
                      <w:sz w:val="36"/>
                      <w:szCs w:val="36"/>
                    </w:rPr>
                    <w:t>iii</w:t>
                  </w:r>
                  <w:proofErr w:type="gramEnd"/>
                </w:p>
              </w:txbxContent>
            </v:textbox>
          </v:shape>
        </w:pict>
      </w:r>
      <w:r>
        <w:pict>
          <v:shape id="_x0000_s1046" type="#_x0000_t202" style="position:absolute;margin-left:25.8pt;margin-top:201.45pt;width:25.65pt;height:31.7pt;z-index:251682816;mso-width-relative:margin;mso-height-relative:margin" filled="f" stroked="f">
            <v:textbox>
              <w:txbxContent>
                <w:p w:rsidR="00AA5269" w:rsidRDefault="00AA5269" w:rsidP="00AA5269">
                  <w:pPr>
                    <w:rPr>
                      <w:rFonts w:ascii="Times New Roman" w:hAnsi="Times New Roman" w:cs="Times New Roman"/>
                      <w:color w:val="FFFFFF" w:themeColor="background1"/>
                      <w:sz w:val="36"/>
                      <w:szCs w:val="36"/>
                    </w:rPr>
                  </w:pPr>
                  <w:proofErr w:type="gramStart"/>
                  <w:r>
                    <w:rPr>
                      <w:rFonts w:ascii="Times New Roman" w:hAnsi="Times New Roman" w:cs="Times New Roman"/>
                      <w:color w:val="FFFFFF" w:themeColor="background1"/>
                      <w:sz w:val="36"/>
                      <w:szCs w:val="36"/>
                    </w:rPr>
                    <w:t>ii</w:t>
                  </w:r>
                  <w:proofErr w:type="gramEnd"/>
                </w:p>
              </w:txbxContent>
            </v:textbox>
          </v:shape>
        </w:pict>
      </w:r>
      <w:r>
        <w:pict>
          <v:shape id="_x0000_s1045" type="#_x0000_t202" style="position:absolute;margin-left:25.8pt;margin-top:4.3pt;width:25.65pt;height:31.7pt;z-index:251681792;mso-width-relative:margin;mso-height-relative:margin" filled="f" stroked="f">
            <v:textbox>
              <w:txbxContent>
                <w:p w:rsidR="00AA5269" w:rsidRDefault="00AA5269" w:rsidP="00AA5269">
                  <w:pPr>
                    <w:rPr>
                      <w:rFonts w:ascii="Times New Roman" w:hAnsi="Times New Roman" w:cs="Times New Roman"/>
                      <w:color w:val="FFFFFF" w:themeColor="background1"/>
                      <w:sz w:val="36"/>
                      <w:szCs w:val="36"/>
                    </w:rPr>
                  </w:pPr>
                  <w:proofErr w:type="gramStart"/>
                  <w:r>
                    <w:rPr>
                      <w:rFonts w:ascii="Times New Roman" w:hAnsi="Times New Roman" w:cs="Times New Roman"/>
                      <w:color w:val="FFFFFF" w:themeColor="background1"/>
                      <w:sz w:val="36"/>
                      <w:szCs w:val="36"/>
                    </w:rPr>
                    <w:t>i</w:t>
                  </w:r>
                  <w:proofErr w:type="gramEnd"/>
                </w:p>
              </w:txbxContent>
            </v:textbox>
          </v:shape>
        </w:pict>
      </w:r>
      <w:r>
        <w:rPr>
          <w:rFonts w:ascii="Times New Roman" w:hAnsi="Times New Roman" w:cs="Times New Roman"/>
          <w:b/>
          <w:noProof/>
          <w:sz w:val="24"/>
          <w:szCs w:val="24"/>
          <w:lang w:eastAsia="en-GB"/>
        </w:rPr>
        <w:drawing>
          <wp:inline distT="0" distB="0" distL="0" distR="0">
            <wp:extent cx="5272405" cy="7505065"/>
            <wp:effectExtent l="19050" t="0" r="0" b="0"/>
            <wp:docPr id="77" name="Picture 19" descr="Figure 4.5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gure 4.5C.tif"/>
                    <pic:cNvPicPr>
                      <a:picLocks noChangeAspect="1" noChangeArrowheads="1"/>
                    </pic:cNvPicPr>
                  </pic:nvPicPr>
                  <pic:blipFill>
                    <a:blip r:embed="rId60" cstate="print"/>
                    <a:srcRect l="2887" t="1614"/>
                    <a:stretch>
                      <a:fillRect/>
                    </a:stretch>
                  </pic:blipFill>
                  <pic:spPr bwMode="auto">
                    <a:xfrm>
                      <a:off x="0" y="0"/>
                      <a:ext cx="5272405" cy="7505065"/>
                    </a:xfrm>
                    <a:prstGeom prst="rect">
                      <a:avLst/>
                    </a:prstGeom>
                    <a:noFill/>
                    <a:ln w="9525">
                      <a:noFill/>
                      <a:miter lim="800000"/>
                      <a:headEnd/>
                      <a:tailEnd/>
                    </a:ln>
                  </pic:spPr>
                </pic:pic>
              </a:graphicData>
            </a:graphic>
          </wp:inline>
        </w:drawing>
      </w:r>
      <w:r>
        <w:rPr>
          <w:rFonts w:ascii="Times New Roman" w:hAnsi="Times New Roman" w:cs="Times New Roman"/>
          <w:b/>
          <w:sz w:val="24"/>
          <w:szCs w:val="24"/>
        </w:rPr>
        <w:br w:type="page"/>
      </w:r>
    </w:p>
    <w:p w:rsidR="00AA5269" w:rsidRDefault="00AA5269" w:rsidP="00AA5269">
      <w:pPr>
        <w:rPr>
          <w:rFonts w:ascii="Times New Roman" w:hAnsi="Times New Roman" w:cs="Times New Roman"/>
          <w:b/>
          <w:sz w:val="24"/>
          <w:szCs w:val="24"/>
        </w:rPr>
      </w:pPr>
      <w:r>
        <w:rPr>
          <w:rFonts w:ascii="Times New Roman" w:hAnsi="Times New Roman" w:cs="Times New Roman"/>
          <w:b/>
          <w:noProof/>
          <w:sz w:val="24"/>
          <w:szCs w:val="24"/>
          <w:lang w:eastAsia="en-GB"/>
        </w:rPr>
        <w:lastRenderedPageBreak/>
        <w:drawing>
          <wp:inline distT="0" distB="0" distL="0" distR="0">
            <wp:extent cx="4940300" cy="8858885"/>
            <wp:effectExtent l="0" t="0" r="0" b="0"/>
            <wp:docPr id="76" name="Picture 20" descr="Figure 4.5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gure 4.5D.tif"/>
                    <pic:cNvPicPr>
                      <a:picLocks noChangeAspect="1" noChangeArrowheads="1"/>
                    </pic:cNvPicPr>
                  </pic:nvPicPr>
                  <pic:blipFill>
                    <a:blip r:embed="rId61" cstate="print"/>
                    <a:srcRect/>
                    <a:stretch>
                      <a:fillRect/>
                    </a:stretch>
                  </pic:blipFill>
                  <pic:spPr bwMode="auto">
                    <a:xfrm>
                      <a:off x="0" y="0"/>
                      <a:ext cx="4940300" cy="8858885"/>
                    </a:xfrm>
                    <a:prstGeom prst="rect">
                      <a:avLst/>
                    </a:prstGeom>
                    <a:noFill/>
                    <a:ln w="9525">
                      <a:noFill/>
                      <a:miter lim="800000"/>
                      <a:headEnd/>
                      <a:tailEnd/>
                    </a:ln>
                  </pic:spPr>
                </pic:pic>
              </a:graphicData>
            </a:graphic>
          </wp:inline>
        </w:drawing>
      </w:r>
      <w:r>
        <w:rPr>
          <w:rFonts w:ascii="Times New Roman" w:hAnsi="Times New Roman" w:cs="Times New Roman"/>
          <w:b/>
          <w:sz w:val="24"/>
          <w:szCs w:val="24"/>
        </w:rPr>
        <w:br w:type="page"/>
      </w:r>
    </w:p>
    <w:p w:rsidR="00AA5269" w:rsidRDefault="00AA5269" w:rsidP="00AA5269">
      <w:pPr>
        <w:spacing w:line="360" w:lineRule="auto"/>
        <w:jc w:val="both"/>
        <w:rPr>
          <w:rFonts w:ascii="Times New Roman" w:hAnsi="Times New Roman" w:cs="Times New Roman"/>
          <w:sz w:val="24"/>
          <w:szCs w:val="24"/>
        </w:rPr>
      </w:pPr>
      <w:proofErr w:type="gramStart"/>
      <w:r>
        <w:rPr>
          <w:rFonts w:ascii="Times New Roman" w:hAnsi="Times New Roman" w:cs="Times New Roman"/>
          <w:b/>
          <w:sz w:val="24"/>
          <w:szCs w:val="24"/>
        </w:rPr>
        <w:lastRenderedPageBreak/>
        <w:t>Figure 4.3.</w:t>
      </w:r>
      <w:proofErr w:type="gramEnd"/>
      <w:r>
        <w:rPr>
          <w:rFonts w:ascii="Times New Roman" w:hAnsi="Times New Roman" w:cs="Times New Roman"/>
          <w:b/>
          <w:sz w:val="24"/>
          <w:szCs w:val="24"/>
        </w:rPr>
        <w:t xml:space="preserve"> </w:t>
      </w:r>
      <w:proofErr w:type="gramStart"/>
      <w:r>
        <w:rPr>
          <w:rFonts w:ascii="Times New Roman" w:hAnsi="Times New Roman" w:cs="Times New Roman"/>
          <w:b/>
          <w:sz w:val="24"/>
          <w:szCs w:val="24"/>
        </w:rPr>
        <w:t xml:space="preserve">Peptidoglycan architecture of the nascent and mature cell wall hemispheres of </w:t>
      </w:r>
      <w:r>
        <w:rPr>
          <w:rFonts w:ascii="Times New Roman" w:hAnsi="Times New Roman" w:cs="Times New Roman"/>
          <w:b/>
          <w:i/>
          <w:sz w:val="24"/>
          <w:szCs w:val="24"/>
        </w:rPr>
        <w:t>S. aureus</w:t>
      </w:r>
      <w:r>
        <w:rPr>
          <w:rFonts w:ascii="Times New Roman" w:hAnsi="Times New Roman" w:cs="Times New Roman"/>
          <w:b/>
          <w:sz w:val="24"/>
          <w:szCs w:val="24"/>
        </w:rPr>
        <w:t>.</w:t>
      </w:r>
      <w:proofErr w:type="gramEnd"/>
      <w:r>
        <w:rPr>
          <w:rFonts w:ascii="Times New Roman" w:hAnsi="Times New Roman" w:cs="Times New Roman"/>
          <w:b/>
          <w:sz w:val="24"/>
          <w:szCs w:val="24"/>
        </w:rPr>
        <w:t xml:space="preserve"> </w:t>
      </w:r>
      <w:r>
        <w:rPr>
          <w:rFonts w:ascii="Times New Roman" w:hAnsi="Times New Roman" w:cs="Times New Roman"/>
          <w:sz w:val="24"/>
          <w:szCs w:val="24"/>
        </w:rPr>
        <w:t>(A) Top, AFM height (H) and phase (P) images of a broken sacculus showing a smooth architecture of peptidoglycan rings at the nascent cell wall, and a rough architecture of peptidoglycan knobbles at the mature cell wall. (B) High resolution images of regions highlighted in (A) showing a rough architecture of apparent knobbles of peptidoglycan, or a smoother architecture comprising rings of peptidoglycan. An interpretive diagram of the knobbles and rings architectures is also provided. (C) Further examples of sacculi displaying an intact smooth disc of peptidoglycan (rings architecture, nascent cell wall) surrounded by rough peptidoglycan (knobbles architecture, mature cell wall). (D) Nascent rings undergoing apparent transition to knobbled architecture. Scales: (A) H 100nm, P 9° (B) Knobbles H 20 nm, P 9°; Rings H 18 nm, P 9° (C) (i) H 70 nm, P 18°; (ii) H 75 nm, P 6°; (iii) H 80 nm, P 14° (D) H 50 nm, P 13°. The majority of images were provided by R. D. Turner or E. C. Ratcliffe.</w:t>
      </w:r>
      <w:r>
        <w:rPr>
          <w:rFonts w:ascii="Times New Roman" w:hAnsi="Times New Roman" w:cs="Times New Roman"/>
          <w:sz w:val="24"/>
          <w:szCs w:val="24"/>
        </w:rPr>
        <w:br w:type="page"/>
      </w:r>
    </w:p>
    <w:p w:rsidR="00AA5269" w:rsidRDefault="00AA5269" w:rsidP="00AA5269">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abundant at sites of nascent peptidoglycan synthesis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{"citationID":"18phbtn4hb","properties":{"formattedCitation":"(Reynolds, 1989)","plainCitation":"(Reynolds, 1989)"},"citationItems":[{"id":153,"uris":["http://zotero.org/users/944474/items/38FPWWGM"],"uri":["http://zotero.org/users/944474/items/38FPWWGM"],"itemData":{"id":153,"type":"article-journal","title":"Structure, biochemistry and mechanism of action of glycopeptide antibiotics","container-title":"European Journal of Clinical Microbiology &amp; Infectious Diseases: Official Publication of the European Society of Clinical Microbiology","page":"943-950","volume":"8","issue":"11","abstract":"Glycopeptide antibiotics, including vancomycin and teicoplanin, are large, rigid molecules that inhibit a late stage in bacterial cell wall peptidoglycan synthesis. The three-dimensional structure contains a cleft into which peptides of highly specific configuration (L-aa-D-aa-D-aa) can fit: such sequences are found only in bacterial cell walls, hence glycopeptides are selectively toxic. Glycopeptides interact with peptides of this conformation by hydrogen bonding, forming stable complexes. As a result of binding to L-aa-D-Ala-D-Ala groups in wall intermediates, glycopeptides inhibit, apparently by steric hindrance, the formation of the backbone glycan chains (catalysed by peptidoglycan polymerase) from the simple wall subunits as they are extruded through the cytoplasmic membrane. The subsequent transpeptidation reaction that imparts rigidity to the cell wall is also thus inhibited. This unique mechanism of action, involving binding of the bulky inhibitor to the substrate outside the membrane so that the active sites of two enzymes cannot align themselves correctly, renders the acquisition of resistance to the glycopeptide antibiotics more difficult than that to the majority of the other antibiotic groups.","note":"PMID: 2532132","journalAbbreviation":"Eur. J. Clin. Microbiol. Infect. Dis.","author":[{"family":"Reynolds","given":"P E"}],"issued":{"year":1989,"month":11},"accessed":{"year":2012,"month":4,"day":23},"page-first":"943"}}],"schema":"https://github.com/citation-style-language/schema/raw/master/csl-citation.json"}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(Reynolds, 1989)</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p>
    <w:p w:rsidR="00AA5269" w:rsidRDefault="00AA5269" w:rsidP="00AA5269">
      <w:pPr>
        <w:spacing w:after="0" w:line="480" w:lineRule="auto"/>
        <w:rPr>
          <w:rFonts w:ascii="Times New Roman" w:hAnsi="Times New Roman" w:cs="Times New Roman"/>
          <w:color w:val="000000" w:themeColor="text1"/>
          <w:sz w:val="24"/>
          <w:szCs w:val="24"/>
        </w:rPr>
        <w:sectPr w:rsidR="00AA5269">
          <w:type w:val="continuous"/>
          <w:pgSz w:w="11906" w:h="16838"/>
          <w:pgMar w:top="1440" w:right="1134" w:bottom="1440" w:left="2268" w:header="709" w:footer="709" w:gutter="0"/>
          <w:cols w:space="720"/>
        </w:sectPr>
      </w:pPr>
    </w:p>
    <w:p w:rsidR="00AA5269" w:rsidRDefault="00AA5269" w:rsidP="00AA5269">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However,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xml:space="preserve"> has a high proportion of </w:t>
      </w:r>
      <w:r>
        <w:rPr>
          <w:rFonts w:ascii="Times New Roman" w:hAnsi="Times New Roman" w:cs="Times New Roman"/>
          <w:color w:val="000000" w:themeColor="text1"/>
          <w:sz w:val="16"/>
          <w:szCs w:val="16"/>
        </w:rPr>
        <w:t>D</w:t>
      </w:r>
      <w:r>
        <w:rPr>
          <w:rFonts w:ascii="Times New Roman" w:hAnsi="Times New Roman" w:cs="Times New Roman"/>
          <w:color w:val="000000" w:themeColor="text1"/>
          <w:sz w:val="24"/>
          <w:szCs w:val="24"/>
        </w:rPr>
        <w:t>-Ala-</w:t>
      </w:r>
      <w:r>
        <w:rPr>
          <w:rFonts w:ascii="Times New Roman" w:hAnsi="Times New Roman" w:cs="Times New Roman"/>
          <w:color w:val="000000" w:themeColor="text1"/>
          <w:sz w:val="16"/>
          <w:szCs w:val="16"/>
        </w:rPr>
        <w:t>D</w:t>
      </w:r>
      <w:r>
        <w:rPr>
          <w:rFonts w:ascii="Times New Roman" w:hAnsi="Times New Roman" w:cs="Times New Roman"/>
          <w:color w:val="000000" w:themeColor="text1"/>
          <w:sz w:val="24"/>
          <w:szCs w:val="24"/>
        </w:rPr>
        <w:t xml:space="preserve">-Ala residues throughout the cell wall, possibly due to low carboxypeptidase activity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{"citationID":"2j6esjqb6c","properties":{"formattedCitation":"(de Jonge et al., 1992)","plainCitation":"(de Jonge et al., 1992)"},"citationItems":[{"id":152,"uris":["http://zotero.org/users/944474/items/RTTT8PCA"],"uri":["http://zotero.org/users/944474/items/RTTT8PCA"],"itemData":{"id":152,"type":"article-journal","title":"Peptidoglycan composition in heterogeneous Tn551 mutants of a methicillin-resistant Staphylococcus aureus strain","container-title":"The Journal of Biological Chemistry","page":"11255-11259","volume":"267","issue":"16","abstract":"It was shown that Tn551 inactivation of two chromosomal (so-called auxiliary) loci other than the mec gene result in a dramatic reduction of methicillin resistance and decreased cell wall turnover and autolytic capacity in a methicillin-resistant Staphylococcus aureus strain (de Jonge, B. L. M., de Lencastre, H., and Tomasz, A. (1990) J. Bacteriol. 173, 1105-1110). To understand the mechanistic basis of these phenomena we have examined the status of the autolytic enzymes and the muropeptide composition of peptidoglycan using reversed-phase high-performance liquid chromatography and mass spectral analyses. While no differences could be detected in the number of autolytic hydrolases, the mutants showed major changes in peptidoglycan composition. Nine prominent muropeptides of the parental strain each carrying a pentaglycyl substituent were missing from the cell wall of one group of mutants. The second mutant lacked four parental muropeptides which were composed of the unsubstituted disaccharide pentapeptide and its alanyl-tetraglycine derivative. The auxiliary genes are genetic determinants involved with the biosynthesis of peptidoglycan precursors, the presence of which in the cell wall may be needed for optimal cell wall turnover.","note":"PMID: 1317861","journalAbbreviation":"J. Biol. Chem.","author":[{"family":"de Jonge","given":"B L"},{"family":"Chang","given":"Y S"},{"family":"Gage","given":"D"},{"family":"Tomasz","given":"A"}],"issued":{"year":1992,"month":6,"day":5},"accessed":{"year":2012,"month":4,"day":23},"page-first":"11255"}}],"schema":"https://github.com/citation-style-language/schema/raw/master/csl-citation.json"}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(de Jonge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1992)</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By supplementing the growth media with an excess of an alternative </w:t>
      </w:r>
      <w:r>
        <w:rPr>
          <w:rFonts w:ascii="Times New Roman" w:hAnsi="Times New Roman" w:cs="Times New Roman"/>
          <w:color w:val="000000" w:themeColor="text1"/>
          <w:sz w:val="16"/>
          <w:szCs w:val="16"/>
        </w:rPr>
        <w:t>D</w:t>
      </w:r>
      <w:r>
        <w:rPr>
          <w:rFonts w:ascii="Times New Roman" w:hAnsi="Times New Roman" w:cs="Times New Roman"/>
          <w:color w:val="000000" w:themeColor="text1"/>
          <w:sz w:val="24"/>
          <w:szCs w:val="24"/>
        </w:rPr>
        <w:t xml:space="preserve">-amino acid, the terminal </w:t>
      </w:r>
      <w:r>
        <w:rPr>
          <w:rFonts w:ascii="Times New Roman" w:hAnsi="Times New Roman" w:cs="Times New Roman"/>
          <w:color w:val="000000" w:themeColor="text1"/>
          <w:sz w:val="16"/>
          <w:szCs w:val="16"/>
        </w:rPr>
        <w:t>D</w:t>
      </w:r>
      <w:r>
        <w:rPr>
          <w:rFonts w:ascii="Times New Roman" w:hAnsi="Times New Roman" w:cs="Times New Roman"/>
          <w:color w:val="000000" w:themeColor="text1"/>
          <w:sz w:val="24"/>
          <w:szCs w:val="24"/>
        </w:rPr>
        <w:t xml:space="preserve">-Ala can be substituted for the new </w:t>
      </w:r>
      <w:r>
        <w:rPr>
          <w:rFonts w:ascii="Times New Roman" w:hAnsi="Times New Roman" w:cs="Times New Roman"/>
          <w:color w:val="000000" w:themeColor="text1"/>
          <w:sz w:val="16"/>
          <w:szCs w:val="16"/>
        </w:rPr>
        <w:t>D</w:t>
      </w:r>
      <w:r>
        <w:rPr>
          <w:rFonts w:ascii="Times New Roman" w:hAnsi="Times New Roman" w:cs="Times New Roman"/>
          <w:color w:val="000000" w:themeColor="text1"/>
          <w:sz w:val="24"/>
          <w:szCs w:val="24"/>
        </w:rPr>
        <w:t xml:space="preserve">-amino acid, preventing binding by vancomycin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{"citationID":"2cdovi62cq","properties":{"formattedCitation":"(Pinho and Errington, 2003)","plainCitation":"(Pinho and Errington, 2003)"},"citationItems":[{"id":42,"uris":["http://zotero.org/users/944474/items/7VW7ZGTG"],"uri":["http://zotero.org/users/944474/items/7VW7ZGTG"],"itemData":{"id":42,"type":"article-journal","title":"Dispersed mode of Staphylococcus aureus cell wall synthesis in the absence of the division machinery","container-title":"Molecular Microbiology","page":"871-881","volume":"50","issue":"3","abstract":"We have developed several new fluorescent staining procedures that enabled us to study the synthesis of cell wall material in the spherical Gram-positive bacterium Staphylococcus aureus. The results obtained support previous proposals that these cells synthesize new wall material specifically at cell division sites, in the form of a flat circular plate that is subsequently cleaved and remodelled to produce the new hemispherical poles of the daughter cells. We have shown that formation of the septal peptidoglycan is dependent on the key cell division protein FtsZ, which recruits penicillin-binding protein (PBP) 2. Unexpectedly, in FtsZ-depleted cells, the cell wall synthetic machinery becomes dispersed and new wall material is made in dispersed patches over the entire surface of the cells, which increase in volume by up to eightfold before lysing. The results have implications for understanding the nature of S. aureus morphogenesis and for inhibitors of cell division proteins as drug targets.","note":"PMID: 14617148","journalAbbreviation":"Mol. Microbiol.","author":[{"family":"Pinho","given":"Mariana G"},{"family":"Errington","given":"Jeff"}],"issued":{"year":2003,"month":11},"accessed":{"year":2012,"month":3,"day":6},"page-first":"871"}}],"schema":"https://github.com/citation-style-language/schema/raw/master/csl-citation.json"}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(Pinho and Errington, 2003)</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It is therefore possible to create a window or pulse of cell wall permissive to vancomycin labelling by growing cells in the presence of a substitute </w:t>
      </w:r>
      <w:r>
        <w:rPr>
          <w:rFonts w:ascii="Times New Roman" w:hAnsi="Times New Roman" w:cs="Times New Roman"/>
          <w:color w:val="000000" w:themeColor="text1"/>
          <w:sz w:val="16"/>
          <w:szCs w:val="16"/>
        </w:rPr>
        <w:t>D</w:t>
      </w:r>
      <w:r>
        <w:rPr>
          <w:rFonts w:ascii="Times New Roman" w:hAnsi="Times New Roman" w:cs="Times New Roman"/>
          <w:color w:val="000000" w:themeColor="text1"/>
          <w:sz w:val="24"/>
          <w:szCs w:val="24"/>
        </w:rPr>
        <w:t xml:space="preserve">-amino acid, then returning the cells to culture media lacking substitute amino acids for a short time. SH1000 cells were grown in BHI supplemented with 1.25 M </w:t>
      </w:r>
      <w:r>
        <w:rPr>
          <w:rFonts w:ascii="Times New Roman" w:hAnsi="Times New Roman" w:cs="Times New Roman"/>
          <w:color w:val="000000" w:themeColor="text1"/>
          <w:sz w:val="16"/>
          <w:szCs w:val="16"/>
        </w:rPr>
        <w:t>D</w:t>
      </w:r>
      <w:r>
        <w:rPr>
          <w:rFonts w:ascii="Times New Roman" w:hAnsi="Times New Roman" w:cs="Times New Roman"/>
          <w:color w:val="000000" w:themeColor="text1"/>
          <w:sz w:val="24"/>
          <w:szCs w:val="24"/>
        </w:rPr>
        <w:t xml:space="preserve">-serine to exponential phase, harvested and washed by centrifugation, then transferred to BHI with no </w:t>
      </w:r>
      <w:r>
        <w:rPr>
          <w:rFonts w:ascii="Times New Roman" w:hAnsi="Times New Roman" w:cs="Times New Roman"/>
          <w:color w:val="000000" w:themeColor="text1"/>
          <w:sz w:val="16"/>
          <w:szCs w:val="16"/>
        </w:rPr>
        <w:t>D</w:t>
      </w:r>
      <w:r>
        <w:rPr>
          <w:rFonts w:ascii="Times New Roman" w:hAnsi="Times New Roman" w:cs="Times New Roman"/>
          <w:color w:val="000000" w:themeColor="text1"/>
          <w:sz w:val="24"/>
          <w:szCs w:val="24"/>
        </w:rPr>
        <w:t>-serine supplement, and incubated for one generation time (approximately 25 min). An aliquot of cell suspension was then removed for labelling with vancomycin-BODIPY-FL conjugate as described in chapter 2.15.2</w:t>
      </w:r>
    </w:p>
    <w:p w:rsidR="00AA5269" w:rsidRDefault="00AA5269" w:rsidP="00AA5269">
      <w:pPr>
        <w:spacing w:line="48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Fluorescence microscopy revealed that the vancomycin-BODIPY-FL conjugate localises mainly to the nascent cell wall at the septum. Vancomycin labelling indicated that nascent peptidoglycan was present as either a ring or closed disc bisecting the cell (Figure 4.4). In some cases, daughter cell separation was initiated, resulting in splitting at the periphery of the septal cross wall. In these instances the labelled wall had an X or Y conformation, consistent with previous observations that septal splitting is initiated at the outer edge of the cell (Figure 4.4B;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{"citationID":"28gluk19q2","properties":{"formattedCitation":"(Yamada et al., 1996)","plainCitation":"(Yamada et al., 1996)"},"citationItems":[{"id":135,"uris":["http://zotero.org/users/944474/items/VKVI2N2S"],"uri":["http://zotero.org/users/944474/items/VKVI2N2S"],"itemData":{"id":135,"type":"article-journal","title":"An autolysin ring associated with cell separation of Staphylococcus aureus","container-title":"Journal of Bacteriology","page":"1565-1571","volume":"178","issue":"6","abstract":"atl is a newly discovered autolysin gene in Staphylococcus aureus. The gene product, ATL, is a unique, bifunctional protein that has an amidase domain and a glucosaminidase domain. It undergoes proteolytic processing to generate two extracellular peptidoglycan hydrolases, a 59-kDa endo-beta-N-acetylglucosaminidase and a 62-kDa N-acetylmuramyl-L-alanine amidase. It has been suggested that these enzymes are involved in the separation of daughter cells after cell division. We recently demonstrated that atl gene products are cell associated (unpublished data). The cell surface localization of the atl gene products was investigated by immunoelectron microscopy using anti-62-kDa N-acetylmuramyl-L-alanine amidase or anti-51-kDa endo-beta-N-acetylglucosaminidase immunoglobulin G. Protein A-gold particles reacting with the antigen-antibody complex were found to form a ring structure on the cell surface at the septal region for the next cell division site. Electron microscopic examination of an ultrathin section of the preembedded sample revealed preferential distribution of the gold particles at the presumptive sites for cell separation where the new septa had not been completed. The distribution of the gold particles on the surface of protoplast cells and the association of the gold particles with fibrous materials extending from the cells suggested that some atl gene products were associated with a cellular component extending from the cell membrane, such as lipoteichoic acid. The formation of a ring structure of atl gene products may be required for efficient partitioning of daughter cells after cell division.","note":"PMID: 8626282","journalAbbreviation":"J. Bacteriol.","author":[{"family":"Yamada","given":"S"},{"family":"Sugai","given":"M"},{"family":"Komatsuzawa","given":"H"},{"family":"Nakashima","given":"S"},{"family":"Oshida","given":"T"},{"family":"Matsumoto","given":"A"},{"family":"Suginaka","given":"H"}],"issued":{"year":1996,"month":3},"accessed":{"year":2012,"month":4,"day":20},"page-first":"1565"}}],"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Yamada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1996)</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An X conformation was interpreted as the simultaneous initiation of septal splitting around the equator of the septum, whilst septal splitting was initiated asymmetrically in Y conformation cells. Some cells undergoing septal splitting exhibited a faint band of labelling on a perpendicular plane in daughter cells (Figure 4.4B, orthogonal new growth). This</w:t>
      </w:r>
      <w:r>
        <w:rPr>
          <w:rFonts w:ascii="Times New Roman" w:hAnsi="Times New Roman" w:cs="Times New Roman"/>
          <w:sz w:val="24"/>
          <w:szCs w:val="24"/>
        </w:rPr>
        <w:t xml:space="preserve"> was interpreted as the synthesis of a new piecrust on the next division plane.</w:t>
      </w:r>
    </w:p>
    <w:p w:rsidR="00AA5269" w:rsidRDefault="00AA5269" w:rsidP="00AA5269">
      <w:pPr>
        <w:jc w:val="center"/>
        <w:rPr>
          <w:rFonts w:ascii="Times New Roman" w:hAnsi="Times New Roman" w:cs="Times New Roman"/>
          <w:b/>
          <w:sz w:val="24"/>
          <w:szCs w:val="24"/>
        </w:rPr>
      </w:pPr>
      <w:r>
        <w:rPr>
          <w:rFonts w:ascii="Times New Roman" w:hAnsi="Times New Roman" w:cs="Times New Roman"/>
          <w:b/>
          <w:noProof/>
          <w:sz w:val="24"/>
          <w:szCs w:val="24"/>
          <w:lang w:eastAsia="en-GB"/>
        </w:rPr>
        <w:lastRenderedPageBreak/>
        <w:drawing>
          <wp:inline distT="0" distB="0" distL="0" distR="0">
            <wp:extent cx="3740785" cy="8716645"/>
            <wp:effectExtent l="0" t="0" r="0" b="0"/>
            <wp:docPr id="75" name="Picture 7" descr="Figure 4.6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ure 4.6A.tif"/>
                    <pic:cNvPicPr>
                      <a:picLocks noChangeAspect="1" noChangeArrowheads="1"/>
                    </pic:cNvPicPr>
                  </pic:nvPicPr>
                  <pic:blipFill>
                    <a:blip r:embed="rId62" cstate="print"/>
                    <a:srcRect l="4095" t="1637"/>
                    <a:stretch>
                      <a:fillRect/>
                    </a:stretch>
                  </pic:blipFill>
                  <pic:spPr bwMode="auto">
                    <a:xfrm>
                      <a:off x="0" y="0"/>
                      <a:ext cx="3740785" cy="8716645"/>
                    </a:xfrm>
                    <a:prstGeom prst="rect">
                      <a:avLst/>
                    </a:prstGeom>
                    <a:noFill/>
                    <a:ln w="9525">
                      <a:noFill/>
                      <a:miter lim="800000"/>
                      <a:headEnd/>
                      <a:tailEnd/>
                    </a:ln>
                  </pic:spPr>
                </pic:pic>
              </a:graphicData>
            </a:graphic>
          </wp:inline>
        </w:drawing>
      </w:r>
      <w:r>
        <w:rPr>
          <w:rFonts w:ascii="Times New Roman" w:hAnsi="Times New Roman" w:cs="Times New Roman"/>
          <w:b/>
          <w:sz w:val="24"/>
          <w:szCs w:val="24"/>
        </w:rPr>
        <w:br w:type="page"/>
      </w:r>
    </w:p>
    <w:p w:rsidR="00AA5269" w:rsidRDefault="00AA5269" w:rsidP="00AA5269">
      <w:pPr>
        <w:rPr>
          <w:rFonts w:ascii="Times New Roman" w:hAnsi="Times New Roman" w:cs="Times New Roman"/>
          <w:b/>
          <w:sz w:val="24"/>
          <w:szCs w:val="24"/>
        </w:rPr>
      </w:pPr>
      <w:r>
        <w:lastRenderedPageBreak/>
        <w:pict>
          <v:shape id="_x0000_s1048" type="#_x0000_t202" style="position:absolute;margin-left:5.25pt;margin-top:1.95pt;width:16.85pt;height:17.95pt;z-index:251684864;mso-width-relative:margin;mso-height-relative:margin;v-text-anchor:middle" stroked="f">
            <v:textbox style="mso-next-textbox:#_x0000_s1048" inset="0,0,0,0">
              <w:txbxContent>
                <w:p w:rsidR="00AA5269" w:rsidRDefault="00AA5269" w:rsidP="00AA5269">
                  <w:pPr>
                    <w:jc w:val="center"/>
                    <w:rPr>
                      <w:rFonts w:ascii="Times New Roman" w:hAnsi="Times New Roman" w:cs="Times New Roman"/>
                      <w:sz w:val="36"/>
                      <w:szCs w:val="36"/>
                    </w:rPr>
                  </w:pPr>
                  <w:r>
                    <w:rPr>
                      <w:rFonts w:ascii="Times New Roman" w:hAnsi="Times New Roman" w:cs="Times New Roman"/>
                      <w:sz w:val="36"/>
                      <w:szCs w:val="36"/>
                    </w:rPr>
                    <w:t>B</w:t>
                  </w:r>
                </w:p>
              </w:txbxContent>
            </v:textbox>
          </v:shape>
        </w:pict>
      </w:r>
      <w:r>
        <w:pict>
          <v:shape id="_x0000_s1051" type="#_x0000_t202" style="position:absolute;margin-left:8pt;margin-top:23.4pt;width:19.65pt;height:51.3pt;z-index:251687936;mso-width-relative:margin;mso-height-relative:margin" filled="f" stroked="f">
            <v:textbox style="layout-flow:vertical;mso-layout-flow-alt:bottom-to-top;mso-next-textbox:#_x0000_s1051" inset="0,0,0,0">
              <w:txbxContent>
                <w:p w:rsidR="00AA5269" w:rsidRDefault="00AA5269" w:rsidP="00AA5269">
                  <w:pPr>
                    <w:jc w:val="center"/>
                    <w:rPr>
                      <w:rFonts w:ascii="Times New Roman" w:hAnsi="Times New Roman" w:cs="Times New Roman"/>
                    </w:rPr>
                  </w:pPr>
                  <w:r>
                    <w:rPr>
                      <w:rFonts w:ascii="Times New Roman" w:hAnsi="Times New Roman" w:cs="Times New Roman"/>
                    </w:rPr>
                    <w:t>Brightfield</w:t>
                  </w:r>
                </w:p>
              </w:txbxContent>
            </v:textbox>
          </v:shape>
        </w:pict>
      </w:r>
    </w:p>
    <w:p w:rsidR="00AA5269" w:rsidRDefault="00AA5269" w:rsidP="00AA5269">
      <w:pPr>
        <w:jc w:val="center"/>
        <w:rPr>
          <w:rFonts w:ascii="Times New Roman" w:hAnsi="Times New Roman" w:cs="Times New Roman"/>
          <w:b/>
          <w:sz w:val="24"/>
          <w:szCs w:val="24"/>
        </w:rPr>
      </w:pPr>
      <w:r>
        <w:pict>
          <v:shape id="_x0000_s1054" type="#_x0000_t202" style="position:absolute;left:0;text-align:left;margin-left:233.15pt;margin-top:65.55pt;width:20pt;height:15.75pt;z-index:251691008;mso-width-relative:margin;mso-height-relative:margin;v-text-anchor:middle" filled="f" stroked="f">
            <v:textbox inset="0,0,0,0">
              <w:txbxContent>
                <w:p w:rsidR="00AA5269" w:rsidRDefault="00AA5269" w:rsidP="00AA5269">
                  <w:pPr>
                    <w:jc w:val="center"/>
                    <w:rPr>
                      <w:rFonts w:ascii="Times New Roman" w:hAnsi="Times New Roman" w:cs="Times New Roman"/>
                      <w:sz w:val="24"/>
                      <w:szCs w:val="24"/>
                    </w:rPr>
                  </w:pPr>
                  <w:proofErr w:type="gramStart"/>
                  <w:r>
                    <w:rPr>
                      <w:rFonts w:ascii="Times New Roman" w:hAnsi="Times New Roman" w:cs="Times New Roman"/>
                      <w:sz w:val="24"/>
                      <w:szCs w:val="24"/>
                    </w:rPr>
                    <w:t>or</w:t>
                  </w:r>
                  <w:proofErr w:type="gramEnd"/>
                </w:p>
              </w:txbxContent>
            </v:textbox>
          </v:shape>
        </w:pict>
      </w:r>
      <w:r>
        <w:pict>
          <v:shape id="_x0000_s1053" type="#_x0000_t202" style="position:absolute;left:0;text-align:left;margin-left:8pt;margin-top:99.6pt;width:19.65pt;height:30.4pt;z-index:251689984;mso-width-relative:margin;mso-height-relative:margin" filled="f" stroked="f">
            <v:textbox style="layout-flow:vertical;mso-layout-flow-alt:bottom-to-top;mso-next-textbox:#_x0000_s1053" inset="0,0,0,0">
              <w:txbxContent>
                <w:p w:rsidR="00AA5269" w:rsidRDefault="00AA5269" w:rsidP="00AA5269">
                  <w:pPr>
                    <w:rPr>
                      <w:rFonts w:ascii="Times New Roman" w:hAnsi="Times New Roman" w:cs="Times New Roman"/>
                    </w:rPr>
                  </w:pPr>
                  <w:r>
                    <w:rPr>
                      <w:rFonts w:ascii="Times New Roman" w:hAnsi="Times New Roman" w:cs="Times New Roman"/>
                    </w:rPr>
                    <w:t>Merge</w:t>
                  </w:r>
                </w:p>
              </w:txbxContent>
            </v:textbox>
          </v:shape>
        </w:pict>
      </w:r>
      <w:r>
        <w:pict>
          <v:shape id="_x0000_s1052" type="#_x0000_t202" style="position:absolute;left:0;text-align:left;margin-left:8pt;margin-top:51.4pt;width:19.65pt;height:36.75pt;z-index:251688960;mso-width-relative:margin;mso-height-relative:margin" filled="f" stroked="f">
            <v:textbox style="layout-flow:vertical;mso-layout-flow-alt:bottom-to-top;mso-next-textbox:#_x0000_s1052" inset="0,0,0,0">
              <w:txbxContent>
                <w:p w:rsidR="00AA5269" w:rsidRDefault="00AA5269" w:rsidP="00AA5269">
                  <w:pPr>
                    <w:rPr>
                      <w:rFonts w:ascii="Times New Roman" w:hAnsi="Times New Roman" w:cs="Times New Roman"/>
                    </w:rPr>
                  </w:pPr>
                  <w:r>
                    <w:rPr>
                      <w:rFonts w:ascii="Times New Roman" w:hAnsi="Times New Roman" w:cs="Times New Roman"/>
                    </w:rPr>
                    <w:t>Van-Fl</w:t>
                  </w:r>
                </w:p>
              </w:txbxContent>
            </v:textbox>
          </v:shape>
        </w:pict>
      </w:r>
      <w:r>
        <w:rPr>
          <w:rFonts w:ascii="Times New Roman" w:hAnsi="Times New Roman" w:cs="Times New Roman"/>
          <w:b/>
          <w:noProof/>
          <w:sz w:val="24"/>
          <w:szCs w:val="24"/>
          <w:lang w:eastAsia="en-GB"/>
        </w:rPr>
        <w:drawing>
          <wp:inline distT="0" distB="0" distL="0" distR="0">
            <wp:extent cx="4797425" cy="3159125"/>
            <wp:effectExtent l="19050" t="0" r="3175" b="0"/>
            <wp:docPr id="74" name="Picture 8" descr="Van-Fl pulse SH1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an-Fl pulse SH1000.png"/>
                    <pic:cNvPicPr>
                      <a:picLocks noChangeAspect="1" noChangeArrowheads="1"/>
                    </pic:cNvPicPr>
                  </pic:nvPicPr>
                  <pic:blipFill>
                    <a:blip r:embed="rId63" cstate="print"/>
                    <a:srcRect/>
                    <a:stretch>
                      <a:fillRect/>
                    </a:stretch>
                  </pic:blipFill>
                  <pic:spPr bwMode="auto">
                    <a:xfrm>
                      <a:off x="0" y="0"/>
                      <a:ext cx="4797425" cy="3159125"/>
                    </a:xfrm>
                    <a:prstGeom prst="rect">
                      <a:avLst/>
                    </a:prstGeom>
                    <a:noFill/>
                    <a:ln w="9525">
                      <a:noFill/>
                      <a:miter lim="800000"/>
                      <a:headEnd/>
                      <a:tailEnd/>
                    </a:ln>
                  </pic:spPr>
                </pic:pic>
              </a:graphicData>
            </a:graphic>
          </wp:inline>
        </w:drawing>
      </w:r>
    </w:p>
    <w:p w:rsidR="00AA5269" w:rsidRDefault="00AA5269" w:rsidP="00AA5269">
      <w:pPr>
        <w:rPr>
          <w:rFonts w:ascii="Times New Roman" w:hAnsi="Times New Roman" w:cs="Times New Roman"/>
          <w:b/>
          <w:sz w:val="24"/>
          <w:szCs w:val="24"/>
        </w:rPr>
      </w:pPr>
      <w:r>
        <w:pict>
          <v:shape id="_x0000_s1049" type="#_x0000_t202" style="position:absolute;margin-left:5.25pt;margin-top:20.25pt;width:16.85pt;height:17.95pt;z-index:251685888;mso-width-relative:margin;mso-height-relative:margin;v-text-anchor:middle" stroked="f">
            <v:textbox style="mso-next-textbox:#_x0000_s1049" inset="0,0,0,0">
              <w:txbxContent>
                <w:p w:rsidR="00AA5269" w:rsidRDefault="00AA5269" w:rsidP="00AA5269">
                  <w:pPr>
                    <w:jc w:val="center"/>
                    <w:rPr>
                      <w:rFonts w:ascii="Times New Roman" w:hAnsi="Times New Roman" w:cs="Times New Roman"/>
                      <w:sz w:val="36"/>
                      <w:szCs w:val="36"/>
                    </w:rPr>
                  </w:pPr>
                  <w:r>
                    <w:rPr>
                      <w:rFonts w:ascii="Times New Roman" w:hAnsi="Times New Roman" w:cs="Times New Roman"/>
                      <w:sz w:val="36"/>
                      <w:szCs w:val="36"/>
                    </w:rPr>
                    <w:t>C</w:t>
                  </w:r>
                </w:p>
              </w:txbxContent>
            </v:textbox>
          </v:shape>
        </w:pict>
      </w:r>
      <w:r>
        <w:pict>
          <v:shape id="_x0000_s1050" type="#_x0000_t202" style="position:absolute;margin-left:273.2pt;margin-top:20.25pt;width:16.85pt;height:17.95pt;z-index:251686912;mso-width-relative:margin;mso-height-relative:margin;v-text-anchor:middle" stroked="f">
            <v:textbox style="mso-next-textbox:#_x0000_s1050" inset="0,0,0,0">
              <w:txbxContent>
                <w:p w:rsidR="00AA5269" w:rsidRDefault="00AA5269" w:rsidP="00AA5269">
                  <w:pPr>
                    <w:jc w:val="center"/>
                    <w:rPr>
                      <w:rFonts w:ascii="Times New Roman" w:hAnsi="Times New Roman" w:cs="Times New Roman"/>
                      <w:sz w:val="36"/>
                      <w:szCs w:val="36"/>
                    </w:rPr>
                  </w:pPr>
                  <w:r>
                    <w:rPr>
                      <w:rFonts w:ascii="Times New Roman" w:hAnsi="Times New Roman" w:cs="Times New Roman"/>
                      <w:sz w:val="36"/>
                      <w:szCs w:val="36"/>
                    </w:rPr>
                    <w:t>D</w:t>
                  </w:r>
                </w:p>
              </w:txbxContent>
            </v:textbox>
          </v:shape>
        </w:pic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525"/>
        <w:gridCol w:w="2916"/>
      </w:tblGrid>
      <w:tr w:rsidR="00AA5269" w:rsidTr="00AA5269">
        <w:tc>
          <w:tcPr>
            <w:tcW w:w="5509" w:type="dxa"/>
            <w:noWrap/>
            <w:tcMar>
              <w:top w:w="0" w:type="dxa"/>
              <w:left w:w="0" w:type="dxa"/>
              <w:bottom w:w="0" w:type="dxa"/>
              <w:right w:w="0" w:type="dxa"/>
            </w:tcMar>
            <w:vAlign w:val="center"/>
            <w:hideMark/>
          </w:tcPr>
          <w:p w:rsidR="00AA5269" w:rsidRDefault="00AA5269">
            <w:pPr>
              <w:jc w:val="center"/>
              <w:rPr>
                <w:rFonts w:ascii="Times New Roman" w:hAnsi="Times New Roman" w:cs="Times New Roman"/>
                <w:b/>
                <w:sz w:val="24"/>
                <w:szCs w:val="24"/>
              </w:rPr>
            </w:pPr>
            <w:r>
              <w:pict>
                <v:shape id="_x0000_s1059" type="#_x0000_t202" style="position:absolute;left:0;text-align:left;margin-left:145.4pt;margin-top:99.9pt;width:20.95pt;height:19.85pt;z-index:251696128;mso-width-relative:margin;mso-height-relative:margin" filled="f" stroked="f">
                  <v:textbox>
                    <w:txbxContent>
                      <w:p w:rsidR="00AA5269" w:rsidRDefault="00AA5269" w:rsidP="00AA5269">
                        <w:pPr>
                          <w:rPr>
                            <w:sz w:val="18"/>
                            <w:szCs w:val="18"/>
                          </w:rPr>
                        </w:pPr>
                        <w:r>
                          <w:rPr>
                            <w:sz w:val="18"/>
                            <w:szCs w:val="18"/>
                          </w:rPr>
                          <w:t>I</w:t>
                        </w:r>
                      </w:p>
                    </w:txbxContent>
                  </v:textbox>
                </v:shape>
              </w:pict>
            </w:r>
            <w:r>
              <w:rPr>
                <w:rFonts w:ascii="Times New Roman" w:hAnsi="Times New Roman" w:cs="Times New Roman"/>
                <w:b/>
                <w:noProof/>
                <w:sz w:val="24"/>
                <w:szCs w:val="24"/>
                <w:lang w:eastAsia="en-GB"/>
              </w:rPr>
              <w:drawing>
                <wp:inline distT="0" distB="0" distL="0" distR="0">
                  <wp:extent cx="3491230" cy="1864360"/>
                  <wp:effectExtent l="0" t="0" r="0" b="0"/>
                  <wp:docPr id="73" name="Picture 9" descr="Vanc labelling gra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anc labelling graph.png"/>
                          <pic:cNvPicPr>
                            <a:picLocks noChangeAspect="1" noChangeArrowheads="1"/>
                          </pic:cNvPicPr>
                        </pic:nvPicPr>
                        <pic:blipFill>
                          <a:blip r:embed="rId64" cstate="print"/>
                          <a:srcRect/>
                          <a:stretch>
                            <a:fillRect/>
                          </a:stretch>
                        </pic:blipFill>
                        <pic:spPr bwMode="auto">
                          <a:xfrm>
                            <a:off x="0" y="0"/>
                            <a:ext cx="3491230" cy="1864360"/>
                          </a:xfrm>
                          <a:prstGeom prst="rect">
                            <a:avLst/>
                          </a:prstGeom>
                          <a:noFill/>
                          <a:ln w="9525">
                            <a:noFill/>
                            <a:miter lim="800000"/>
                            <a:headEnd/>
                            <a:tailEnd/>
                          </a:ln>
                        </pic:spPr>
                      </pic:pic>
                    </a:graphicData>
                  </a:graphic>
                </wp:inline>
              </w:drawing>
            </w:r>
          </w:p>
        </w:tc>
        <w:tc>
          <w:tcPr>
            <w:tcW w:w="2916" w:type="dxa"/>
            <w:vAlign w:val="bottom"/>
            <w:hideMark/>
          </w:tcPr>
          <w:p w:rsidR="00AA5269" w:rsidRDefault="00AA5269">
            <w:pPr>
              <w:jc w:val="center"/>
              <w:rPr>
                <w:rFonts w:ascii="Times New Roman" w:hAnsi="Times New Roman" w:cs="Times New Roman"/>
                <w:b/>
                <w:sz w:val="24"/>
                <w:szCs w:val="24"/>
              </w:rPr>
            </w:pPr>
            <w:r>
              <w:rPr>
                <w:rFonts w:ascii="Times New Roman" w:hAnsi="Times New Roman" w:cs="Times New Roman"/>
                <w:b/>
                <w:noProof/>
                <w:sz w:val="24"/>
                <w:szCs w:val="24"/>
                <w:lang w:eastAsia="en-GB"/>
              </w:rPr>
              <w:drawing>
                <wp:inline distT="0" distB="0" distL="0" distR="0">
                  <wp:extent cx="1686560" cy="2291715"/>
                  <wp:effectExtent l="19050" t="0" r="8890" b="0"/>
                  <wp:docPr id="72" name="Picture 10" descr="Grap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aph1.png"/>
                          <pic:cNvPicPr>
                            <a:picLocks noChangeAspect="1" noChangeArrowheads="1"/>
                          </pic:cNvPicPr>
                        </pic:nvPicPr>
                        <pic:blipFill>
                          <a:blip r:embed="rId65" cstate="print"/>
                          <a:srcRect l="8640" t="5417"/>
                          <a:stretch>
                            <a:fillRect/>
                          </a:stretch>
                        </pic:blipFill>
                        <pic:spPr bwMode="auto">
                          <a:xfrm>
                            <a:off x="0" y="0"/>
                            <a:ext cx="1686560" cy="2291715"/>
                          </a:xfrm>
                          <a:prstGeom prst="rect">
                            <a:avLst/>
                          </a:prstGeom>
                          <a:noFill/>
                          <a:ln w="9525">
                            <a:noFill/>
                            <a:miter lim="800000"/>
                            <a:headEnd/>
                            <a:tailEnd/>
                          </a:ln>
                        </pic:spPr>
                      </pic:pic>
                    </a:graphicData>
                  </a:graphic>
                </wp:inline>
              </w:drawing>
            </w:r>
          </w:p>
        </w:tc>
      </w:tr>
    </w:tbl>
    <w:p w:rsidR="00AA5269" w:rsidRDefault="00AA5269" w:rsidP="00AA5269">
      <w:pPr>
        <w:spacing w:before="60" w:line="360" w:lineRule="auto"/>
        <w:jc w:val="both"/>
        <w:rPr>
          <w:rFonts w:ascii="Times New Roman" w:hAnsi="Times New Roman" w:cs="Times New Roman"/>
          <w:sz w:val="24"/>
          <w:szCs w:val="24"/>
        </w:rPr>
      </w:pPr>
      <w:proofErr w:type="gramStart"/>
      <w:r>
        <w:rPr>
          <w:rFonts w:ascii="Times New Roman" w:hAnsi="Times New Roman" w:cs="Times New Roman"/>
          <w:b/>
          <w:sz w:val="24"/>
          <w:szCs w:val="24"/>
        </w:rPr>
        <w:t>Figure 4.4.</w:t>
      </w:r>
      <w:proofErr w:type="gramEnd"/>
      <w:r>
        <w:rPr>
          <w:rFonts w:ascii="Times New Roman" w:hAnsi="Times New Roman" w:cs="Times New Roman"/>
          <w:b/>
          <w:sz w:val="24"/>
          <w:szCs w:val="24"/>
        </w:rPr>
        <w:t xml:space="preserve"> </w:t>
      </w:r>
      <w:proofErr w:type="gramStart"/>
      <w:r>
        <w:rPr>
          <w:rFonts w:ascii="Times New Roman" w:hAnsi="Times New Roman" w:cs="Times New Roman"/>
          <w:b/>
          <w:sz w:val="24"/>
          <w:szCs w:val="24"/>
        </w:rPr>
        <w:t xml:space="preserve">Dynamics of nascent peptidoglycan synthesis and daughter cell separation in </w:t>
      </w:r>
      <w:r>
        <w:rPr>
          <w:rFonts w:ascii="Times New Roman" w:hAnsi="Times New Roman" w:cs="Times New Roman"/>
          <w:b/>
          <w:i/>
          <w:sz w:val="24"/>
          <w:szCs w:val="24"/>
        </w:rPr>
        <w:t>S. aureus.</w:t>
      </w:r>
      <w:proofErr w:type="gramEnd"/>
      <w:r>
        <w:rPr>
          <w:rFonts w:ascii="Times New Roman" w:hAnsi="Times New Roman" w:cs="Times New Roman"/>
          <w:b/>
          <w:sz w:val="24"/>
          <w:szCs w:val="24"/>
        </w:rPr>
        <w:t xml:space="preserve"> </w:t>
      </w:r>
      <w:r>
        <w:rPr>
          <w:rFonts w:ascii="Times New Roman" w:hAnsi="Times New Roman" w:cs="Times New Roman"/>
          <w:sz w:val="24"/>
          <w:szCs w:val="24"/>
        </w:rPr>
        <w:t>(A)</w:t>
      </w:r>
      <w:r>
        <w:rPr>
          <w:rFonts w:ascii="Times New Roman" w:hAnsi="Times New Roman" w:cs="Times New Roman"/>
          <w:i/>
          <w:sz w:val="24"/>
          <w:szCs w:val="24"/>
        </w:rPr>
        <w:t xml:space="preserve"> S. aureus </w:t>
      </w:r>
      <w:r>
        <w:rPr>
          <w:rFonts w:ascii="Times New Roman" w:hAnsi="Times New Roman" w:cs="Times New Roman"/>
          <w:sz w:val="24"/>
          <w:szCs w:val="24"/>
        </w:rPr>
        <w:t xml:space="preserve">cells labelled with fluorescent vancomycin following 25 min growth in BHI media in the absence of D-serine. White arrows indicate bright labelling at the septum. (B) Representative cells and interpretive schematic defining key stages in septal wall synthesis and cell separation of </w:t>
      </w:r>
      <w:r>
        <w:rPr>
          <w:rFonts w:ascii="Times New Roman" w:hAnsi="Times New Roman" w:cs="Times New Roman"/>
          <w:i/>
          <w:sz w:val="24"/>
          <w:szCs w:val="24"/>
        </w:rPr>
        <w:t>S. aureus</w:t>
      </w:r>
      <w:r>
        <w:rPr>
          <w:rFonts w:ascii="Times New Roman" w:hAnsi="Times New Roman" w:cs="Times New Roman"/>
          <w:sz w:val="24"/>
          <w:szCs w:val="24"/>
        </w:rPr>
        <w:t>. (C) Proportion of cells at different stages of septal wall synthesis and splitting. As the precise appearance of orthogonal new growth is difficult to determine, all ‘X’ conformation cells with and without new growth are classed as “other”. (D) Distribution of cell volumes at different stages of septation and separation as identified in (C). Interpretive schematic and measurements provided by R. D. Turner.</w:t>
      </w:r>
      <w:r>
        <w:rPr>
          <w:rFonts w:ascii="Times New Roman" w:hAnsi="Times New Roman" w:cs="Times New Roman"/>
          <w:b/>
          <w:sz w:val="24"/>
          <w:szCs w:val="24"/>
        </w:rPr>
        <w:br w:type="page"/>
      </w:r>
    </w:p>
    <w:p w:rsidR="00AA5269" w:rsidRDefault="00AA5269" w:rsidP="00AA5269">
      <w:pPr>
        <w:spacing w:line="48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lastRenderedPageBreak/>
        <w:t xml:space="preserve">An approximately equal proportion of cells were observed to have an incomplete </w:t>
      </w:r>
      <w:r>
        <w:rPr>
          <w:rFonts w:ascii="Times New Roman" w:hAnsi="Times New Roman" w:cs="Times New Roman"/>
          <w:color w:val="000000" w:themeColor="text1"/>
          <w:sz w:val="24"/>
          <w:szCs w:val="24"/>
        </w:rPr>
        <w:t>septum or to be undergoing septal splitting. Only a small proportion of cells (~10%) displayed a completed septum with no hydrolytic splitting, suggesting that septal hydrolysis is rapidly initiated following completion of the septum (Figure 4.4C). As expected, cell volume was smallest in hemispherical cells with a complete septum, increased in pseudo-hemispherical cells splitting at the septum, and was greatest in individual spherical cells with incomplete septa (Figure 4.4D)</w:t>
      </w:r>
    </w:p>
    <w:p w:rsidR="00AA5269" w:rsidRDefault="00AA5269" w:rsidP="00AA5269">
      <w:pPr>
        <w:spacing w:line="480" w:lineRule="auto"/>
        <w:jc w:val="both"/>
        <w:rPr>
          <w:rFonts w:ascii="Times New Roman" w:hAnsi="Times New Roman" w:cs="Times New Roman"/>
          <w:color w:val="000000" w:themeColor="text1"/>
          <w:sz w:val="24"/>
          <w:szCs w:val="24"/>
        </w:rPr>
      </w:pPr>
    </w:p>
    <w:p w:rsidR="00AA5269" w:rsidRDefault="00AA5269" w:rsidP="00AA5269">
      <w:pPr>
        <w:spacing w:line="48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4.2.1.4 The orientation of intersecting peptidoglycan ribs</w:t>
      </w:r>
    </w:p>
    <w:p w:rsidR="00AA5269" w:rsidRDefault="00AA5269" w:rsidP="00AA5269">
      <w:pPr>
        <w:spacing w:line="48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AFM images revealed the presence of intersecting circular bands, i.e. piecrusts and less distinct ribs (Figure 4.5). The bands were arranged equatorially around the sacculus, perpendicular to one another. The piecrust marks the boundary between the two daughter cells prior to cell separation. Ribs were interpreted as piecrusts which had divided between daughter cells during previous rounds of division and therefore denote the previous orthogonal division planes of the cell. A rib intersecting with a piecrust formed a cross junction whilst two intersecting ribs formed a T-junction (Figure 4.5). When the thick piecrust is split equatorially during daughter cell separation, a cross-junction will become T-junction. A model illustrating the arrangement of the orthogonal ribs around the cell is shown in Figure 4.6, and illustrates how the arrangement of the ribs is altered following cell division and inheritance by daughter cells. They comprise a whole rib derived from the piecrust during the most recent division, a half rib from the preceding round of division, and a quarter </w:t>
      </w:r>
      <w:proofErr w:type="gramStart"/>
      <w:r>
        <w:rPr>
          <w:rFonts w:ascii="Times New Roman" w:hAnsi="Times New Roman" w:cs="Times New Roman"/>
          <w:color w:val="000000" w:themeColor="text1"/>
          <w:sz w:val="24"/>
          <w:szCs w:val="24"/>
        </w:rPr>
        <w:t>rib</w:t>
      </w:r>
      <w:proofErr w:type="gramEnd"/>
      <w:r>
        <w:rPr>
          <w:rFonts w:ascii="Times New Roman" w:hAnsi="Times New Roman" w:cs="Times New Roman"/>
          <w:color w:val="000000" w:themeColor="text1"/>
          <w:sz w:val="24"/>
          <w:szCs w:val="24"/>
        </w:rPr>
        <w:t xml:space="preserve"> from the division before that. The quarter rib marks the new division plane and is overwritten</w:t>
      </w:r>
      <w:r>
        <w:rPr>
          <w:rFonts w:ascii="Times New Roman" w:hAnsi="Times New Roman" w:cs="Times New Roman"/>
          <w:sz w:val="24"/>
          <w:szCs w:val="24"/>
        </w:rPr>
        <w:t xml:space="preserve"> by synthesis of the piecrust.</w:t>
      </w:r>
    </w:p>
    <w:p w:rsidR="00AA5269" w:rsidRDefault="00AA5269" w:rsidP="00AA5269">
      <w:pPr>
        <w:jc w:val="center"/>
        <w:rPr>
          <w:rFonts w:ascii="Times New Roman" w:hAnsi="Times New Roman" w:cs="Times New Roman"/>
          <w:b/>
          <w:sz w:val="24"/>
          <w:szCs w:val="24"/>
        </w:rPr>
      </w:pPr>
      <w:r>
        <w:rPr>
          <w:rFonts w:ascii="Times New Roman" w:hAnsi="Times New Roman" w:cs="Times New Roman"/>
          <w:b/>
          <w:noProof/>
          <w:sz w:val="24"/>
          <w:szCs w:val="24"/>
          <w:lang w:eastAsia="en-GB"/>
        </w:rPr>
        <w:lastRenderedPageBreak/>
        <w:drawing>
          <wp:inline distT="0" distB="0" distL="0" distR="0">
            <wp:extent cx="5177790" cy="7683500"/>
            <wp:effectExtent l="0" t="0" r="3810" b="0"/>
            <wp:docPr id="71" name="Picture 23" descr="Figure 4.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igure 4.7.tif"/>
                    <pic:cNvPicPr>
                      <a:picLocks noChangeAspect="1" noChangeArrowheads="1"/>
                    </pic:cNvPicPr>
                  </pic:nvPicPr>
                  <pic:blipFill>
                    <a:blip r:embed="rId66" cstate="print"/>
                    <a:srcRect r="1752"/>
                    <a:stretch>
                      <a:fillRect/>
                    </a:stretch>
                  </pic:blipFill>
                  <pic:spPr bwMode="auto">
                    <a:xfrm>
                      <a:off x="0" y="0"/>
                      <a:ext cx="5177790" cy="7683500"/>
                    </a:xfrm>
                    <a:prstGeom prst="rect">
                      <a:avLst/>
                    </a:prstGeom>
                    <a:noFill/>
                    <a:ln w="9525">
                      <a:noFill/>
                      <a:miter lim="800000"/>
                      <a:headEnd/>
                      <a:tailEnd/>
                    </a:ln>
                  </pic:spPr>
                </pic:pic>
              </a:graphicData>
            </a:graphic>
          </wp:inline>
        </w:drawing>
      </w:r>
    </w:p>
    <w:p w:rsidR="00AA5269" w:rsidRDefault="00AA5269" w:rsidP="00AA5269">
      <w:pPr>
        <w:spacing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t>Figure 4.5.</w:t>
      </w:r>
      <w:proofErr w:type="gramEnd"/>
      <w:r>
        <w:rPr>
          <w:rFonts w:ascii="Times New Roman" w:hAnsi="Times New Roman" w:cs="Times New Roman"/>
          <w:b/>
          <w:sz w:val="24"/>
          <w:szCs w:val="24"/>
        </w:rPr>
        <w:t xml:space="preserve"> Architecture of orthogonal peptidoglycan ribs in </w:t>
      </w:r>
      <w:r>
        <w:rPr>
          <w:rFonts w:ascii="Times New Roman" w:hAnsi="Times New Roman" w:cs="Times New Roman"/>
          <w:b/>
          <w:i/>
          <w:sz w:val="24"/>
          <w:szCs w:val="24"/>
        </w:rPr>
        <w:t>S. aureus</w:t>
      </w:r>
      <w:r>
        <w:rPr>
          <w:rFonts w:ascii="Times New Roman" w:hAnsi="Times New Roman" w:cs="Times New Roman"/>
          <w:b/>
          <w:sz w:val="24"/>
          <w:szCs w:val="24"/>
        </w:rPr>
        <w:t xml:space="preserve">. </w:t>
      </w:r>
      <w:r>
        <w:rPr>
          <w:rFonts w:ascii="Times New Roman" w:hAnsi="Times New Roman" w:cs="Times New Roman"/>
          <w:sz w:val="24"/>
          <w:szCs w:val="24"/>
        </w:rPr>
        <w:t>(A-C)</w:t>
      </w:r>
      <w:r>
        <w:rPr>
          <w:rFonts w:ascii="Times New Roman" w:hAnsi="Times New Roman" w:cs="Times New Roman"/>
          <w:b/>
          <w:sz w:val="24"/>
          <w:szCs w:val="24"/>
        </w:rPr>
        <w:t xml:space="preserve"> </w:t>
      </w:r>
      <w:proofErr w:type="gramStart"/>
      <w:r>
        <w:rPr>
          <w:rFonts w:ascii="Times New Roman" w:hAnsi="Times New Roman" w:cs="Times New Roman"/>
          <w:sz w:val="24"/>
          <w:szCs w:val="24"/>
        </w:rPr>
        <w:t>A gallery of AFM height (H) and phase (P) images showing intersecting peptidoglycan ribs forming T-junctions and cross-junctions.</w:t>
      </w:r>
      <w:proofErr w:type="gramEnd"/>
      <w:r>
        <w:rPr>
          <w:rFonts w:ascii="Times New Roman" w:hAnsi="Times New Roman" w:cs="Times New Roman"/>
          <w:sz w:val="24"/>
          <w:szCs w:val="24"/>
        </w:rPr>
        <w:t xml:space="preserve"> Scales: (A) H 150 nm, P 45°; (B) H 60 nm, P 20°; (C) H 100 nm, P 8°. Images provided by R. D. Turner and E. C. Ratcliffe.</w:t>
      </w:r>
      <w:r>
        <w:rPr>
          <w:rFonts w:ascii="Times New Roman" w:hAnsi="Times New Roman" w:cs="Times New Roman"/>
          <w:b/>
          <w:sz w:val="24"/>
          <w:szCs w:val="24"/>
        </w:rPr>
        <w:br w:type="page"/>
      </w:r>
    </w:p>
    <w:p w:rsidR="00AA5269" w:rsidRDefault="00AA5269" w:rsidP="00AA5269">
      <w:pPr>
        <w:rPr>
          <w:rFonts w:ascii="Times New Roman" w:hAnsi="Times New Roman" w:cs="Times New Roman"/>
          <w:b/>
          <w:sz w:val="24"/>
          <w:szCs w:val="24"/>
        </w:rPr>
      </w:pPr>
      <w:r>
        <w:rPr>
          <w:rFonts w:ascii="Times New Roman" w:hAnsi="Times New Roman" w:cs="Times New Roman"/>
          <w:b/>
          <w:noProof/>
          <w:sz w:val="24"/>
          <w:szCs w:val="24"/>
          <w:lang w:eastAsia="en-GB"/>
        </w:rPr>
        <w:lastRenderedPageBreak/>
        <w:drawing>
          <wp:inline distT="0" distB="0" distL="0" distR="0">
            <wp:extent cx="5272405" cy="2446020"/>
            <wp:effectExtent l="19050" t="0" r="0" b="0"/>
            <wp:docPr id="70" name="Picture 12" descr="Ribs 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ibs model.png"/>
                    <pic:cNvPicPr>
                      <a:picLocks noChangeAspect="1" noChangeArrowheads="1"/>
                    </pic:cNvPicPr>
                  </pic:nvPicPr>
                  <pic:blipFill>
                    <a:blip r:embed="rId67" cstate="print"/>
                    <a:srcRect/>
                    <a:stretch>
                      <a:fillRect/>
                    </a:stretch>
                  </pic:blipFill>
                  <pic:spPr bwMode="auto">
                    <a:xfrm>
                      <a:off x="0" y="0"/>
                      <a:ext cx="5272405" cy="2446020"/>
                    </a:xfrm>
                    <a:prstGeom prst="rect">
                      <a:avLst/>
                    </a:prstGeom>
                    <a:noFill/>
                    <a:ln w="9525">
                      <a:noFill/>
                      <a:miter lim="800000"/>
                      <a:headEnd/>
                      <a:tailEnd/>
                    </a:ln>
                  </pic:spPr>
                </pic:pic>
              </a:graphicData>
            </a:graphic>
          </wp:inline>
        </w:drawing>
      </w:r>
    </w:p>
    <w:p w:rsidR="00AA5269" w:rsidRDefault="00AA5269" w:rsidP="00AA5269">
      <w:pPr>
        <w:spacing w:line="480" w:lineRule="auto"/>
        <w:jc w:val="both"/>
        <w:rPr>
          <w:rFonts w:ascii="Times New Roman" w:hAnsi="Times New Roman" w:cs="Times New Roman"/>
          <w:sz w:val="24"/>
          <w:szCs w:val="24"/>
        </w:rPr>
      </w:pPr>
    </w:p>
    <w:p w:rsidR="00AA5269" w:rsidRDefault="00AA5269" w:rsidP="00AA5269">
      <w:pPr>
        <w:spacing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t>Figure 4.6.</w:t>
      </w:r>
      <w:proofErr w:type="gramEnd"/>
      <w:r>
        <w:rPr>
          <w:rFonts w:ascii="Times New Roman" w:hAnsi="Times New Roman" w:cs="Times New Roman"/>
          <w:b/>
          <w:sz w:val="24"/>
          <w:szCs w:val="24"/>
        </w:rPr>
        <w:t xml:space="preserve"> Inheritance of peptidoglycan ribs. </w:t>
      </w:r>
      <w:proofErr w:type="gramStart"/>
      <w:r>
        <w:rPr>
          <w:rFonts w:ascii="Times New Roman" w:hAnsi="Times New Roman" w:cs="Times New Roman"/>
          <w:sz w:val="24"/>
          <w:szCs w:val="24"/>
        </w:rPr>
        <w:t xml:space="preserve">Model showing distribution and inheritance of peptidoglycan ribs on orthogonal division planes in </w:t>
      </w:r>
      <w:r>
        <w:rPr>
          <w:rFonts w:ascii="Times New Roman" w:hAnsi="Times New Roman" w:cs="Times New Roman"/>
          <w:i/>
          <w:sz w:val="24"/>
          <w:szCs w:val="24"/>
        </w:rPr>
        <w:t xml:space="preserve">S. aureus, </w:t>
      </w:r>
      <w:r>
        <w:rPr>
          <w:rFonts w:ascii="Times New Roman" w:hAnsi="Times New Roman" w:cs="Times New Roman"/>
          <w:sz w:val="24"/>
          <w:szCs w:val="24"/>
        </w:rPr>
        <w:t>during a single round of division.</w:t>
      </w:r>
      <w:proofErr w:type="gramEnd"/>
      <w:r>
        <w:rPr>
          <w:rFonts w:ascii="Times New Roman" w:hAnsi="Times New Roman" w:cs="Times New Roman"/>
          <w:sz w:val="24"/>
          <w:szCs w:val="24"/>
        </w:rPr>
        <w:t xml:space="preserve"> A piecrust is laid down on the plane of the quarter rib (grey) and is split between the two daughter cells when the cell divides.  The new quarter rib (red) denotes the next division plane in the daughter cells. Model provided by R. D. Turner</w:t>
      </w:r>
      <w:r>
        <w:rPr>
          <w:rFonts w:ascii="Times New Roman" w:hAnsi="Times New Roman" w:cs="Times New Roman"/>
          <w:b/>
          <w:sz w:val="24"/>
          <w:szCs w:val="24"/>
        </w:rPr>
        <w:t>.</w:t>
      </w:r>
      <w:r>
        <w:rPr>
          <w:rFonts w:ascii="Times New Roman" w:hAnsi="Times New Roman" w:cs="Times New Roman"/>
          <w:b/>
          <w:sz w:val="24"/>
          <w:szCs w:val="24"/>
        </w:rPr>
        <w:br w:type="page"/>
      </w:r>
    </w:p>
    <w:p w:rsidR="00AA5269" w:rsidRDefault="00AA5269" w:rsidP="00AA5269">
      <w:pPr>
        <w:spacing w:line="480" w:lineRule="auto"/>
        <w:rPr>
          <w:rFonts w:ascii="Times New Roman" w:hAnsi="Times New Roman" w:cs="Times New Roman"/>
          <w:sz w:val="28"/>
          <w:szCs w:val="28"/>
        </w:rPr>
      </w:pPr>
      <w:r>
        <w:rPr>
          <w:rFonts w:ascii="Times New Roman" w:hAnsi="Times New Roman" w:cs="Times New Roman"/>
          <w:sz w:val="28"/>
          <w:szCs w:val="28"/>
        </w:rPr>
        <w:lastRenderedPageBreak/>
        <w:t>4.2.2</w:t>
      </w:r>
      <w:r>
        <w:rPr>
          <w:rFonts w:ascii="Times New Roman" w:hAnsi="Times New Roman" w:cs="Times New Roman"/>
          <w:sz w:val="28"/>
          <w:szCs w:val="28"/>
        </w:rPr>
        <w:tab/>
      </w:r>
      <w:r>
        <w:rPr>
          <w:rFonts w:ascii="Times New Roman" w:hAnsi="Times New Roman" w:cs="Times New Roman"/>
          <w:sz w:val="28"/>
          <w:szCs w:val="28"/>
        </w:rPr>
        <w:tab/>
        <w:t>The distribution of aging peptidoglycan in a growing population</w:t>
      </w:r>
    </w:p>
    <w:p w:rsidR="00AA5269" w:rsidRDefault="00AA5269" w:rsidP="00AA5269">
      <w:pPr>
        <w:spacing w:line="48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We observed that as a consequence of division on orthogonal planes, </w:t>
      </w:r>
      <w:r>
        <w:rPr>
          <w:rFonts w:ascii="Times New Roman" w:hAnsi="Times New Roman" w:cs="Times New Roman"/>
          <w:i/>
          <w:sz w:val="24"/>
          <w:szCs w:val="24"/>
        </w:rPr>
        <w:t>S. aureus</w:t>
      </w:r>
      <w:r>
        <w:rPr>
          <w:rFonts w:ascii="Times New Roman" w:hAnsi="Times New Roman" w:cs="Times New Roman"/>
          <w:sz w:val="24"/>
          <w:szCs w:val="24"/>
        </w:rPr>
        <w:t xml:space="preserve"> cell walls are theoretically divided into sectors demarcated by rib structures. Each sector is inherited from a different cell generation. We investigated this phenomenon using a pulse-chase strategy in conjunction with vancomycin labelling. Cells were grown in the presence of 1.25 M </w:t>
      </w:r>
      <w:r>
        <w:rPr>
          <w:rFonts w:ascii="Times New Roman" w:hAnsi="Times New Roman" w:cs="Times New Roman"/>
          <w:sz w:val="16"/>
          <w:szCs w:val="16"/>
        </w:rPr>
        <w:t>D</w:t>
      </w:r>
      <w:r>
        <w:rPr>
          <w:rFonts w:ascii="Times New Roman" w:hAnsi="Times New Roman" w:cs="Times New Roman"/>
          <w:sz w:val="24"/>
          <w:szCs w:val="24"/>
        </w:rPr>
        <w:t xml:space="preserve">-serine (+Ser) to exponential phase. Cell wall material synthesised </w:t>
      </w:r>
      <w:r>
        <w:rPr>
          <w:rFonts w:ascii="Times New Roman" w:hAnsi="Times New Roman" w:cs="Times New Roman"/>
          <w:color w:val="000000" w:themeColor="text1"/>
          <w:sz w:val="24"/>
          <w:szCs w:val="24"/>
        </w:rPr>
        <w:t xml:space="preserve">during this time was not permissive to vancomycin labelling. Cells were harvested and washed by centrifugation, then transferred to media without </w:t>
      </w:r>
      <w:r>
        <w:rPr>
          <w:rFonts w:ascii="Times New Roman" w:hAnsi="Times New Roman" w:cs="Times New Roman"/>
          <w:color w:val="000000" w:themeColor="text1"/>
          <w:sz w:val="16"/>
          <w:szCs w:val="16"/>
        </w:rPr>
        <w:t>D</w:t>
      </w:r>
      <w:r>
        <w:rPr>
          <w:rFonts w:ascii="Times New Roman" w:hAnsi="Times New Roman" w:cs="Times New Roman"/>
          <w:color w:val="000000" w:themeColor="text1"/>
          <w:sz w:val="24"/>
          <w:szCs w:val="24"/>
        </w:rPr>
        <w:t xml:space="preserve">-serine (-Ser) for one generation time (approximately 25 min). Peptidoglycan synthesised during this period would be accessible to the vancomycin label. Cells were then returned to media containing 1.25M </w:t>
      </w:r>
      <w:r>
        <w:rPr>
          <w:rFonts w:ascii="Times New Roman" w:hAnsi="Times New Roman" w:cs="Times New Roman"/>
          <w:color w:val="000000" w:themeColor="text1"/>
          <w:sz w:val="16"/>
          <w:szCs w:val="16"/>
        </w:rPr>
        <w:t>D</w:t>
      </w:r>
      <w:r>
        <w:rPr>
          <w:rFonts w:ascii="Times New Roman" w:hAnsi="Times New Roman" w:cs="Times New Roman"/>
          <w:color w:val="000000" w:themeColor="text1"/>
          <w:sz w:val="24"/>
          <w:szCs w:val="24"/>
        </w:rPr>
        <w:t>-serine and 1 ml aliquots removed every 15 minutes for vancomycin labelling. Using this strategy, it was possible to follow the inheritance of the pulse of label-permissive peptidoglycan over subsequent generations.</w:t>
      </w:r>
    </w:p>
    <w:p w:rsidR="00AA5269" w:rsidRDefault="00AA5269" w:rsidP="00AA5269">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Immediately after the pulse of (-Ser) growth and switch to (+Ser) media, vancomycin labelled the nascent peptidoglycan at the cell septum as described previously in Figure 4.4A (Figure 4.7, 0 min, white arrows). Following 30-60 min +Ser growth, vancomycin increasingly labelled away from the septum, at sites along the mature cell wall (Figure 4.7, 30-60 min, white arrows). After 60 min of growth, the intensity of vancomycin labelling deteriorated (data not shown), suggesting the depletion of available </w:t>
      </w:r>
      <w:r>
        <w:rPr>
          <w:rFonts w:ascii="Times New Roman" w:hAnsi="Times New Roman" w:cs="Times New Roman"/>
          <w:color w:val="000000" w:themeColor="text1"/>
          <w:sz w:val="16"/>
          <w:szCs w:val="16"/>
        </w:rPr>
        <w:t>D</w:t>
      </w:r>
      <w:r>
        <w:rPr>
          <w:rFonts w:ascii="Times New Roman" w:hAnsi="Times New Roman" w:cs="Times New Roman"/>
          <w:color w:val="000000" w:themeColor="text1"/>
          <w:sz w:val="24"/>
          <w:szCs w:val="24"/>
        </w:rPr>
        <w:t xml:space="preserve">-ala – </w:t>
      </w:r>
      <w:r>
        <w:rPr>
          <w:rFonts w:ascii="Times New Roman" w:hAnsi="Times New Roman" w:cs="Times New Roman"/>
          <w:color w:val="000000" w:themeColor="text1"/>
          <w:sz w:val="16"/>
          <w:szCs w:val="16"/>
        </w:rPr>
        <w:t>D</w:t>
      </w:r>
      <w:r>
        <w:rPr>
          <w:rFonts w:ascii="Times New Roman" w:hAnsi="Times New Roman" w:cs="Times New Roman"/>
          <w:color w:val="000000" w:themeColor="text1"/>
          <w:sz w:val="24"/>
          <w:szCs w:val="24"/>
        </w:rPr>
        <w:t xml:space="preserve">-ala residues, probably due to turnover of the peptidoglycan and incorporation of new material containing </w:t>
      </w:r>
      <w:r>
        <w:rPr>
          <w:rFonts w:ascii="Times New Roman" w:hAnsi="Times New Roman" w:cs="Times New Roman"/>
          <w:color w:val="000000" w:themeColor="text1"/>
          <w:sz w:val="16"/>
          <w:szCs w:val="16"/>
        </w:rPr>
        <w:t>D</w:t>
      </w:r>
      <w:r>
        <w:rPr>
          <w:rFonts w:ascii="Times New Roman" w:hAnsi="Times New Roman" w:cs="Times New Roman"/>
          <w:color w:val="000000" w:themeColor="text1"/>
          <w:sz w:val="24"/>
          <w:szCs w:val="24"/>
        </w:rPr>
        <w:t xml:space="preserve">-ala – </w:t>
      </w:r>
      <w:r>
        <w:rPr>
          <w:rFonts w:ascii="Times New Roman" w:hAnsi="Times New Roman" w:cs="Times New Roman"/>
          <w:color w:val="000000" w:themeColor="text1"/>
          <w:sz w:val="16"/>
          <w:szCs w:val="16"/>
        </w:rPr>
        <w:t>D</w:t>
      </w:r>
      <w:r>
        <w:rPr>
          <w:rFonts w:ascii="Times New Roman" w:hAnsi="Times New Roman" w:cs="Times New Roman"/>
          <w:color w:val="000000" w:themeColor="text1"/>
          <w:sz w:val="24"/>
          <w:szCs w:val="24"/>
        </w:rPr>
        <w:t>-ser peptide stem termini.</w:t>
      </w:r>
    </w:p>
    <w:p w:rsidR="00AA5269" w:rsidRDefault="00AA5269" w:rsidP="00AA5269">
      <w:pPr>
        <w:spacing w:line="48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At the resolution of the microscope, it was not possible to directly visualise the configuration of peptidoglycan sectors labelled with fluorescent vancomycin. Figure 4.8</w:t>
      </w:r>
      <w:r>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presents a theoretical model showing the age distribution of peptidoglycan sectors. The cell </w:t>
      </w:r>
      <w:r>
        <w:rPr>
          <w:rFonts w:ascii="Times New Roman" w:hAnsi="Times New Roman" w:cs="Times New Roman"/>
          <w:color w:val="000000" w:themeColor="text1"/>
          <w:sz w:val="24"/>
          <w:szCs w:val="24"/>
        </w:rPr>
        <w:t>wall can be divided into segments comprising 1/2, 1/4 or 1/8 of the cell. The half-segment represents the nascent cell wall hemisphere and is 0 generations old (Figure 4.8, green). The quarter segment dates from 1 generation previous, and one of the one-eighth segments from 2 generations previous. The remaining sector comprising one-eighth of the cell must be at least 3 generations old, but could be any number of generations older.</w:t>
      </w:r>
    </w:p>
    <w:p w:rsidR="00AA5269" w:rsidRDefault="00AA5269" w:rsidP="00AA5269">
      <w:pPr>
        <w:spacing w:line="480" w:lineRule="auto"/>
        <w:rPr>
          <w:rFonts w:ascii="Times New Roman" w:hAnsi="Times New Roman" w:cs="Times New Roman"/>
          <w:sz w:val="28"/>
          <w:szCs w:val="28"/>
        </w:rPr>
      </w:pPr>
    </w:p>
    <w:p w:rsidR="00AA5269" w:rsidRDefault="00AA5269" w:rsidP="00AA5269">
      <w:pPr>
        <w:spacing w:line="480" w:lineRule="auto"/>
        <w:ind w:left="1418" w:hanging="1418"/>
        <w:rPr>
          <w:rFonts w:ascii="Times New Roman" w:hAnsi="Times New Roman" w:cs="Times New Roman"/>
          <w:sz w:val="28"/>
          <w:szCs w:val="28"/>
        </w:rPr>
      </w:pPr>
      <w:r>
        <w:rPr>
          <w:rFonts w:ascii="Times New Roman" w:hAnsi="Times New Roman" w:cs="Times New Roman"/>
          <w:sz w:val="28"/>
          <w:szCs w:val="28"/>
        </w:rPr>
        <w:t>4.2.3</w:t>
      </w:r>
      <w:r>
        <w:rPr>
          <w:rFonts w:ascii="Times New Roman" w:hAnsi="Times New Roman" w:cs="Times New Roman"/>
          <w:sz w:val="28"/>
          <w:szCs w:val="28"/>
        </w:rPr>
        <w:tab/>
      </w:r>
      <w:r>
        <w:rPr>
          <w:rFonts w:ascii="Times New Roman" w:hAnsi="Times New Roman" w:cs="Times New Roman"/>
          <w:sz w:val="28"/>
          <w:szCs w:val="28"/>
        </w:rPr>
        <w:tab/>
        <w:t xml:space="preserve">The use of fluorescent probes for investigating peptidoglycan chemistry </w:t>
      </w:r>
      <w:r>
        <w:rPr>
          <w:rFonts w:ascii="Times New Roman" w:hAnsi="Times New Roman" w:cs="Times New Roman"/>
          <w:i/>
          <w:sz w:val="28"/>
          <w:szCs w:val="28"/>
        </w:rPr>
        <w:t>in situ</w:t>
      </w:r>
    </w:p>
    <w:p w:rsidR="00AA5269" w:rsidRDefault="00AA5269" w:rsidP="00AA526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In light of the peptidoglycan architectural features described for </w:t>
      </w:r>
      <w:r>
        <w:rPr>
          <w:rFonts w:ascii="Times New Roman" w:hAnsi="Times New Roman" w:cs="Times New Roman"/>
          <w:i/>
          <w:sz w:val="24"/>
          <w:szCs w:val="24"/>
        </w:rPr>
        <w:t>S .aureus</w:t>
      </w:r>
      <w:r>
        <w:rPr>
          <w:rFonts w:ascii="Times New Roman" w:hAnsi="Times New Roman" w:cs="Times New Roman"/>
          <w:sz w:val="24"/>
          <w:szCs w:val="24"/>
        </w:rPr>
        <w:t xml:space="preserve">, it would be interesting to investigate whether such features are associated with a corresponding </w:t>
      </w:r>
      <w:r>
        <w:rPr>
          <w:rFonts w:ascii="Times New Roman" w:hAnsi="Times New Roman" w:cs="Times New Roman"/>
          <w:color w:val="000000" w:themeColor="text1"/>
          <w:sz w:val="24"/>
          <w:szCs w:val="24"/>
        </w:rPr>
        <w:t xml:space="preserve">organisation of the underlying peptidoglycan chemistry. However, whilst biochemical analysis of the peptidoglycan chemistry across a population of cells by muropeptide analysis or glycan chain length analysis is relatively straight-forward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{"citationID":"1h5vkbqht1","properties":{"formattedCitation":"(Atrih et al., 1999; Boneca et al., 2000; Hayhurst et al., 2008)","plainCitation":"(Atrih et al., 1999; Boneca et al., 2000; Hayhurst et al., 2008)"},"citationItems":[{"id":106,"uris":["http://zotero.org/users/944474/items/E6ABDSW8"],"uri":["http://zotero.org/users/944474/items/E6ABDSW8"],"itemData":{"id":106,"type":"article-journal","title":"Analysis of peptidoglycan structure from vegetative cells of Bacillus subtilis 168 and role of PBP 5 in peptidoglycan maturation","container-title":"Journal of Bacteriology","page":"3956-3966","volume":"181","issue":"13","abstract":"The composition and fine structure of the vegetative cell wall peptidoglycan from Bacillus subtilis were determined by analysis of its constituent muropeptides. The structures of 39 muropeptides, representing 97% of the total peptidoglycan, were elucidated. About 99% analyzed muropeptides in B. subtilis vegetative cell peptidoglycan have the free carboxylic group of diaminopimelic acid amidated. Anhydromuropeptides and products missing a glucosamine at the nonreducing terminus account for 0.4 and 1.5%, respectively, of the total muropeptides. These two types of muropeptides are suggested to end glycan strands. An unexpected feature of B. subtilis muropeptides was the occurrence of a glycine residue in position 5 of the peptide side chain on monomers or oligomers, which account for 2.7% of the total muropeptides. This amount is, however, dependent on the composition of the growth media. Potential attachment sites for anionic polymers to peptidoglycan occur on dominant muropeptides and account for 2.1% of the total. B. subtilis peptidoglycan is incompletely digested by lysozyme due to de-N-acetylation of glucosamine, which occurs on 17.3% of muropeptides. The cross-linking index of the polymer changes with the growth phase. It is highest in late stationary phase, with a value of 33.2 or 44% per muramic acid residue, as determined by reverse-phase high-pressure liquid chromatography or gel filtration, respectively. Analysis of the muropeptide composition of a dacA (PBP 5) mutant shows a dramatic decrease of muropeptides with tripeptide side chains and an increase or appearance of muropeptides with pentapeptide side chains in monomers or oligomers. The total muropeptides with pentapeptide side chains accounts for almost 82% in the dacA mutant. This major low-molecular-weight PBP (DD-carboxypeptidase) is suggested to play a role in peptidoglycan maturation.","note":"PMID: 10383963","journalAbbreviation":"J. Bacteriol.","author":[{"family":"Atrih","given":"A"},{"family":"Bacher","given":"G"},{"family":"Allmaier","given":"G"},{"family":"Williamson","given":"M P"},{"family":"Foster","given":"S J"}],"issued":{"year":1999,"month":7},"accessed":{"year":2012,"month":4,"day":2},"page-first":"3956"}},{"id":7,"uris":["http://zotero.org/users/944474/items/AQ75H8SX"],"uri":["http://zotero.org/users/944474/items/AQ75H8SX"],"itemData":{"id":7,"type":"article-journal","title":"Characterization of Staphylococcus aureus cell wall glycan strands, evidence for a new beta-N-acetylglucosaminidase activity","container-title":"The Journal of Biological Chemistry","page":"9910-9918","volume":"275","issue":"14","abstract":"Using sequential digestion with the glycyl-glycine endopeptidase lysostaphin followed by the pneumococcal N-acetylmuramyl-L-alanine amidase (amidase), the glycan strands of the peptidoglycan of Staphylococcus aureus were purified and analyzed by a combination of reverse-phase-high pressure liquid chromatography (HPLC) and mass spectrometry. Reverse-phase-HPLC resolved the glycan strands to a family of major peaks, which represented oligosaccharides composed of repeating disaccharide units (N-acetylglucosamine-[beta-1, 4]-N-acetylmuramic acid) with different degrees of polymerization and terminating with N-acetylmuramic acid residues at the reducing ends. The method allowed separation of strands up to 23-26 disaccharide units with a predominant length between 3 and 10 and an average degree of polymerization of approximately 6. Glycan strands with a higher degree of polymerization (&gt;26 disaccharide units) represented 10-15% of the total UV absorbing glycan material. A unique feature of the staphylococcal glycan strands was the presence of minor satellite peaks that were present throughout the HPLC elution profile eluting either just prior or shortly after the major oligosaccharide peaks. A number of observations including mass spectrometric analysis suggest that the satellites are the products of an N-acetylglucosaminidase activity that differs from the atl gene product and that appears to be involved with modification of the glycan strand structure.","note":"PMID: 10744664","journalAbbreviation":"J. Biol. Chem.","author":[{"family":"Boneca","given":"I G"},{"family":"Huang","given":"Z H"},{"family":"Gage","given":"D A"},{"family":"Tomasz","given":"A"}],"issued":{"year":2000,"month":4,"day":7},"accessed":{"year":2012,"month":3,"day":6},"page-first":"9910"}},{"id":77,"uris":["http://zotero.org/users/944474/items/Z6IUFDEB"],"uri":["http://zotero.org/users/944474/items/Z6IUFDEB"],"itemData":{"id":77,"type":"article-journal","title":"Cell wall peptidoglycan architecture in Bacillus subtilis","container-title":"Proceedings of the National Academy of Sciences of the United States of America","page":"14603-14608","volume":"105","issue":"38","abstract":"The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polymer.","DOI":"10.1073/pnas.0804138105","note":"PMID: 18784364","journalAbbreviation":"Proc. Natl. Acad. Sci. U.S.A.","author":[{"family":"Hayhurst","given":"Emma J"},{"family":"Kailas","given":"Lekshmi"},{"family":"Hobbs","given":"Jamie K"},{"family":"Foster","given":"Simon J"}],"issued":{"year":2008,"month":9,"day":23},"accessed":{"year":2012,"month":3,"day":7},"page-first":"14603"}}],"schema":"https://github.com/citation-style-language/schema/raw/master/csl-citation.json"}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(Atrih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xml:space="preserve">., 1999; Boneca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xml:space="preserve">., 2000; Hayhurst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2008)</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there are many barriers to investigating the peptidoglycan chemistry </w:t>
      </w:r>
      <w:r>
        <w:rPr>
          <w:rFonts w:ascii="Times New Roman" w:hAnsi="Times New Roman" w:cs="Times New Roman"/>
          <w:i/>
          <w:color w:val="000000" w:themeColor="text1"/>
          <w:sz w:val="24"/>
          <w:szCs w:val="24"/>
        </w:rPr>
        <w:t>in situ</w:t>
      </w:r>
      <w:r>
        <w:rPr>
          <w:rFonts w:ascii="Times New Roman" w:hAnsi="Times New Roman" w:cs="Times New Roman"/>
          <w:color w:val="000000" w:themeColor="text1"/>
          <w:sz w:val="24"/>
          <w:szCs w:val="24"/>
        </w:rPr>
        <w:t xml:space="preserve"> in single cells. These include the resolution of microscopy and the availability of suitable probes for investigating peptidoglycan chemistry. The remainder of this chapter will deal with the development of fluorescent probes for investigating peptidoglycan biochemistry </w:t>
      </w:r>
      <w:r>
        <w:rPr>
          <w:rFonts w:ascii="Times New Roman" w:hAnsi="Times New Roman" w:cs="Times New Roman"/>
          <w:i/>
          <w:color w:val="000000" w:themeColor="text1"/>
          <w:sz w:val="24"/>
          <w:szCs w:val="24"/>
        </w:rPr>
        <w:t>in situ</w:t>
      </w:r>
      <w:r>
        <w:rPr>
          <w:rFonts w:ascii="Times New Roman" w:hAnsi="Times New Roman" w:cs="Times New Roman"/>
          <w:color w:val="000000" w:themeColor="text1"/>
          <w:sz w:val="24"/>
          <w:szCs w:val="24"/>
        </w:rPr>
        <w:t>.</w:t>
      </w:r>
      <w:r>
        <w:rPr>
          <w:rFonts w:ascii="Times New Roman" w:hAnsi="Times New Roman" w:cs="Times New Roman"/>
          <w:sz w:val="24"/>
          <w:szCs w:val="24"/>
        </w:rPr>
        <w:t xml:space="preserve"> </w:t>
      </w:r>
    </w:p>
    <w:p w:rsidR="00AA5269" w:rsidRDefault="00AA5269" w:rsidP="00AA5269">
      <w:pPr>
        <w:spacing w:line="480" w:lineRule="auto"/>
        <w:jc w:val="both"/>
        <w:rPr>
          <w:rFonts w:ascii="Times New Roman" w:hAnsi="Times New Roman" w:cs="Times New Roman"/>
          <w:b/>
          <w:sz w:val="24"/>
          <w:szCs w:val="24"/>
        </w:rPr>
      </w:pPr>
      <w:r>
        <w:rPr>
          <w:rFonts w:ascii="Times New Roman" w:hAnsi="Times New Roman" w:cs="Times New Roman"/>
          <w:b/>
          <w:noProof/>
          <w:sz w:val="24"/>
          <w:szCs w:val="24"/>
          <w:lang w:eastAsia="en-GB"/>
        </w:rPr>
        <w:lastRenderedPageBreak/>
        <w:drawing>
          <wp:inline distT="0" distB="0" distL="0" distR="0">
            <wp:extent cx="5272405" cy="7172960"/>
            <wp:effectExtent l="19050" t="0" r="4445" b="0"/>
            <wp:docPr id="69" name="Picture 25" descr="Figure 4.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igure 4.9.tif"/>
                    <pic:cNvPicPr>
                      <a:picLocks noChangeAspect="1" noChangeArrowheads="1"/>
                    </pic:cNvPicPr>
                  </pic:nvPicPr>
                  <pic:blipFill>
                    <a:blip r:embed="rId68" cstate="print"/>
                    <a:srcRect l="1756" t="768"/>
                    <a:stretch>
                      <a:fillRect/>
                    </a:stretch>
                  </pic:blipFill>
                  <pic:spPr bwMode="auto">
                    <a:xfrm>
                      <a:off x="0" y="0"/>
                      <a:ext cx="5272405" cy="7172960"/>
                    </a:xfrm>
                    <a:prstGeom prst="rect">
                      <a:avLst/>
                    </a:prstGeom>
                    <a:noFill/>
                    <a:ln w="9525">
                      <a:noFill/>
                      <a:miter lim="800000"/>
                      <a:headEnd/>
                      <a:tailEnd/>
                    </a:ln>
                  </pic:spPr>
                </pic:pic>
              </a:graphicData>
            </a:graphic>
          </wp:inline>
        </w:drawing>
      </w:r>
    </w:p>
    <w:p w:rsidR="00AA5269" w:rsidRDefault="00AA5269" w:rsidP="00AA5269">
      <w:pPr>
        <w:spacing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t>Figure 4.7.</w:t>
      </w:r>
      <w:proofErr w:type="gramEnd"/>
      <w:r>
        <w:rPr>
          <w:rFonts w:ascii="Times New Roman" w:hAnsi="Times New Roman" w:cs="Times New Roman"/>
          <w:b/>
          <w:sz w:val="24"/>
          <w:szCs w:val="24"/>
        </w:rPr>
        <w:t xml:space="preserve"> </w:t>
      </w:r>
      <w:proofErr w:type="gramStart"/>
      <w:r>
        <w:rPr>
          <w:rFonts w:ascii="Times New Roman" w:hAnsi="Times New Roman" w:cs="Times New Roman"/>
          <w:b/>
          <w:sz w:val="24"/>
          <w:szCs w:val="24"/>
        </w:rPr>
        <w:t xml:space="preserve">Inheritance of peptidoglycan in </w:t>
      </w:r>
      <w:r>
        <w:rPr>
          <w:rFonts w:ascii="Times New Roman" w:hAnsi="Times New Roman" w:cs="Times New Roman"/>
          <w:b/>
          <w:i/>
          <w:sz w:val="24"/>
          <w:szCs w:val="24"/>
        </w:rPr>
        <w:t xml:space="preserve">S. aureus </w:t>
      </w:r>
      <w:r>
        <w:rPr>
          <w:rFonts w:ascii="Times New Roman" w:hAnsi="Times New Roman" w:cs="Times New Roman"/>
          <w:b/>
          <w:sz w:val="24"/>
          <w:szCs w:val="24"/>
        </w:rPr>
        <w:t>revealed by vancomycin labelling.</w:t>
      </w:r>
      <w:proofErr w:type="gramEnd"/>
      <w:r>
        <w:rPr>
          <w:rFonts w:ascii="Times New Roman" w:hAnsi="Times New Roman" w:cs="Times New Roman"/>
          <w:b/>
          <w:sz w:val="24"/>
          <w:szCs w:val="24"/>
        </w:rPr>
        <w:t xml:space="preserve"> </w:t>
      </w:r>
      <w:r>
        <w:rPr>
          <w:rFonts w:ascii="Times New Roman" w:hAnsi="Times New Roman" w:cs="Times New Roman"/>
          <w:sz w:val="24"/>
          <w:szCs w:val="24"/>
        </w:rPr>
        <w:t>Initially the vancomycin label is present mainly at the septum (0-15 min, white arrows). However as the cell undergoes further rounds of division, the vancomycin label is increasingly present away from the septum at sites across the mature cell hemisphere (30-60 min, white arrows).</w:t>
      </w:r>
      <w:r>
        <w:rPr>
          <w:rFonts w:ascii="Times New Roman" w:hAnsi="Times New Roman" w:cs="Times New Roman"/>
          <w:b/>
          <w:sz w:val="24"/>
          <w:szCs w:val="24"/>
        </w:rPr>
        <w:br w:type="page"/>
      </w:r>
    </w:p>
    <w:p w:rsidR="00AA5269" w:rsidRDefault="00AA5269" w:rsidP="00AA5269">
      <w:pPr>
        <w:rPr>
          <w:rFonts w:ascii="Times New Roman" w:hAnsi="Times New Roman" w:cs="Times New Roman"/>
          <w:b/>
          <w:sz w:val="24"/>
          <w:szCs w:val="24"/>
        </w:rPr>
      </w:pPr>
      <w:r>
        <w:rPr>
          <w:rFonts w:ascii="Times New Roman" w:hAnsi="Times New Roman" w:cs="Times New Roman"/>
          <w:b/>
          <w:noProof/>
          <w:sz w:val="24"/>
          <w:szCs w:val="24"/>
          <w:lang w:eastAsia="en-GB"/>
        </w:rPr>
        <w:lastRenderedPageBreak/>
        <w:drawing>
          <wp:inline distT="0" distB="0" distL="0" distR="0">
            <wp:extent cx="5272405" cy="1995170"/>
            <wp:effectExtent l="0" t="0" r="0" b="0"/>
            <wp:docPr id="68" name="Picture 22" descr="Sectors 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ectors model.png"/>
                    <pic:cNvPicPr>
                      <a:picLocks noChangeAspect="1" noChangeArrowheads="1"/>
                    </pic:cNvPicPr>
                  </pic:nvPicPr>
                  <pic:blipFill>
                    <a:blip r:embed="rId69" cstate="print"/>
                    <a:srcRect/>
                    <a:stretch>
                      <a:fillRect/>
                    </a:stretch>
                  </pic:blipFill>
                  <pic:spPr bwMode="auto">
                    <a:xfrm>
                      <a:off x="0" y="0"/>
                      <a:ext cx="5272405" cy="1995170"/>
                    </a:xfrm>
                    <a:prstGeom prst="rect">
                      <a:avLst/>
                    </a:prstGeom>
                    <a:noFill/>
                    <a:ln w="9525">
                      <a:noFill/>
                      <a:miter lim="800000"/>
                      <a:headEnd/>
                      <a:tailEnd/>
                    </a:ln>
                  </pic:spPr>
                </pic:pic>
              </a:graphicData>
            </a:graphic>
          </wp:inline>
        </w:drawing>
      </w:r>
    </w:p>
    <w:p w:rsidR="00AA5269" w:rsidRDefault="00AA5269" w:rsidP="00AA5269">
      <w:pPr>
        <w:spacing w:line="360" w:lineRule="auto"/>
        <w:jc w:val="both"/>
        <w:rPr>
          <w:rFonts w:ascii="Times New Roman" w:hAnsi="Times New Roman" w:cs="Times New Roman"/>
          <w:sz w:val="24"/>
          <w:szCs w:val="24"/>
        </w:rPr>
      </w:pPr>
      <w:proofErr w:type="gramStart"/>
      <w:r>
        <w:rPr>
          <w:rFonts w:ascii="Times New Roman" w:hAnsi="Times New Roman" w:cs="Times New Roman"/>
          <w:b/>
          <w:sz w:val="24"/>
          <w:szCs w:val="24"/>
        </w:rPr>
        <w:t>Figure 4.8.</w:t>
      </w:r>
      <w:proofErr w:type="gramEnd"/>
      <w:r>
        <w:rPr>
          <w:rFonts w:ascii="Times New Roman" w:hAnsi="Times New Roman" w:cs="Times New Roman"/>
          <w:b/>
          <w:sz w:val="24"/>
          <w:szCs w:val="24"/>
        </w:rPr>
        <w:t xml:space="preserve"> Schematic showing aging of peptidoglycan by inheritance of cell wall sectors over multiple generations in </w:t>
      </w:r>
      <w:r>
        <w:rPr>
          <w:rFonts w:ascii="Times New Roman" w:hAnsi="Times New Roman" w:cs="Times New Roman"/>
          <w:b/>
          <w:i/>
          <w:sz w:val="24"/>
          <w:szCs w:val="24"/>
        </w:rPr>
        <w:t>S. aureus</w:t>
      </w:r>
      <w:r>
        <w:rPr>
          <w:rFonts w:ascii="Times New Roman" w:hAnsi="Times New Roman" w:cs="Times New Roman"/>
          <w:b/>
          <w:sz w:val="24"/>
          <w:szCs w:val="24"/>
        </w:rPr>
        <w:t xml:space="preserve">. </w:t>
      </w:r>
      <w:r>
        <w:rPr>
          <w:rFonts w:ascii="Times New Roman" w:hAnsi="Times New Roman" w:cs="Times New Roman"/>
          <w:sz w:val="24"/>
          <w:szCs w:val="24"/>
        </w:rPr>
        <w:t xml:space="preserve">Two hemispheres of a single cell are shown. </w:t>
      </w:r>
      <w:proofErr w:type="gramStart"/>
      <w:r>
        <w:rPr>
          <w:rFonts w:ascii="Times New Roman" w:hAnsi="Times New Roman" w:cs="Times New Roman"/>
          <w:sz w:val="24"/>
          <w:szCs w:val="24"/>
        </w:rPr>
        <w:t>Left, the nascent cell hemisphere; right, the mature cell hemisphere.</w:t>
      </w:r>
      <w:proofErr w:type="gramEnd"/>
      <w:r>
        <w:rPr>
          <w:rFonts w:ascii="Times New Roman" w:hAnsi="Times New Roman" w:cs="Times New Roman"/>
          <w:sz w:val="24"/>
          <w:szCs w:val="24"/>
        </w:rPr>
        <w:t xml:space="preserve"> Age is shown as number of generations. One eighth of the cell is at least three generations old (yellow). Black lines indicate the peptidoglycan ribs which demarcate each sector.</w:t>
      </w:r>
    </w:p>
    <w:p w:rsidR="00AA5269" w:rsidRDefault="00AA5269" w:rsidP="00AA5269">
      <w:pPr>
        <w:rPr>
          <w:rFonts w:ascii="Times New Roman" w:hAnsi="Times New Roman" w:cs="Times New Roman"/>
          <w:sz w:val="24"/>
          <w:szCs w:val="24"/>
        </w:rPr>
      </w:pPr>
      <w:r>
        <w:rPr>
          <w:rFonts w:ascii="Times New Roman" w:hAnsi="Times New Roman" w:cs="Times New Roman"/>
          <w:sz w:val="24"/>
          <w:szCs w:val="24"/>
        </w:rPr>
        <w:br w:type="page"/>
      </w:r>
    </w:p>
    <w:p w:rsidR="00AA5269" w:rsidRDefault="00AA5269" w:rsidP="00AA5269">
      <w:pPr>
        <w:spacing w:line="480" w:lineRule="auto"/>
        <w:ind w:left="1418" w:hanging="1418"/>
        <w:rPr>
          <w:rFonts w:ascii="Times New Roman" w:hAnsi="Times New Roman" w:cs="Times New Roman"/>
          <w:sz w:val="28"/>
          <w:szCs w:val="28"/>
        </w:rPr>
      </w:pPr>
      <w:r>
        <w:rPr>
          <w:rFonts w:ascii="Times New Roman" w:hAnsi="Times New Roman" w:cs="Times New Roman"/>
          <w:sz w:val="28"/>
          <w:szCs w:val="28"/>
        </w:rPr>
        <w:lastRenderedPageBreak/>
        <w:t>4.2.3.1</w:t>
      </w:r>
      <w:r>
        <w:rPr>
          <w:rFonts w:ascii="Times New Roman" w:hAnsi="Times New Roman" w:cs="Times New Roman"/>
          <w:sz w:val="28"/>
          <w:szCs w:val="28"/>
        </w:rPr>
        <w:tab/>
        <w:t>Selection of specific targets in the peptidoglycan chemistry</w:t>
      </w:r>
    </w:p>
    <w:p w:rsidR="00AA5269" w:rsidRDefault="00AA5269" w:rsidP="00AA5269">
      <w:pPr>
        <w:spacing w:line="48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Previous work in our laboratory used differential labelling with fluorescent WGA and GSII conjugates to investigate the distribution of glycan chain lengths in </w:t>
      </w:r>
      <w:r>
        <w:rPr>
          <w:rFonts w:ascii="Times New Roman" w:hAnsi="Times New Roman" w:cs="Times New Roman"/>
          <w:i/>
          <w:sz w:val="24"/>
          <w:szCs w:val="24"/>
        </w:rPr>
        <w:t xml:space="preserve">S. aureus, </w:t>
      </w:r>
      <w:r>
        <w:rPr>
          <w:rFonts w:ascii="Times New Roman" w:hAnsi="Times New Roman" w:cs="Times New Roman"/>
          <w:i/>
          <w:color w:val="000000" w:themeColor="text1"/>
          <w:sz w:val="24"/>
          <w:szCs w:val="24"/>
        </w:rPr>
        <w:t xml:space="preserve">B. subtilis </w:t>
      </w:r>
      <w:r>
        <w:rPr>
          <w:rFonts w:ascii="Times New Roman" w:hAnsi="Times New Roman" w:cs="Times New Roman"/>
          <w:color w:val="000000" w:themeColor="text1"/>
          <w:sz w:val="24"/>
          <w:szCs w:val="24"/>
        </w:rPr>
        <w:t xml:space="preserve">and in ovococci (Chapter 3;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{"citationID":"pnvak5o0j","properties":{"formattedCitation":"(Hayhurst et al., 2008)","plainCitation":"(Hayhurst et al., 2008)"},"citationItems":[{"id":77,"uris":["http://zotero.org/users/944474/items/Z6IUFDEB"],"uri":["http://zotero.org/users/944474/items/Z6IUFDEB"],"itemData":{"id":77,"type":"article-journal","title":"Cell wall peptidoglycan architecture in Bacillus subtilis","container-title":"Proceedings of the National Academy of Sciences of the United States of America","page":"14603-14608","volume":"105","issue":"38","abstract":"The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polymer.","DOI":"10.1073/pnas.0804138105","note":"PMID: 18784364","journalAbbreviation":"Proc. Natl. Acad. Sci. U.S.A.","author":[{"family":"Hayhurst","given":"Emma J"},{"family":"Kailas","given":"Lekshmi"},{"family":"Hobbs","given":"Jamie K"},{"family":"Foster","given":"Simon J"}],"issued":{"year":2008,"month":9,"day":23},"accessed":{"year":2012,"month":3,"day":7},"page-first":"14603"}}],"schema":"https://github.com/citation-style-language/schema/raw/master/csl-citation.json"}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Hayhurst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2008)</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WGA lectin binds specifically to Glc</w:t>
      </w:r>
      <w:r>
        <w:rPr>
          <w:rFonts w:ascii="Times New Roman" w:hAnsi="Times New Roman" w:cs="Times New Roman"/>
          <w:i/>
          <w:color w:val="000000" w:themeColor="text1"/>
          <w:sz w:val="24"/>
          <w:szCs w:val="24"/>
        </w:rPr>
        <w:t>N</w:t>
      </w:r>
      <w:r>
        <w:rPr>
          <w:rFonts w:ascii="Times New Roman" w:hAnsi="Times New Roman" w:cs="Times New Roman"/>
          <w:color w:val="000000" w:themeColor="text1"/>
          <w:sz w:val="24"/>
          <w:szCs w:val="24"/>
        </w:rPr>
        <w:t xml:space="preserve">Ac and related β1-4 linked carbohydrates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{"citationID":"1sp9l0vh18","properties":{"formattedCitation":"(Miller and Bowles, 1982)","plainCitation":"(Miller and Bowles, 1982)"},"citationItems":[{"id":122,"uris":["http://zotero.org/users/944474/items/VJMTBVU3"],"uri":["http://zotero.org/users/944474/items/VJMTBVU3"],"itemData":{"id":122,"type":"article-journal","title":"A comparative study of the localization of wheat-germ agglutinin and its potential receptors in wheat grains.","container-title":"Biochemical Journal","page":"571-576","volume":"206","issue":"3","abstract":"Wheat-germ agglutinin is located only in the embryo of a dry wheat seed and not in the endosperm tissue. This distribution remains unaltered for up to 96 h of germination and growth. The lectin is found not only in a freely soluble form but also in reversible association with particulate subcellular components. There appear to be no poly-peptides that can be solubilized with sonication and aqueous buffers from the embryo tissue that can interact with the agglutinin. This suggests that in vivo the lectin remains uncomplexed to endogenous glycoconjugates or is only able to bind to glycosylated integral membrane polypeptides. Alternatively the potential endogenous receptor(s) to wheat-germ agglutinin may not contain a polypeptide. Although the lectin is not present in the endosperm, seven polypeptides able to interact in a reversible way with wheat-germ agglutinin could be purified from that tissue.","note":"PMID: 6897353\nPMCID: 1158625","journalAbbreviation":"Biochem J","author":[{"family":"Miller","given":"R C"},{"family":"Bowles","given":"D J"}],"issued":{"year":1982,"month":9,"day":15},"page-first":"571"}}],"schema":"https://github.com/citation-style-language/schema/raw/master/csl-citation.json"}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(Miller and Bowles, 1982)</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Glc</w:t>
      </w:r>
      <w:r>
        <w:rPr>
          <w:rFonts w:ascii="Times New Roman" w:hAnsi="Times New Roman" w:cs="Times New Roman"/>
          <w:i/>
          <w:color w:val="000000" w:themeColor="text1"/>
          <w:sz w:val="24"/>
          <w:szCs w:val="24"/>
        </w:rPr>
        <w:t>N</w:t>
      </w:r>
      <w:r>
        <w:rPr>
          <w:rFonts w:ascii="Times New Roman" w:hAnsi="Times New Roman" w:cs="Times New Roman"/>
          <w:color w:val="000000" w:themeColor="text1"/>
          <w:sz w:val="24"/>
          <w:szCs w:val="24"/>
        </w:rPr>
        <w:t>Ac residues are present throughout the glycan strands of peptidoglycan as part of the repeating Glc</w:t>
      </w:r>
      <w:r>
        <w:rPr>
          <w:rFonts w:ascii="Times New Roman" w:hAnsi="Times New Roman" w:cs="Times New Roman"/>
          <w:i/>
          <w:color w:val="000000" w:themeColor="text1"/>
          <w:sz w:val="24"/>
          <w:szCs w:val="24"/>
        </w:rPr>
        <w:t>N</w:t>
      </w:r>
      <w:r>
        <w:rPr>
          <w:rFonts w:ascii="Times New Roman" w:hAnsi="Times New Roman" w:cs="Times New Roman"/>
          <w:color w:val="000000" w:themeColor="text1"/>
          <w:sz w:val="24"/>
          <w:szCs w:val="24"/>
        </w:rPr>
        <w:t>Ac – Mur</w:t>
      </w:r>
      <w:r>
        <w:rPr>
          <w:rFonts w:ascii="Times New Roman" w:hAnsi="Times New Roman" w:cs="Times New Roman"/>
          <w:i/>
          <w:color w:val="000000" w:themeColor="text1"/>
          <w:sz w:val="24"/>
          <w:szCs w:val="24"/>
        </w:rPr>
        <w:t>N</w:t>
      </w:r>
      <w:r>
        <w:rPr>
          <w:rFonts w:ascii="Times New Roman" w:hAnsi="Times New Roman" w:cs="Times New Roman"/>
          <w:color w:val="000000" w:themeColor="text1"/>
          <w:sz w:val="24"/>
          <w:szCs w:val="24"/>
        </w:rPr>
        <w:t xml:space="preserve">Ac disaccharide motif. We noted that </w:t>
      </w:r>
      <w:r>
        <w:rPr>
          <w:rFonts w:ascii="Times New Roman" w:hAnsi="Times New Roman" w:cs="Times New Roman"/>
          <w:i/>
          <w:color w:val="000000" w:themeColor="text1"/>
          <w:sz w:val="24"/>
          <w:szCs w:val="24"/>
        </w:rPr>
        <w:t xml:space="preserve">S. aureus </w:t>
      </w:r>
      <w:r>
        <w:rPr>
          <w:rFonts w:ascii="Times New Roman" w:hAnsi="Times New Roman" w:cs="Times New Roman"/>
          <w:color w:val="000000" w:themeColor="text1"/>
          <w:sz w:val="24"/>
          <w:szCs w:val="24"/>
        </w:rPr>
        <w:t>cells had a rather striking and peculiar labelling pattern when labelled with fluorescent WGA. As Glc</w:t>
      </w:r>
      <w:r>
        <w:rPr>
          <w:rFonts w:ascii="Times New Roman" w:hAnsi="Times New Roman" w:cs="Times New Roman"/>
          <w:i/>
          <w:color w:val="000000" w:themeColor="text1"/>
          <w:sz w:val="24"/>
          <w:szCs w:val="24"/>
        </w:rPr>
        <w:t>N</w:t>
      </w:r>
      <w:r>
        <w:rPr>
          <w:rFonts w:ascii="Times New Roman" w:hAnsi="Times New Roman" w:cs="Times New Roman"/>
          <w:color w:val="000000" w:themeColor="text1"/>
          <w:sz w:val="24"/>
          <w:szCs w:val="24"/>
        </w:rPr>
        <w:t xml:space="preserve">Ac is present throughout the sacculus, WGA would be expected to label cell walls in their entirety. In practice however, WGA bound predominantly at the mature cell hemisphere, and showed poor labelling at nascent cell hemispheres and septa, giving the cells a characteristic “C” shaped fluorescence pattern (Figure 4.9). This pattern of WGA labelling has also been observed in other studies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{"citationID":"15j84d5foh","properties":{"formattedCitation":"(Pinho and Errington, 2003)","plainCitation":"(Pinho and Errington, 2003)"},"citationItems":[{"id":42,"uris":["http://zotero.org/users/944474/items/7VW7ZGTG"],"uri":["http://zotero.org/users/944474/items/7VW7ZGTG"],"itemData":{"id":42,"type":"article-journal","title":"Dispersed mode of Staphylococcus aureus cell wall synthesis in the absence of the division machinery","container-title":"Molecular Microbiology","page":"871-881","volume":"50","issue":"3","abstract":"We have developed several new fluorescent staining procedures that enabled us to study the synthesis of cell wall material in the spherical Gram-positive bacterium Staphylococcus aureus. The results obtained support previous proposals that these cells synthesize new wall material specifically at cell division sites, in the form of a flat circular plate that is subsequently cleaved and remodelled to produce the new hemispherical poles of the daughter cells. We have shown that formation of the septal peptidoglycan is dependent on the key cell division protein FtsZ, which recruits penicillin-binding protein (PBP) 2. Unexpectedly, in FtsZ-depleted cells, the cell wall synthetic machinery becomes dispersed and new wall material is made in dispersed patches over the entire surface of the cells, which increase in volume by up to eightfold before lysing. The results have implications for understanding the nature of S. aureus morphogenesis and for inhibitors of cell division proteins as drug targets.","note":"PMID: 14617148","journalAbbreviation":"Mol. Microbiol.","author":[{"family":"Pinho","given":"Mariana G"},{"family":"Errington","given":"Jeff"}],"issued":{"year":2003,"month":11},"accessed":{"year":2012,"month":3,"day":6},"page-first":"871"}}],"schema":"https://github.com/citation-style-language/schema/raw/master/csl-citation.json"}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(Pinho and Errington, 2003)</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By comparison, vancomycin, which binds </w:t>
      </w:r>
      <w:r>
        <w:rPr>
          <w:rFonts w:ascii="Times New Roman" w:hAnsi="Times New Roman" w:cs="Times New Roman"/>
          <w:color w:val="000000" w:themeColor="text1"/>
          <w:sz w:val="16"/>
          <w:szCs w:val="16"/>
        </w:rPr>
        <w:t>D</w:t>
      </w:r>
      <w:r>
        <w:rPr>
          <w:rFonts w:ascii="Times New Roman" w:hAnsi="Times New Roman" w:cs="Times New Roman"/>
          <w:color w:val="000000" w:themeColor="text1"/>
          <w:sz w:val="24"/>
          <w:szCs w:val="24"/>
        </w:rPr>
        <w:t>-ala-</w:t>
      </w:r>
      <w:r>
        <w:rPr>
          <w:rFonts w:ascii="Times New Roman" w:hAnsi="Times New Roman" w:cs="Times New Roman"/>
          <w:color w:val="000000" w:themeColor="text1"/>
          <w:sz w:val="16"/>
          <w:szCs w:val="16"/>
        </w:rPr>
        <w:t>D</w:t>
      </w:r>
      <w:r>
        <w:rPr>
          <w:rFonts w:ascii="Times New Roman" w:hAnsi="Times New Roman" w:cs="Times New Roman"/>
          <w:color w:val="000000" w:themeColor="text1"/>
          <w:sz w:val="24"/>
          <w:szCs w:val="24"/>
        </w:rPr>
        <w:t xml:space="preserve">-ala residues present throughout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xml:space="preserve"> cell walls, binds at nascent cell walls and septa, as well as the mature cell wall (Figure 4.9).</w:t>
      </w:r>
    </w:p>
    <w:p w:rsidR="00AA5269" w:rsidRDefault="00AA5269" w:rsidP="00AA5269">
      <w:pPr>
        <w:spacing w:line="48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WGA is a large molecule, forming a dimer of 36 kDa whereas vancomycin has a molecular weight of less than 1.5 kDa. We hypothesised that differential binding by WGA and vancomycin could be due to higher density of peptidoglycan in the nascent cell compared with the mature cell wall hemisphere. The density of peptidoglycan in the nascent cell wall may be sufficient to exclude access </w:t>
      </w:r>
      <w:r>
        <w:rPr>
          <w:rFonts w:ascii="Times New Roman" w:hAnsi="Times New Roman" w:cs="Times New Roman"/>
          <w:sz w:val="24"/>
          <w:szCs w:val="24"/>
        </w:rPr>
        <w:t xml:space="preserve">by large molecules such as WGA, but permissive to binding by smaller molecules such as vancomycin. We therefore explored the possibility of using small fluorescent probes to investigate the peptidoglycan chemistry </w:t>
      </w:r>
      <w:r>
        <w:rPr>
          <w:rFonts w:ascii="Times New Roman" w:hAnsi="Times New Roman" w:cs="Times New Roman"/>
          <w:i/>
          <w:sz w:val="24"/>
          <w:szCs w:val="24"/>
        </w:rPr>
        <w:t>in situ</w:t>
      </w:r>
      <w:r>
        <w:rPr>
          <w:rFonts w:ascii="Times New Roman" w:hAnsi="Times New Roman" w:cs="Times New Roman"/>
          <w:sz w:val="24"/>
          <w:szCs w:val="24"/>
        </w:rPr>
        <w:t>.</w:t>
      </w:r>
    </w:p>
    <w:p w:rsidR="00AA5269" w:rsidRDefault="00AA5269" w:rsidP="00AA5269">
      <w:pPr>
        <w:rPr>
          <w:rFonts w:ascii="Times New Roman" w:hAnsi="Times New Roman" w:cs="Times New Roman"/>
          <w:b/>
          <w:sz w:val="24"/>
          <w:szCs w:val="24"/>
        </w:rPr>
      </w:pPr>
      <w:r>
        <w:lastRenderedPageBreak/>
        <w:pict>
          <v:shape id="_x0000_s1055" type="#_x0000_t202" style="position:absolute;margin-left:-2.65pt;margin-top:5pt;width:45.95pt;height:41pt;z-index:251692032;mso-width-relative:margin;mso-height-relative:margin" filled="f" stroked="f">
            <v:textbox>
              <w:txbxContent>
                <w:p w:rsidR="00AA5269" w:rsidRDefault="00AA5269" w:rsidP="00AA5269">
                  <w:pPr>
                    <w:rPr>
                      <w:rFonts w:ascii="Times New Roman" w:hAnsi="Times New Roman" w:cs="Times New Roman"/>
                      <w:sz w:val="56"/>
                      <w:szCs w:val="56"/>
                    </w:rPr>
                  </w:pPr>
                  <w:r>
                    <w:rPr>
                      <w:rFonts w:ascii="Times New Roman" w:hAnsi="Times New Roman" w:cs="Times New Roman"/>
                      <w:sz w:val="56"/>
                      <w:szCs w:val="56"/>
                    </w:rPr>
                    <w:t>A</w:t>
                  </w:r>
                </w:p>
              </w:txbxContent>
            </v:textbox>
          </v:shape>
        </w:pict>
      </w:r>
      <w:r>
        <w:rPr>
          <w:rFonts w:ascii="Times New Roman" w:hAnsi="Times New Roman" w:cs="Times New Roman"/>
          <w:b/>
          <w:noProof/>
          <w:sz w:val="24"/>
          <w:szCs w:val="24"/>
          <w:lang w:eastAsia="en-GB"/>
        </w:rPr>
        <w:drawing>
          <wp:inline distT="0" distB="0" distL="0" distR="0">
            <wp:extent cx="5272405" cy="7232015"/>
            <wp:effectExtent l="19050" t="0" r="4445" b="0"/>
            <wp:docPr id="67" name="Picture 27" descr="Figure 4.11A(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igure 4.11A(2).tif"/>
                    <pic:cNvPicPr>
                      <a:picLocks noChangeAspect="1" noChangeArrowheads="1"/>
                    </pic:cNvPicPr>
                  </pic:nvPicPr>
                  <pic:blipFill>
                    <a:blip r:embed="rId70" cstate="print"/>
                    <a:srcRect/>
                    <a:stretch>
                      <a:fillRect/>
                    </a:stretch>
                  </pic:blipFill>
                  <pic:spPr bwMode="auto">
                    <a:xfrm>
                      <a:off x="0" y="0"/>
                      <a:ext cx="5272405" cy="7232015"/>
                    </a:xfrm>
                    <a:prstGeom prst="rect">
                      <a:avLst/>
                    </a:prstGeom>
                    <a:noFill/>
                    <a:ln w="9525">
                      <a:noFill/>
                      <a:miter lim="800000"/>
                      <a:headEnd/>
                      <a:tailEnd/>
                    </a:ln>
                  </pic:spPr>
                </pic:pic>
              </a:graphicData>
            </a:graphic>
          </wp:inline>
        </w:drawing>
      </w:r>
    </w:p>
    <w:p w:rsidR="00AA5269" w:rsidRDefault="00AA5269" w:rsidP="00AA5269">
      <w:pPr>
        <w:rPr>
          <w:rFonts w:ascii="Times New Roman" w:hAnsi="Times New Roman" w:cs="Times New Roman"/>
          <w:b/>
          <w:sz w:val="24"/>
          <w:szCs w:val="24"/>
        </w:rPr>
      </w:pPr>
      <w:r>
        <w:rPr>
          <w:rFonts w:ascii="Times New Roman" w:hAnsi="Times New Roman" w:cs="Times New Roman"/>
          <w:b/>
          <w:sz w:val="24"/>
          <w:szCs w:val="24"/>
        </w:rPr>
        <w:br w:type="page"/>
      </w:r>
    </w:p>
    <w:p w:rsidR="00AA5269" w:rsidRDefault="00AA5269" w:rsidP="00AA5269">
      <w:pPr>
        <w:rPr>
          <w:rFonts w:ascii="Times New Roman" w:hAnsi="Times New Roman" w:cs="Times New Roman"/>
          <w:b/>
          <w:sz w:val="24"/>
          <w:szCs w:val="24"/>
        </w:rPr>
      </w:pPr>
      <w:r>
        <w:lastRenderedPageBreak/>
        <w:pict>
          <v:shape id="_x0000_s1058" type="#_x0000_t202" style="position:absolute;margin-left:-23.2pt;margin-top:1.25pt;width:45.95pt;height:41pt;z-index:251695104;mso-width-relative:margin;mso-height-relative:margin" filled="f" stroked="f">
            <v:textbox>
              <w:txbxContent>
                <w:p w:rsidR="00AA5269" w:rsidRDefault="00AA5269" w:rsidP="00AA5269">
                  <w:pPr>
                    <w:rPr>
                      <w:rFonts w:ascii="Times New Roman" w:hAnsi="Times New Roman" w:cs="Times New Roman"/>
                      <w:sz w:val="56"/>
                      <w:szCs w:val="56"/>
                    </w:rPr>
                  </w:pPr>
                  <w:r>
                    <w:rPr>
                      <w:rFonts w:ascii="Times New Roman" w:hAnsi="Times New Roman" w:cs="Times New Roman"/>
                      <w:sz w:val="56"/>
                      <w:szCs w:val="56"/>
                    </w:rPr>
                    <w:t>B</w:t>
                  </w:r>
                </w:p>
              </w:txbxContent>
            </v:textbox>
          </v:shape>
        </w:pict>
      </w:r>
      <w:r>
        <w:rPr>
          <w:rFonts w:ascii="Times New Roman" w:hAnsi="Times New Roman" w:cs="Times New Roman"/>
          <w:b/>
          <w:noProof/>
          <w:sz w:val="24"/>
          <w:szCs w:val="24"/>
          <w:lang w:eastAsia="en-GB"/>
        </w:rPr>
        <w:drawing>
          <wp:inline distT="0" distB="0" distL="0" distR="0">
            <wp:extent cx="5046980" cy="5676265"/>
            <wp:effectExtent l="0" t="0" r="1270" b="0"/>
            <wp:docPr id="66" name="Picture 31" descr="Figure 4.11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igure 4.11B.tif"/>
                    <pic:cNvPicPr>
                      <a:picLocks noChangeAspect="1" noChangeArrowheads="1"/>
                    </pic:cNvPicPr>
                  </pic:nvPicPr>
                  <pic:blipFill>
                    <a:blip r:embed="rId71" cstate="print"/>
                    <a:srcRect/>
                    <a:stretch>
                      <a:fillRect/>
                    </a:stretch>
                  </pic:blipFill>
                  <pic:spPr bwMode="auto">
                    <a:xfrm>
                      <a:off x="0" y="0"/>
                      <a:ext cx="5046980" cy="5676265"/>
                    </a:xfrm>
                    <a:prstGeom prst="rect">
                      <a:avLst/>
                    </a:prstGeom>
                    <a:noFill/>
                    <a:ln w="9525">
                      <a:noFill/>
                      <a:miter lim="800000"/>
                      <a:headEnd/>
                      <a:tailEnd/>
                    </a:ln>
                  </pic:spPr>
                </pic:pic>
              </a:graphicData>
            </a:graphic>
          </wp:inline>
        </w:drawing>
      </w:r>
    </w:p>
    <w:p w:rsidR="00AA5269" w:rsidRDefault="00AA5269" w:rsidP="00AA5269">
      <w:pPr>
        <w:spacing w:line="360" w:lineRule="auto"/>
        <w:jc w:val="both"/>
        <w:rPr>
          <w:rFonts w:ascii="Times New Roman" w:hAnsi="Times New Roman" w:cs="Times New Roman"/>
          <w:sz w:val="28"/>
          <w:szCs w:val="28"/>
        </w:rPr>
      </w:pPr>
      <w:proofErr w:type="gramStart"/>
      <w:r>
        <w:rPr>
          <w:rFonts w:ascii="Times New Roman" w:hAnsi="Times New Roman" w:cs="Times New Roman"/>
          <w:b/>
          <w:sz w:val="24"/>
          <w:szCs w:val="24"/>
        </w:rPr>
        <w:t>Figure 4.9.</w:t>
      </w:r>
      <w:proofErr w:type="gramEnd"/>
      <w:r>
        <w:rPr>
          <w:rFonts w:ascii="Times New Roman" w:hAnsi="Times New Roman" w:cs="Times New Roman"/>
          <w:b/>
          <w:sz w:val="24"/>
          <w:szCs w:val="24"/>
        </w:rPr>
        <w:t xml:space="preserve"> Differential binding of fluorescent peptidoglycan probes</w:t>
      </w:r>
      <w:r>
        <w:rPr>
          <w:rFonts w:ascii="Times New Roman" w:hAnsi="Times New Roman" w:cs="Times New Roman"/>
          <w:sz w:val="24"/>
          <w:szCs w:val="24"/>
        </w:rPr>
        <w:t xml:space="preserve">. </w:t>
      </w:r>
      <w:r>
        <w:rPr>
          <w:rFonts w:ascii="Times New Roman" w:hAnsi="Times New Roman" w:cs="Times New Roman"/>
          <w:i/>
          <w:sz w:val="24"/>
          <w:szCs w:val="24"/>
        </w:rPr>
        <w:t xml:space="preserve">S. aureus </w:t>
      </w:r>
      <w:r>
        <w:rPr>
          <w:rFonts w:ascii="Times New Roman" w:hAnsi="Times New Roman" w:cs="Times New Roman"/>
          <w:sz w:val="24"/>
          <w:szCs w:val="24"/>
        </w:rPr>
        <w:t xml:space="preserve">SH1000 cells were labelled with Wheat Germ Agglutinin (WGA) AlexaFluor conjugate and Vancomycin BODIPY-FL (Van). The 36 kDa WGA lectin binds </w:t>
      </w:r>
      <w:r>
        <w:rPr>
          <w:rFonts w:ascii="Times New Roman" w:hAnsi="Times New Roman" w:cs="Times New Roman"/>
          <w:i/>
          <w:sz w:val="24"/>
          <w:szCs w:val="24"/>
        </w:rPr>
        <w:t>N</w:t>
      </w:r>
      <w:r>
        <w:rPr>
          <w:rFonts w:ascii="Times New Roman" w:hAnsi="Times New Roman" w:cs="Times New Roman"/>
          <w:sz w:val="24"/>
          <w:szCs w:val="24"/>
        </w:rPr>
        <w:t>-acetlyglucosamine residues throughout the peptidoglycan layer, but is excluded from the nascent cell wall. The 1.7 kDa vancomycin conjugate binds strongly throughout the entire cell wall (A) Field of cells. (B) Individual cells at different stages of the cell cycle.</w:t>
      </w:r>
      <w:r>
        <w:rPr>
          <w:rFonts w:ascii="Times New Roman" w:hAnsi="Times New Roman" w:cs="Times New Roman"/>
          <w:sz w:val="24"/>
          <w:szCs w:val="24"/>
        </w:rPr>
        <w:tab/>
      </w:r>
      <w:r>
        <w:rPr>
          <w:rFonts w:ascii="Times New Roman" w:hAnsi="Times New Roman" w:cs="Times New Roman"/>
          <w:sz w:val="28"/>
          <w:szCs w:val="28"/>
        </w:rPr>
        <w:br w:type="page"/>
      </w:r>
    </w:p>
    <w:p w:rsidR="00AA5269" w:rsidRDefault="00AA5269" w:rsidP="00AA5269">
      <w:pPr>
        <w:spacing w:line="480" w:lineRule="auto"/>
        <w:rPr>
          <w:rFonts w:ascii="Times New Roman" w:hAnsi="Times New Roman" w:cs="Times New Roman"/>
          <w:sz w:val="28"/>
          <w:szCs w:val="28"/>
        </w:rPr>
      </w:pPr>
      <w:r>
        <w:rPr>
          <w:rFonts w:ascii="Times New Roman" w:hAnsi="Times New Roman" w:cs="Times New Roman"/>
          <w:sz w:val="28"/>
          <w:szCs w:val="28"/>
        </w:rPr>
        <w:lastRenderedPageBreak/>
        <w:t>4.2.3.2</w:t>
      </w:r>
      <w:r>
        <w:rPr>
          <w:rFonts w:ascii="Times New Roman" w:hAnsi="Times New Roman" w:cs="Times New Roman"/>
          <w:sz w:val="28"/>
          <w:szCs w:val="28"/>
        </w:rPr>
        <w:tab/>
        <w:t>Identification of targets for labelling of peptidoglycan</w:t>
      </w:r>
    </w:p>
    <w:p w:rsidR="00AA5269" w:rsidRDefault="00AA5269" w:rsidP="00AA5269">
      <w:pPr>
        <w:spacing w:line="48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In order to investigate the chemistry of peptidoglycan by fluorescence microscopy, we aimed to use a very small fluorescent probe to ensure access throughout the complete sacculus. One advantage to studying peptidoglycan is that the sacculi can be extracted from other cellular components. It is therefore possible to utilise chemical probes against fairly ubiquitous targets present in the chemical structure of the peptidoglycan. </w:t>
      </w:r>
      <w:r>
        <w:rPr>
          <w:rFonts w:ascii="Times New Roman" w:hAnsi="Times New Roman" w:cs="Times New Roman"/>
          <w:color w:val="000000" w:themeColor="text1"/>
          <w:sz w:val="24"/>
          <w:szCs w:val="24"/>
        </w:rPr>
        <w:t>Commercially available fluorophores are typically modified with a short linker region that facilitates covalent conjugation to a molecular probe, responsible for the target specificity. The most common conjugation is between an amide group and a carboxyl group, forming an amide bond. We investigated whether it was possible to utilise this simple chemistry to conjugate the fluorophore directly to specific targets in the sacculi, rather than through an intermediary probe.</w:t>
      </w:r>
    </w:p>
    <w:p w:rsidR="00AA5269" w:rsidRDefault="00AA5269" w:rsidP="00AA5269">
      <w:pPr>
        <w:spacing w:line="48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Figure 4.10 shows the typical structure of a cross-linked glycan disaccharide, lacking a peptide interbridge and including a reducing Mur</w:t>
      </w:r>
      <w:r>
        <w:rPr>
          <w:rFonts w:ascii="Times New Roman" w:hAnsi="Times New Roman" w:cs="Times New Roman"/>
          <w:i/>
          <w:color w:val="000000" w:themeColor="text1"/>
          <w:sz w:val="24"/>
          <w:szCs w:val="24"/>
        </w:rPr>
        <w:t>N</w:t>
      </w:r>
      <w:r>
        <w:rPr>
          <w:rFonts w:ascii="Times New Roman" w:hAnsi="Times New Roman" w:cs="Times New Roman"/>
          <w:color w:val="000000" w:themeColor="text1"/>
          <w:sz w:val="24"/>
          <w:szCs w:val="24"/>
        </w:rPr>
        <w:t>Ac terminus, which has a unique chemistry in relation to the rest of the glycan chain. A terminal Glc</w:t>
      </w:r>
      <w:r>
        <w:rPr>
          <w:rFonts w:ascii="Times New Roman" w:hAnsi="Times New Roman" w:cs="Times New Roman"/>
          <w:i/>
          <w:color w:val="000000" w:themeColor="text1"/>
          <w:sz w:val="24"/>
          <w:szCs w:val="24"/>
        </w:rPr>
        <w:t>N</w:t>
      </w:r>
      <w:r>
        <w:rPr>
          <w:rFonts w:ascii="Times New Roman" w:hAnsi="Times New Roman" w:cs="Times New Roman"/>
          <w:color w:val="000000" w:themeColor="text1"/>
          <w:sz w:val="24"/>
          <w:szCs w:val="24"/>
        </w:rPr>
        <w:t xml:space="preserve">Ac would have similar chemistry, but with a hydroxyl group in place of the cross-linked peptide stem. The reducing terminus of the glycan strand contains a unique feature; C1 of the glucose ring is in redox state (represented as an aldehyde group in the open conformation, indicated with a red circle in Figure 4.10). This aldehyde group is a unique target present only at the reducing end of glycan chains but not found elsewhere in the peptidoglycan. Whilst </w:t>
      </w:r>
      <w:r>
        <w:rPr>
          <w:rFonts w:ascii="Times New Roman" w:hAnsi="Times New Roman" w:cs="Times New Roman"/>
          <w:i/>
          <w:color w:val="000000" w:themeColor="text1"/>
          <w:sz w:val="24"/>
          <w:szCs w:val="24"/>
        </w:rPr>
        <w:t>m</w:t>
      </w:r>
      <w:r>
        <w:rPr>
          <w:rFonts w:ascii="Times New Roman" w:hAnsi="Times New Roman" w:cs="Times New Roman"/>
          <w:color w:val="000000" w:themeColor="text1"/>
          <w:sz w:val="24"/>
          <w:szCs w:val="24"/>
        </w:rPr>
        <w:t xml:space="preserve">-diaminopimelate and the terminal </w:t>
      </w:r>
      <w:r>
        <w:rPr>
          <w:rFonts w:ascii="Times New Roman" w:hAnsi="Times New Roman" w:cs="Times New Roman"/>
          <w:color w:val="000000" w:themeColor="text1"/>
          <w:sz w:val="16"/>
          <w:szCs w:val="16"/>
        </w:rPr>
        <w:t>D</w:t>
      </w:r>
      <w:r>
        <w:rPr>
          <w:rFonts w:ascii="Times New Roman" w:hAnsi="Times New Roman" w:cs="Times New Roman"/>
          <w:color w:val="000000" w:themeColor="text1"/>
          <w:sz w:val="24"/>
          <w:szCs w:val="24"/>
        </w:rPr>
        <w:t>-alanine of the peptide stem contain carboxyl groups, this conformation is more stable than the aldehyde group of the glycan reducing terminus, and may therefore be</w:t>
      </w:r>
      <w:r>
        <w:rPr>
          <w:rFonts w:ascii="Times New Roman" w:hAnsi="Times New Roman" w:cs="Times New Roman"/>
          <w:sz w:val="24"/>
          <w:szCs w:val="24"/>
        </w:rPr>
        <w:t xml:space="preserve"> less liable to undergoing amidation. It may therefore be possible to specifically target a fluorescent probe to </w:t>
      </w:r>
    </w:p>
    <w:p w:rsidR="00AA5269" w:rsidRDefault="00AA5269" w:rsidP="00AA5269">
      <w:pPr>
        <w:spacing w:after="0" w:line="480" w:lineRule="auto"/>
        <w:rPr>
          <w:rFonts w:ascii="Times New Roman" w:hAnsi="Times New Roman" w:cs="Times New Roman"/>
          <w:sz w:val="24"/>
          <w:szCs w:val="24"/>
        </w:rPr>
        <w:sectPr w:rsidR="00AA5269">
          <w:type w:val="continuous"/>
          <w:pgSz w:w="11906" w:h="16838"/>
          <w:pgMar w:top="1440" w:right="1134" w:bottom="1440" w:left="2268" w:header="709" w:footer="709" w:gutter="0"/>
          <w:cols w:space="720"/>
        </w:sectPr>
      </w:pPr>
    </w:p>
    <w:p w:rsidR="00AA5269" w:rsidRDefault="00AA5269" w:rsidP="00AA5269">
      <w:pPr>
        <w:spacing w:after="120" w:line="360" w:lineRule="auto"/>
        <w:jc w:val="both"/>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272405" cy="3966210"/>
            <wp:effectExtent l="19050" t="0" r="4445" b="0"/>
            <wp:docPr id="65" name="Picture 6" descr="PG probe si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G probe sites.png"/>
                    <pic:cNvPicPr>
                      <a:picLocks noChangeAspect="1" noChangeArrowheads="1"/>
                    </pic:cNvPicPr>
                  </pic:nvPicPr>
                  <pic:blipFill>
                    <a:blip r:embed="rId72" cstate="print"/>
                    <a:srcRect/>
                    <a:stretch>
                      <a:fillRect/>
                    </a:stretch>
                  </pic:blipFill>
                  <pic:spPr bwMode="auto">
                    <a:xfrm>
                      <a:off x="0" y="0"/>
                      <a:ext cx="5272405" cy="3966210"/>
                    </a:xfrm>
                    <a:prstGeom prst="rect">
                      <a:avLst/>
                    </a:prstGeom>
                    <a:noFill/>
                    <a:ln w="9525">
                      <a:noFill/>
                      <a:miter lim="800000"/>
                      <a:headEnd/>
                      <a:tailEnd/>
                    </a:ln>
                  </pic:spPr>
                </pic:pic>
              </a:graphicData>
            </a:graphic>
          </wp:inline>
        </w:drawing>
      </w:r>
    </w:p>
    <w:p w:rsidR="00AA5269" w:rsidRDefault="00AA5269" w:rsidP="00AA5269">
      <w:pPr>
        <w:spacing w:after="120" w:line="360" w:lineRule="auto"/>
        <w:jc w:val="both"/>
        <w:rPr>
          <w:rFonts w:ascii="Times New Roman" w:hAnsi="Times New Roman" w:cs="Times New Roman"/>
          <w:sz w:val="24"/>
          <w:szCs w:val="24"/>
        </w:rPr>
      </w:pPr>
      <w:proofErr w:type="gramStart"/>
      <w:r>
        <w:rPr>
          <w:rFonts w:ascii="Times New Roman" w:hAnsi="Times New Roman" w:cs="Times New Roman"/>
          <w:b/>
          <w:sz w:val="24"/>
          <w:szCs w:val="24"/>
        </w:rPr>
        <w:t>Figure 4.10.</w:t>
      </w:r>
      <w:proofErr w:type="gramEnd"/>
      <w:r>
        <w:rPr>
          <w:rFonts w:ascii="Times New Roman" w:hAnsi="Times New Roman" w:cs="Times New Roman"/>
          <w:b/>
          <w:sz w:val="24"/>
          <w:szCs w:val="24"/>
        </w:rPr>
        <w:t xml:space="preserve"> </w:t>
      </w:r>
      <w:proofErr w:type="gramStart"/>
      <w:r>
        <w:rPr>
          <w:rFonts w:ascii="Times New Roman" w:hAnsi="Times New Roman" w:cs="Times New Roman"/>
          <w:b/>
          <w:sz w:val="24"/>
          <w:szCs w:val="24"/>
        </w:rPr>
        <w:t xml:space="preserve">Schematic of candidate target sites for probing peptidoglycan chemistry </w:t>
      </w:r>
      <w:r>
        <w:rPr>
          <w:rFonts w:ascii="Times New Roman" w:hAnsi="Times New Roman" w:cs="Times New Roman"/>
          <w:b/>
          <w:i/>
          <w:sz w:val="24"/>
          <w:szCs w:val="24"/>
        </w:rPr>
        <w:t>in vivo</w:t>
      </w:r>
      <w:r>
        <w:rPr>
          <w:rFonts w:ascii="Times New Roman" w:hAnsi="Times New Roman" w:cs="Times New Roman"/>
          <w:b/>
          <w:sz w:val="24"/>
          <w:szCs w:val="24"/>
        </w:rPr>
        <w:t>.</w:t>
      </w:r>
      <w:proofErr w:type="gramEnd"/>
      <w:r>
        <w:rPr>
          <w:rFonts w:ascii="Times New Roman" w:hAnsi="Times New Roman" w:cs="Times New Roman"/>
          <w:sz w:val="24"/>
          <w:szCs w:val="24"/>
        </w:rPr>
        <w:t xml:space="preserve"> The chemical structure of a typical cross-linked peptidoglycan fragment, including one reducing terminus is shown. The red circle indicates an aldehyde group in a redox state, which is unique to glycan chain reducing termini. Carboxyl group on peptide stems are much more stable and unlikely to become involved in reaction with a chemical probe. Blue circles indicate free amine groups that are not present in glycan chains but are present on D-Glu and </w:t>
      </w:r>
      <w:r>
        <w:rPr>
          <w:rFonts w:ascii="Times New Roman" w:hAnsi="Times New Roman" w:cs="Times New Roman"/>
          <w:i/>
          <w:sz w:val="24"/>
          <w:szCs w:val="24"/>
        </w:rPr>
        <w:t>m</w:t>
      </w:r>
      <w:r>
        <w:rPr>
          <w:rFonts w:ascii="Times New Roman" w:hAnsi="Times New Roman" w:cs="Times New Roman"/>
          <w:sz w:val="24"/>
          <w:szCs w:val="24"/>
        </w:rPr>
        <w:t>-DAP residues in the peptide stems.</w:t>
      </w:r>
    </w:p>
    <w:p w:rsidR="00AA5269" w:rsidRDefault="00AA5269" w:rsidP="00AA5269">
      <w:pPr>
        <w:rPr>
          <w:rFonts w:ascii="Times New Roman" w:hAnsi="Times New Roman" w:cs="Times New Roman"/>
          <w:sz w:val="28"/>
          <w:szCs w:val="28"/>
        </w:rPr>
      </w:pPr>
      <w:r>
        <w:rPr>
          <w:rFonts w:ascii="Times New Roman" w:hAnsi="Times New Roman" w:cs="Times New Roman"/>
          <w:sz w:val="28"/>
          <w:szCs w:val="28"/>
        </w:rPr>
        <w:br w:type="page"/>
      </w:r>
    </w:p>
    <w:p w:rsidR="00AA5269" w:rsidRDefault="00AA5269" w:rsidP="00AA5269">
      <w:pPr>
        <w:spacing w:line="480" w:lineRule="auto"/>
        <w:jc w:val="both"/>
        <w:rPr>
          <w:rFonts w:ascii="Times New Roman" w:hAnsi="Times New Roman" w:cs="Times New Roman"/>
          <w:color w:val="000000" w:themeColor="text1"/>
          <w:sz w:val="24"/>
          <w:szCs w:val="24"/>
        </w:rPr>
      </w:pPr>
      <w:proofErr w:type="gramStart"/>
      <w:r>
        <w:rPr>
          <w:rFonts w:ascii="Times New Roman" w:hAnsi="Times New Roman" w:cs="Times New Roman"/>
          <w:sz w:val="24"/>
          <w:szCs w:val="24"/>
        </w:rPr>
        <w:lastRenderedPageBreak/>
        <w:t>glycan</w:t>
      </w:r>
      <w:proofErr w:type="gramEnd"/>
      <w:r>
        <w:rPr>
          <w:rFonts w:ascii="Times New Roman" w:hAnsi="Times New Roman" w:cs="Times New Roman"/>
          <w:sz w:val="24"/>
          <w:szCs w:val="24"/>
        </w:rPr>
        <w:t xml:space="preserve"> chain termini. An obvious limitation of this method would be the inability to target </w:t>
      </w:r>
      <w:r>
        <w:rPr>
          <w:rFonts w:ascii="Times New Roman" w:hAnsi="Times New Roman" w:cs="Times New Roman"/>
          <w:color w:val="000000" w:themeColor="text1"/>
          <w:sz w:val="24"/>
          <w:szCs w:val="24"/>
        </w:rPr>
        <w:t>glycan termini formed by lytic transglycosylation.</w:t>
      </w:r>
    </w:p>
    <w:p w:rsidR="00AA5269" w:rsidRDefault="00AA5269" w:rsidP="00AA5269">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Amine groups present on </w:t>
      </w:r>
      <w:r>
        <w:rPr>
          <w:rFonts w:ascii="Times New Roman" w:hAnsi="Times New Roman" w:cs="Times New Roman"/>
          <w:i/>
          <w:color w:val="000000" w:themeColor="text1"/>
          <w:sz w:val="24"/>
          <w:szCs w:val="24"/>
        </w:rPr>
        <w:t>m</w:t>
      </w:r>
      <w:r>
        <w:rPr>
          <w:rFonts w:ascii="Times New Roman" w:hAnsi="Times New Roman" w:cs="Times New Roman"/>
          <w:color w:val="000000" w:themeColor="text1"/>
          <w:sz w:val="24"/>
          <w:szCs w:val="24"/>
        </w:rPr>
        <w:t xml:space="preserve">-DAP peptides are found in peptides stems, but not fully </w:t>
      </w:r>
      <w:r>
        <w:rPr>
          <w:rFonts w:ascii="Times New Roman" w:hAnsi="Times New Roman" w:cs="Times New Roman"/>
          <w:i/>
          <w:color w:val="000000" w:themeColor="text1"/>
          <w:sz w:val="24"/>
          <w:szCs w:val="24"/>
        </w:rPr>
        <w:t>N</w:t>
      </w:r>
      <w:r>
        <w:rPr>
          <w:rFonts w:ascii="Times New Roman" w:hAnsi="Times New Roman" w:cs="Times New Roman"/>
          <w:color w:val="000000" w:themeColor="text1"/>
          <w:sz w:val="24"/>
          <w:szCs w:val="24"/>
        </w:rPr>
        <w:t>-acetylated glycan chains (Figure 4.10). They are also present at the N-termini of stem peptides following hydrolysis with an amidase or endopeptidase, and D-glutamate may be modified by amidation. These amine groups represent a unique target for labelling of peptide stems, although not all amine groups may participate. It is unclear whether all of these amine groups would participate in covalent cross-linking with fluorescent probes.</w:t>
      </w:r>
    </w:p>
    <w:p w:rsidR="00AA5269" w:rsidRDefault="00AA5269" w:rsidP="00AA5269">
      <w:pPr>
        <w:spacing w:before="480" w:after="120" w:line="480" w:lineRule="auto"/>
        <w:ind w:left="1440" w:hanging="144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4.2.3.3</w:t>
      </w:r>
      <w:r>
        <w:rPr>
          <w:rFonts w:ascii="Times New Roman" w:hAnsi="Times New Roman" w:cs="Times New Roman"/>
          <w:color w:val="000000" w:themeColor="text1"/>
          <w:sz w:val="28"/>
          <w:szCs w:val="28"/>
        </w:rPr>
        <w:tab/>
        <w:t>Selection of fluorescent probes for investigating peptidoglycan chemistry</w:t>
      </w:r>
    </w:p>
    <w:p w:rsidR="00AA5269" w:rsidRPr="00AA5269" w:rsidRDefault="00AA5269" w:rsidP="00AA5269">
      <w:pPr>
        <w:spacing w:after="120" w:line="480" w:lineRule="auto"/>
        <w:jc w:val="both"/>
        <w:rPr>
          <w:rFonts w:ascii="Times New Roman" w:hAnsi="Times New Roman" w:cs="Times New Roman"/>
          <w:color w:val="000000" w:themeColor="text1"/>
          <w:sz w:val="28"/>
          <w:szCs w:val="28"/>
        </w:rPr>
      </w:pPr>
      <w:r w:rsidRPr="00AA5269">
        <w:rPr>
          <w:rFonts w:ascii="Times New Roman" w:hAnsi="Times New Roman" w:cs="Times New Roman"/>
          <w:color w:val="000000" w:themeColor="text1"/>
          <w:sz w:val="24"/>
          <w:szCs w:val="24"/>
        </w:rPr>
        <w:t xml:space="preserve">Selection of fluorescent probes was based on the suitability of the linker region for targeting either primary amines present on peptide stems, or aldehyde groups present on glycan chain reducing termini. Succinimidyl esters and their derivatives are commonly used for conjugation of fluorescent dyes to primary amines, and have several properties convenient for reaction with primary amines on sacculi. Sulfonated esters (sulfosuccinimidyl esters, SSE) are water soluble and insensitive to pH across a broad range (pH 4-10). They have low reactivity with non-target molecules such as aromatic amines, alcohols and phenols. The amide bond formed upon conjugation to the target molecule is also highly stable </w:t>
      </w:r>
      <w:r w:rsidRPr="00AA5269">
        <w:rPr>
          <w:rFonts w:ascii="Times New Roman" w:hAnsi="Times New Roman" w:cs="Times New Roman"/>
          <w:color w:val="000000" w:themeColor="text1"/>
          <w:sz w:val="24"/>
          <w:szCs w:val="24"/>
        </w:rPr>
        <w:fldChar w:fldCharType="begin"/>
      </w:r>
      <w:r w:rsidRPr="00AA5269">
        <w:rPr>
          <w:rFonts w:ascii="Times New Roman" w:hAnsi="Times New Roman" w:cs="Times New Roman"/>
          <w:color w:val="000000" w:themeColor="text1"/>
          <w:sz w:val="24"/>
          <w:szCs w:val="24"/>
        </w:rPr>
        <w:instrText xml:space="preserve"> ADDIN ZOTERO_ITEM CSL_CITATION {"citationID":"1dj6vhfu87","properties":{"formattedCitation":"(Banks and Paquette, 1995)","plainCitation":"(Banks and Paquette, 1995)"},"citationItems":[{"id":124,"uris":["http://zotero.org/users/944474/items/TWMVCKI7"],"uri":["http://zotero.org/users/944474/items/TWMVCKI7"],"itemData":{"id":124,"type":"article-journal","title":"Comparison of three common amine reactive fluorescent probes used for conjugation to biomolecules by capillary zone electrophoresis","container-title":"Bioconjugate Chemistry","page":"447-458","volume":"6","issue":"4","abstract":"The conjugation of three amine reactive fluorescent probes, each containing the fluorophore fluorescein but different reactive moieties, was compared using the protein myoglobin and the amino acid L-lysine as reagents. The three different reactive moieties were an isothiocyanate group (FITC), a succinimidyl ester group (CFSE), and a dichlorotriazine group (DTAF). The relative performance was based on the degree of conjugation to myoglobin, the rate of reaction, freedom from hydrolysis, and the stability of a conjugate with lysine. Performance was evaluated by separating the conjugation reaction reagents and products on-line, using capillary zone electrophoresis, and assessing relative amounts by absorbance detection. Each of the reactive probes demonstrated the ability to achieve a similar degree of conjugation, which depended mostly on allowed conjugated reaction time, and a rate of conjugation that rendered hydrolysis of the reactive moiety insignificant. For the relative rate of conjugation between probes and stability of the resulting conjugate, CFSE demonstrated superior performance, followed by DTAF and then FITC, for both the protein myoglobin and the amino acid L-lysine. The FITC conjugation reaction was much easier to control, however, which may be significant for applications that require a precise degree of conjugation. With regard to conjugate-bond stability, the FITC conjugate demonstrated inferior performance when subjected to incubation at 37 degrees C.","note":"PMID: 7578365","journalAbbreviation":"Bioconjug. Chem.","author":[{"family":"Banks","given":"P R"},{"family":"Paquette","given":"D M"}],"issued":{"year":1995,"month":8},"accessed":{"year":2012,"month":4,"day":12},"page-first":"447"}}],"schema":"https://github.com/citation-style-language/schema/raw/master/csl-citation.json"} </w:instrText>
      </w:r>
      <w:r w:rsidRPr="00AA5269">
        <w:rPr>
          <w:rFonts w:ascii="Times New Roman" w:hAnsi="Times New Roman" w:cs="Times New Roman"/>
          <w:color w:val="000000" w:themeColor="text1"/>
          <w:sz w:val="24"/>
          <w:szCs w:val="24"/>
        </w:rPr>
        <w:fldChar w:fldCharType="separate"/>
      </w:r>
      <w:r w:rsidRPr="00AA5269">
        <w:rPr>
          <w:rFonts w:ascii="Times New Roman" w:hAnsi="Times New Roman" w:cs="Times New Roman"/>
          <w:color w:val="000000" w:themeColor="text1"/>
          <w:sz w:val="24"/>
        </w:rPr>
        <w:t>(Banks and Paquette, 1995)</w:t>
      </w:r>
      <w:r w:rsidRPr="00AA5269">
        <w:rPr>
          <w:rFonts w:ascii="Times New Roman" w:hAnsi="Times New Roman" w:cs="Times New Roman"/>
          <w:color w:val="000000" w:themeColor="text1"/>
          <w:sz w:val="24"/>
          <w:szCs w:val="24"/>
        </w:rPr>
        <w:fldChar w:fldCharType="end"/>
      </w:r>
      <w:r w:rsidRPr="00AA5269">
        <w:rPr>
          <w:rFonts w:ascii="Times New Roman" w:hAnsi="Times New Roman" w:cs="Times New Roman"/>
          <w:color w:val="000000" w:themeColor="text1"/>
          <w:sz w:val="24"/>
          <w:szCs w:val="24"/>
        </w:rPr>
        <w:t>. A BODIPY-FL sulfosuccinimidyl ester (BODIPY SSE) (4,4-difluoro-5,7-dimethyl-4-bora-3a,4a-diaza-</w:t>
      </w:r>
      <w:r w:rsidRPr="00AA5269">
        <w:rPr>
          <w:rFonts w:ascii="Times New Roman" w:hAnsi="Times New Roman" w:cs="Times New Roman"/>
          <w:i/>
          <w:iCs/>
          <w:color w:val="000000" w:themeColor="text1"/>
          <w:sz w:val="24"/>
          <w:szCs w:val="24"/>
        </w:rPr>
        <w:t>s</w:t>
      </w:r>
      <w:r w:rsidRPr="00AA5269">
        <w:rPr>
          <w:rFonts w:ascii="Times New Roman" w:hAnsi="Times New Roman" w:cs="Times New Roman"/>
          <w:color w:val="000000" w:themeColor="text1"/>
          <w:sz w:val="24"/>
          <w:szCs w:val="24"/>
        </w:rPr>
        <w:t>-indacene-3-pentanoic acid, succinimidyl ester; D-6140, Molecular Probes; Figure 4.11A) was selected for targeting of primary amines, as this fluorescent dye was readily available and previous work in this chapter using a vancomycin BODIPY-FL conjugate had shown it to be stable with strong fluorescence.</w:t>
      </w:r>
    </w:p>
    <w:p w:rsidR="00AA5269" w:rsidRDefault="00AA5269" w:rsidP="00AA5269">
      <w:pPr>
        <w:shd w:val="clear" w:color="auto" w:fill="FFFFFF"/>
        <w:spacing w:line="480" w:lineRule="auto"/>
        <w:jc w:val="both"/>
        <w:textAlignment w:val="baseline"/>
        <w:outlineLvl w:val="4"/>
        <w:rPr>
          <w:rFonts w:ascii="Times New Roman" w:eastAsia="Times New Roman" w:hAnsi="Times New Roman" w:cs="Times New Roman"/>
          <w:bCs/>
          <w:color w:val="000000" w:themeColor="text1"/>
          <w:sz w:val="24"/>
          <w:szCs w:val="24"/>
          <w:lang w:eastAsia="en-GB"/>
        </w:rPr>
      </w:pPr>
      <w:r>
        <w:rPr>
          <w:rFonts w:ascii="Times New Roman" w:hAnsi="Times New Roman" w:cs="Times New Roman"/>
          <w:color w:val="000000" w:themeColor="text1"/>
          <w:sz w:val="24"/>
          <w:szCs w:val="24"/>
        </w:rPr>
        <w:lastRenderedPageBreak/>
        <w:t xml:space="preserve">For spontaneous reaction with aldehydes, a hydrazide or hydroxylamine linker is typically used. Reaction of hydrazines with aldehydes produces a hydrazone that is somewhat unstable, whilst hydroxylamines react with aldehydes to yield an oxime which has superior hydrolytic stability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{"citationID":"rh9s8uaf6","properties":{"formattedCitation":"(Kalia and Raines, 2008)","plainCitation":"(Kalia and Raines, 2008)"},"citationItems":[{"id":125,"uris":["http://zotero.org/users/944474/items/4FF59BKG"],"uri":["http://zotero.org/users/944474/items/4FF59BKG"],"itemData":{"id":125,"type":"article-journal","title":"Hydrolytic stability of hydrazones and oximes","container-title":"Angewandte Chemie (International Ed. in English)","page":"7523-7526","volume":"47","issue":"39","DOI":"10.1002/anie.200802651","note":"PMID: 18712739","journalAbbreviation":"Angew. Chem. Int. Ed. Engl.","author":[{"family":"Kalia","given":"Jeet"},{"family":"Raines","given":"Ronald T"}],"issued":{"year":2008},"accessed":{"year":2012,"month":4,"day":12},"page-first":"7523"}}],"schema":"https://github.com/citation-style-language/schema/raw/master/csl-citation.json"}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(Kalia and Raines, 2008)</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The stability of the linkage can be further increased by reduction with sodium borohydride (NaBH</w:t>
      </w:r>
      <w:r>
        <w:rPr>
          <w:rFonts w:ascii="Times New Roman" w:hAnsi="Times New Roman" w:cs="Times New Roman"/>
          <w:color w:val="000000" w:themeColor="text1"/>
          <w:sz w:val="24"/>
          <w:szCs w:val="24"/>
          <w:vertAlign w:val="subscript"/>
        </w:rPr>
        <w:t>4</w:t>
      </w:r>
      <w:r>
        <w:rPr>
          <w:rFonts w:ascii="Times New Roman" w:hAnsi="Times New Roman" w:cs="Times New Roman"/>
          <w:color w:val="000000" w:themeColor="text1"/>
          <w:sz w:val="24"/>
          <w:szCs w:val="24"/>
        </w:rPr>
        <w:t>). Alexa Fluor 488 hydroxylamine (HAF488) was readily available (</w:t>
      </w:r>
      <w:r>
        <w:rPr>
          <w:rFonts w:ascii="Times New Roman" w:eastAsia="Times New Roman" w:hAnsi="Times New Roman" w:cs="Times New Roman"/>
          <w:bCs/>
          <w:color w:val="000000" w:themeColor="text1"/>
          <w:sz w:val="24"/>
          <w:szCs w:val="24"/>
          <w:lang w:eastAsia="en-GB"/>
        </w:rPr>
        <w:t>Alexa Fluor 488 C</w:t>
      </w:r>
      <w:r>
        <w:rPr>
          <w:rFonts w:ascii="Times New Roman" w:eastAsia="Times New Roman" w:hAnsi="Times New Roman" w:cs="Times New Roman"/>
          <w:bCs/>
          <w:color w:val="000000" w:themeColor="text1"/>
          <w:sz w:val="24"/>
          <w:szCs w:val="24"/>
          <w:vertAlign w:val="subscript"/>
          <w:lang w:eastAsia="en-GB"/>
        </w:rPr>
        <w:t>5</w:t>
      </w:r>
      <w:r>
        <w:rPr>
          <w:rFonts w:ascii="Times New Roman" w:eastAsia="Times New Roman" w:hAnsi="Times New Roman" w:cs="Times New Roman"/>
          <w:bCs/>
          <w:color w:val="000000" w:themeColor="text1"/>
          <w:sz w:val="24"/>
          <w:szCs w:val="24"/>
          <w:lang w:eastAsia="en-GB"/>
        </w:rPr>
        <w:t xml:space="preserve">-aminooxyacetamide, </w:t>
      </w:r>
      <w:proofErr w:type="gramStart"/>
      <w:r>
        <w:rPr>
          <w:rFonts w:ascii="Times New Roman" w:eastAsia="Times New Roman" w:hAnsi="Times New Roman" w:cs="Times New Roman"/>
          <w:bCs/>
          <w:color w:val="000000" w:themeColor="text1"/>
          <w:sz w:val="24"/>
          <w:szCs w:val="24"/>
          <w:lang w:eastAsia="en-GB"/>
        </w:rPr>
        <w:t>bis(</w:t>
      </w:r>
      <w:proofErr w:type="gramEnd"/>
      <w:r>
        <w:rPr>
          <w:rFonts w:ascii="Times New Roman" w:eastAsia="Times New Roman" w:hAnsi="Times New Roman" w:cs="Times New Roman"/>
          <w:bCs/>
          <w:color w:val="000000" w:themeColor="text1"/>
          <w:sz w:val="24"/>
          <w:szCs w:val="24"/>
          <w:lang w:eastAsia="en-GB"/>
        </w:rPr>
        <w:t>triethylammonium salt</w:t>
      </w:r>
      <w:r>
        <w:rPr>
          <w:rFonts w:ascii="Times New Roman" w:hAnsi="Times New Roman" w:cs="Times New Roman"/>
          <w:color w:val="000000" w:themeColor="text1"/>
          <w:sz w:val="24"/>
          <w:szCs w:val="24"/>
        </w:rPr>
        <w:t>; A30629, Molecular Probes; Figure 4.11B). Previous work using an Alexa Fluor 488 WGA conjugate showed that this dye had excellent stability and fluorescence.</w:t>
      </w:r>
    </w:p>
    <w:p w:rsidR="00AA5269" w:rsidRDefault="00AA5269" w:rsidP="00AA5269">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In both cases, the fluorescent dyes contained a 5-carbon (C</w:t>
      </w:r>
      <w:r>
        <w:rPr>
          <w:rFonts w:ascii="Times New Roman" w:hAnsi="Times New Roman" w:cs="Times New Roman"/>
          <w:color w:val="000000" w:themeColor="text1"/>
          <w:sz w:val="24"/>
          <w:szCs w:val="24"/>
          <w:vertAlign w:val="subscript"/>
        </w:rPr>
        <w:t>5</w:t>
      </w:r>
      <w:r>
        <w:rPr>
          <w:rFonts w:ascii="Times New Roman" w:hAnsi="Times New Roman" w:cs="Times New Roman"/>
          <w:color w:val="000000" w:themeColor="text1"/>
          <w:sz w:val="24"/>
          <w:szCs w:val="24"/>
        </w:rPr>
        <w:t>) extended linker region. The C</w:t>
      </w:r>
      <w:r>
        <w:rPr>
          <w:rFonts w:ascii="Times New Roman" w:hAnsi="Times New Roman" w:cs="Times New Roman"/>
          <w:color w:val="000000" w:themeColor="text1"/>
          <w:sz w:val="24"/>
          <w:szCs w:val="24"/>
          <w:vertAlign w:val="subscript"/>
        </w:rPr>
        <w:t>5</w:t>
      </w:r>
      <w:r>
        <w:rPr>
          <w:rFonts w:ascii="Times New Roman" w:hAnsi="Times New Roman" w:cs="Times New Roman"/>
          <w:color w:val="000000" w:themeColor="text1"/>
          <w:sz w:val="24"/>
          <w:szCs w:val="24"/>
        </w:rPr>
        <w:t xml:space="preserve"> extension reduces the likelihood of the fluorophore itself interacting with the target molecule (Figure 4.11).</w:t>
      </w:r>
    </w:p>
    <w:p w:rsidR="00AA5269" w:rsidRDefault="00AA5269" w:rsidP="00AA5269">
      <w:pPr>
        <w:spacing w:line="480" w:lineRule="auto"/>
        <w:jc w:val="both"/>
        <w:rPr>
          <w:rFonts w:ascii="Times New Roman" w:hAnsi="Times New Roman" w:cs="Times New Roman"/>
          <w:color w:val="000000" w:themeColor="text1"/>
          <w:sz w:val="24"/>
          <w:szCs w:val="24"/>
        </w:rPr>
      </w:pPr>
    </w:p>
    <w:p w:rsidR="00AA5269" w:rsidRDefault="00AA5269" w:rsidP="00AA5269">
      <w:pPr>
        <w:spacing w:line="48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4.2.3.4</w:t>
      </w:r>
      <w:r>
        <w:rPr>
          <w:rFonts w:ascii="Times New Roman" w:hAnsi="Times New Roman" w:cs="Times New Roman"/>
          <w:color w:val="000000" w:themeColor="text1"/>
          <w:sz w:val="28"/>
          <w:szCs w:val="28"/>
        </w:rPr>
        <w:tab/>
        <w:t>Labelling of peptide stems with BODIPY SSE</w:t>
      </w:r>
    </w:p>
    <w:p w:rsidR="00AA5269" w:rsidRDefault="00AA5269" w:rsidP="00AA5269">
      <w:pPr>
        <w:spacing w:afterLines="20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Cell walls of three different Gram-positive organisms representing rod-shaped (</w:t>
      </w:r>
      <w:r>
        <w:rPr>
          <w:rFonts w:ascii="Times New Roman" w:hAnsi="Times New Roman" w:cs="Times New Roman"/>
          <w:i/>
          <w:color w:val="000000" w:themeColor="text1"/>
          <w:sz w:val="24"/>
          <w:szCs w:val="24"/>
        </w:rPr>
        <w:t>B. subtilis)</w:t>
      </w:r>
      <w:r>
        <w:rPr>
          <w:rFonts w:ascii="Times New Roman" w:hAnsi="Times New Roman" w:cs="Times New Roman"/>
          <w:color w:val="000000" w:themeColor="text1"/>
          <w:sz w:val="24"/>
          <w:szCs w:val="24"/>
        </w:rPr>
        <w:t>, ovococcoid (</w:t>
      </w:r>
      <w:r>
        <w:rPr>
          <w:rFonts w:ascii="Times New Roman" w:hAnsi="Times New Roman" w:cs="Times New Roman"/>
          <w:i/>
          <w:color w:val="000000" w:themeColor="text1"/>
          <w:sz w:val="24"/>
          <w:szCs w:val="24"/>
        </w:rPr>
        <w:t>L. lactis)</w:t>
      </w:r>
      <w:r>
        <w:rPr>
          <w:rFonts w:ascii="Times New Roman" w:hAnsi="Times New Roman" w:cs="Times New Roman"/>
          <w:color w:val="000000" w:themeColor="text1"/>
          <w:sz w:val="24"/>
          <w:szCs w:val="24"/>
        </w:rPr>
        <w:t xml:space="preserve"> and coccoid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xml:space="preserve">) shaped cells were extracted of non-covalently bound polymers and protein content by SDS and pronase treatment. Extracted cells were then co-labelled with BODIPY SSE and an AlexaFluor 350 WGA conjugate (Figure 4.12). </w:t>
      </w:r>
    </w:p>
    <w:p w:rsidR="00AA5269" w:rsidRDefault="00AA5269" w:rsidP="00AA5269">
      <w:pPr>
        <w:spacing w:line="480" w:lineRule="auto"/>
        <w:jc w:val="both"/>
        <w:rPr>
          <w:rFonts w:ascii="Times New Roman" w:hAnsi="Times New Roman" w:cs="Times New Roman"/>
          <w:sz w:val="24"/>
          <w:szCs w:val="24"/>
        </w:rPr>
      </w:pPr>
      <w:r>
        <w:rPr>
          <w:rFonts w:ascii="Times New Roman" w:hAnsi="Times New Roman" w:cs="Times New Roman"/>
          <w:i/>
          <w:color w:val="000000" w:themeColor="text1"/>
          <w:sz w:val="24"/>
          <w:szCs w:val="24"/>
        </w:rPr>
        <w:t xml:space="preserve">B. subtilis </w:t>
      </w:r>
      <w:r>
        <w:rPr>
          <w:rFonts w:ascii="Times New Roman" w:hAnsi="Times New Roman" w:cs="Times New Roman"/>
          <w:color w:val="000000" w:themeColor="text1"/>
          <w:sz w:val="24"/>
          <w:szCs w:val="24"/>
        </w:rPr>
        <w:t xml:space="preserve">extracted cells labelled similarly with WGA and BODIPY SSE, and cell cylinders, poles and septa could be easily distinguished. </w:t>
      </w:r>
      <w:proofErr w:type="gramStart"/>
      <w:r>
        <w:rPr>
          <w:rFonts w:ascii="Times New Roman" w:hAnsi="Times New Roman" w:cs="Times New Roman"/>
          <w:color w:val="000000" w:themeColor="text1"/>
          <w:sz w:val="24"/>
          <w:szCs w:val="24"/>
        </w:rPr>
        <w:t>However BODIPY SSE labelling revealed additional ring features, possibly nascent septa, which were absent from WGA labelled fields (Figure 4.12A, arrows).</w:t>
      </w:r>
      <w:proofErr w:type="gramEnd"/>
      <w:r>
        <w:rPr>
          <w:rFonts w:ascii="Times New Roman" w:hAnsi="Times New Roman" w:cs="Times New Roman"/>
          <w:color w:val="000000" w:themeColor="text1"/>
          <w:sz w:val="24"/>
          <w:szCs w:val="24"/>
        </w:rPr>
        <w:t xml:space="preserve"> WGA</w:t>
      </w:r>
      <w:r>
        <w:rPr>
          <w:rFonts w:ascii="Times New Roman" w:hAnsi="Times New Roman" w:cs="Times New Roman"/>
          <w:sz w:val="24"/>
          <w:szCs w:val="24"/>
        </w:rPr>
        <w:t xml:space="preserve"> mainly labelled uniformly in</w:t>
      </w:r>
    </w:p>
    <w:p w:rsidR="00AA5269" w:rsidRDefault="00AA5269" w:rsidP="00AA5269">
      <w:pPr>
        <w:spacing w:after="0" w:line="480" w:lineRule="auto"/>
        <w:rPr>
          <w:rFonts w:ascii="Times New Roman" w:hAnsi="Times New Roman" w:cs="Times New Roman"/>
          <w:sz w:val="24"/>
          <w:szCs w:val="24"/>
        </w:rPr>
        <w:sectPr w:rsidR="00AA5269">
          <w:type w:val="continuous"/>
          <w:pgSz w:w="11906" w:h="16838"/>
          <w:pgMar w:top="1440" w:right="1134" w:bottom="1440" w:left="2268" w:header="709" w:footer="709" w:gutter="0"/>
          <w:cols w:space="720"/>
        </w:sectPr>
      </w:pPr>
    </w:p>
    <w:p w:rsidR="00AA5269" w:rsidRDefault="00AA5269" w:rsidP="00AA5269">
      <w:pPr>
        <w:rPr>
          <w:rFonts w:ascii="Times New Roman" w:hAnsi="Times New Roman" w:cs="Times New Roman"/>
          <w:sz w:val="28"/>
          <w:szCs w:val="28"/>
        </w:rPr>
      </w:pPr>
      <w:r>
        <w:lastRenderedPageBreak/>
        <w:pict>
          <v:shape id="_x0000_s1056" type="#_x0000_t202" style="position:absolute;margin-left:2.4pt;margin-top:6pt;width:23.6pt;height:26.25pt;z-index:251693056;mso-width-relative:margin;mso-height-relative:margin;v-text-anchor:middle" filled="f" stroked="f">
            <v:textbox inset="0,0,0,0">
              <w:txbxContent>
                <w:p w:rsidR="00AA5269" w:rsidRDefault="00AA5269" w:rsidP="00AA5269">
                  <w:pPr>
                    <w:jc w:val="center"/>
                    <w:rPr>
                      <w:rFonts w:ascii="Times New Roman" w:hAnsi="Times New Roman" w:cs="Times New Roman"/>
                      <w:sz w:val="36"/>
                      <w:szCs w:val="36"/>
                    </w:rPr>
                  </w:pPr>
                  <w:r>
                    <w:rPr>
                      <w:rFonts w:ascii="Times New Roman" w:hAnsi="Times New Roman" w:cs="Times New Roman"/>
                      <w:sz w:val="36"/>
                      <w:szCs w:val="36"/>
                    </w:rPr>
                    <w:t>A</w:t>
                  </w:r>
                </w:p>
              </w:txbxContent>
            </v:textbox>
          </v:shape>
        </w:pict>
      </w:r>
    </w:p>
    <w:p w:rsidR="00AA5269" w:rsidRDefault="00AA5269" w:rsidP="00AA5269">
      <w:pPr>
        <w:rPr>
          <w:rFonts w:ascii="Times New Roman" w:hAnsi="Times New Roman" w:cs="Times New Roman"/>
          <w:sz w:val="28"/>
          <w:szCs w:val="28"/>
        </w:rPr>
      </w:pPr>
      <w:r>
        <w:pict>
          <v:shape id="_x0000_s1057" type="#_x0000_t202" style="position:absolute;margin-left:2.4pt;margin-top:128.25pt;width:23.6pt;height:26.25pt;z-index:251694080;mso-width-relative:margin;mso-height-relative:margin;v-text-anchor:middle" filled="f" stroked="f">
            <v:textbox style="mso-next-textbox:#_x0000_s1057" inset="0,0,0,0">
              <w:txbxContent>
                <w:p w:rsidR="00AA5269" w:rsidRDefault="00AA5269" w:rsidP="00AA5269">
                  <w:pPr>
                    <w:jc w:val="center"/>
                    <w:rPr>
                      <w:rFonts w:ascii="Times New Roman" w:hAnsi="Times New Roman" w:cs="Times New Roman"/>
                      <w:sz w:val="36"/>
                      <w:szCs w:val="36"/>
                    </w:rPr>
                  </w:pPr>
                  <w:r>
                    <w:rPr>
                      <w:rFonts w:ascii="Times New Roman" w:hAnsi="Times New Roman" w:cs="Times New Roman"/>
                      <w:sz w:val="36"/>
                      <w:szCs w:val="36"/>
                    </w:rPr>
                    <w:t>B</w:t>
                  </w:r>
                </w:p>
              </w:txbxContent>
            </v:textbox>
          </v:shape>
        </w:pict>
      </w:r>
      <w:r>
        <w:rPr>
          <w:rFonts w:ascii="Times New Roman" w:hAnsi="Times New Roman" w:cs="Times New Roman"/>
          <w:noProof/>
          <w:sz w:val="28"/>
          <w:szCs w:val="28"/>
          <w:lang w:eastAsia="en-GB"/>
        </w:rPr>
        <w:drawing>
          <wp:inline distT="0" distB="0" distL="0" distR="0">
            <wp:extent cx="5272405" cy="3253740"/>
            <wp:effectExtent l="0" t="0" r="4445" b="0"/>
            <wp:docPr id="57" name="Picture 7" descr="Chemical probe structu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emical probe structures.png"/>
                    <pic:cNvPicPr>
                      <a:picLocks noChangeAspect="1" noChangeArrowheads="1"/>
                    </pic:cNvPicPr>
                  </pic:nvPicPr>
                  <pic:blipFill>
                    <a:blip r:embed="rId73" cstate="print"/>
                    <a:srcRect/>
                    <a:stretch>
                      <a:fillRect/>
                    </a:stretch>
                  </pic:blipFill>
                  <pic:spPr bwMode="auto">
                    <a:xfrm>
                      <a:off x="0" y="0"/>
                      <a:ext cx="5272405" cy="3253740"/>
                    </a:xfrm>
                    <a:prstGeom prst="rect">
                      <a:avLst/>
                    </a:prstGeom>
                    <a:noFill/>
                    <a:ln w="9525">
                      <a:noFill/>
                      <a:miter lim="800000"/>
                      <a:headEnd/>
                      <a:tailEnd/>
                    </a:ln>
                  </pic:spPr>
                </pic:pic>
              </a:graphicData>
            </a:graphic>
          </wp:inline>
        </w:drawing>
      </w:r>
    </w:p>
    <w:p w:rsidR="00AA5269" w:rsidRDefault="00AA5269" w:rsidP="00AA5269">
      <w:pPr>
        <w:rPr>
          <w:rFonts w:ascii="Times New Roman" w:hAnsi="Times New Roman" w:cs="Times New Roman"/>
          <w:sz w:val="28"/>
          <w:szCs w:val="28"/>
        </w:rPr>
      </w:pPr>
    </w:p>
    <w:p w:rsidR="00AA5269" w:rsidRDefault="00AA5269" w:rsidP="00AA5269">
      <w:pPr>
        <w:spacing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t>Figure 4.11.</w:t>
      </w:r>
      <w:proofErr w:type="gramEnd"/>
      <w:r>
        <w:rPr>
          <w:rFonts w:ascii="Times New Roman" w:hAnsi="Times New Roman" w:cs="Times New Roman"/>
          <w:b/>
          <w:sz w:val="24"/>
          <w:szCs w:val="24"/>
        </w:rPr>
        <w:t xml:space="preserve"> Structure of chemical probes selected for labelling peptidoglycan.</w:t>
      </w:r>
      <w:r>
        <w:rPr>
          <w:rFonts w:ascii="Times New Roman" w:hAnsi="Times New Roman" w:cs="Times New Roman"/>
          <w:sz w:val="24"/>
          <w:szCs w:val="24"/>
        </w:rPr>
        <w:t xml:space="preserve"> (A) BODIPY-FL C</w:t>
      </w:r>
      <w:r>
        <w:rPr>
          <w:rFonts w:ascii="Times New Roman" w:hAnsi="Times New Roman" w:cs="Times New Roman"/>
          <w:sz w:val="24"/>
          <w:szCs w:val="24"/>
          <w:vertAlign w:val="subscript"/>
        </w:rPr>
        <w:t>5</w:t>
      </w:r>
      <w:r>
        <w:rPr>
          <w:rFonts w:ascii="Times New Roman" w:hAnsi="Times New Roman" w:cs="Times New Roman"/>
          <w:sz w:val="24"/>
          <w:szCs w:val="24"/>
        </w:rPr>
        <w:t xml:space="preserve"> succinimidyl ester (BODIPY SSE) was selected to target amine groups on peptide stems. (B) AlexaFluor 488 C</w:t>
      </w:r>
      <w:r>
        <w:rPr>
          <w:rFonts w:ascii="Times New Roman" w:hAnsi="Times New Roman" w:cs="Times New Roman"/>
          <w:sz w:val="24"/>
          <w:szCs w:val="24"/>
          <w:vertAlign w:val="subscript"/>
        </w:rPr>
        <w:t>5</w:t>
      </w:r>
      <w:r>
        <w:rPr>
          <w:rFonts w:ascii="Times New Roman" w:hAnsi="Times New Roman" w:cs="Times New Roman"/>
          <w:sz w:val="24"/>
          <w:szCs w:val="24"/>
        </w:rPr>
        <w:t xml:space="preserve"> hydroxylamine (HAF488) was selected for targeting glycan chain reducing termini. Arrows indicate possible positions (C</w:t>
      </w:r>
      <w:r>
        <w:rPr>
          <w:rFonts w:ascii="Times New Roman" w:hAnsi="Times New Roman" w:cs="Times New Roman"/>
          <w:sz w:val="24"/>
          <w:szCs w:val="24"/>
          <w:vertAlign w:val="subscript"/>
        </w:rPr>
        <w:t>5</w:t>
      </w:r>
      <w:r>
        <w:rPr>
          <w:rFonts w:ascii="Times New Roman" w:hAnsi="Times New Roman" w:cs="Times New Roman"/>
          <w:sz w:val="24"/>
          <w:szCs w:val="24"/>
        </w:rPr>
        <w:t xml:space="preserve"> or C</w:t>
      </w:r>
      <w:r>
        <w:rPr>
          <w:rFonts w:ascii="Times New Roman" w:hAnsi="Times New Roman" w:cs="Times New Roman"/>
          <w:sz w:val="24"/>
          <w:szCs w:val="24"/>
          <w:vertAlign w:val="subscript"/>
        </w:rPr>
        <w:t>6</w:t>
      </w:r>
      <w:r>
        <w:rPr>
          <w:rFonts w:ascii="Times New Roman" w:hAnsi="Times New Roman" w:cs="Times New Roman"/>
          <w:sz w:val="24"/>
          <w:szCs w:val="24"/>
        </w:rPr>
        <w:t xml:space="preserve">) of the linkage moiety. </w:t>
      </w:r>
      <w:r>
        <w:rPr>
          <w:rFonts w:ascii="Times New Roman" w:hAnsi="Times New Roman" w:cs="Times New Roman"/>
          <w:b/>
          <w:sz w:val="24"/>
          <w:szCs w:val="24"/>
        </w:rPr>
        <w:br w:type="page"/>
      </w:r>
    </w:p>
    <w:p w:rsidR="00AA5269" w:rsidRDefault="00AA5269" w:rsidP="00AA5269">
      <w:pPr>
        <w:spacing w:line="480" w:lineRule="auto"/>
        <w:jc w:val="both"/>
        <w:rPr>
          <w:rFonts w:ascii="Times New Roman" w:hAnsi="Times New Roman" w:cs="Times New Roman"/>
          <w:color w:val="000000" w:themeColor="text1"/>
          <w:sz w:val="24"/>
          <w:szCs w:val="24"/>
        </w:rPr>
      </w:pPr>
      <w:proofErr w:type="gramStart"/>
      <w:r>
        <w:rPr>
          <w:rFonts w:ascii="Times New Roman" w:hAnsi="Times New Roman" w:cs="Times New Roman"/>
          <w:sz w:val="24"/>
          <w:szCs w:val="24"/>
        </w:rPr>
        <w:lastRenderedPageBreak/>
        <w:t>the</w:t>
      </w:r>
      <w:proofErr w:type="gramEnd"/>
      <w:r>
        <w:rPr>
          <w:rFonts w:ascii="Times New Roman" w:hAnsi="Times New Roman" w:cs="Times New Roman"/>
          <w:sz w:val="24"/>
          <w:szCs w:val="24"/>
        </w:rPr>
        <w:t xml:space="preserve"> majority of </w:t>
      </w:r>
      <w:r>
        <w:rPr>
          <w:rFonts w:ascii="Times New Roman" w:hAnsi="Times New Roman" w:cs="Times New Roman"/>
          <w:i/>
          <w:sz w:val="24"/>
          <w:szCs w:val="24"/>
        </w:rPr>
        <w:t xml:space="preserve">L. lactis </w:t>
      </w:r>
      <w:r>
        <w:rPr>
          <w:rFonts w:ascii="Times New Roman" w:hAnsi="Times New Roman" w:cs="Times New Roman"/>
          <w:sz w:val="24"/>
          <w:szCs w:val="24"/>
        </w:rPr>
        <w:t xml:space="preserve">cells, but in 38% of cells (n = 50) small patches with low </w:t>
      </w:r>
      <w:r>
        <w:rPr>
          <w:rFonts w:ascii="Times New Roman" w:hAnsi="Times New Roman" w:cs="Times New Roman"/>
          <w:color w:val="000000" w:themeColor="text1"/>
          <w:sz w:val="24"/>
          <w:szCs w:val="24"/>
        </w:rPr>
        <w:t>fluorescence were observed at the mid-cell or equatorial region of forming daughter cells, and at the poles (Figure 4.12B, arrows)</w:t>
      </w:r>
      <w:r>
        <w:rPr>
          <w:rFonts w:ascii="Times New Roman" w:hAnsi="Times New Roman" w:cs="Times New Roman"/>
          <w:i/>
          <w:color w:val="000000" w:themeColor="text1"/>
          <w:sz w:val="24"/>
          <w:szCs w:val="24"/>
        </w:rPr>
        <w:t xml:space="preserve">. </w:t>
      </w:r>
      <w:r>
        <w:rPr>
          <w:rFonts w:ascii="Times New Roman" w:hAnsi="Times New Roman" w:cs="Times New Roman"/>
          <w:color w:val="000000" w:themeColor="text1"/>
          <w:sz w:val="24"/>
          <w:szCs w:val="24"/>
        </w:rPr>
        <w:t xml:space="preserve">In an equal proportion of BODIPY SSE labelled </w:t>
      </w:r>
      <w:r>
        <w:rPr>
          <w:rFonts w:ascii="Times New Roman" w:hAnsi="Times New Roman" w:cs="Times New Roman"/>
          <w:i/>
          <w:color w:val="000000" w:themeColor="text1"/>
          <w:sz w:val="24"/>
          <w:szCs w:val="24"/>
        </w:rPr>
        <w:t xml:space="preserve">L. lactis </w:t>
      </w:r>
      <w:r>
        <w:rPr>
          <w:rFonts w:ascii="Times New Roman" w:hAnsi="Times New Roman" w:cs="Times New Roman"/>
          <w:color w:val="000000" w:themeColor="text1"/>
          <w:sz w:val="24"/>
          <w:szCs w:val="24"/>
        </w:rPr>
        <w:t xml:space="preserve">cells (38%, n = 50), labelling was much stronger at the cell poles than at the midcell. Ring features were occasionally observed at the equator of the forming daughter cells in the BODIPY SSE labelled </w:t>
      </w:r>
      <w:r>
        <w:rPr>
          <w:rFonts w:ascii="Times New Roman" w:hAnsi="Times New Roman" w:cs="Times New Roman"/>
          <w:i/>
          <w:color w:val="000000" w:themeColor="text1"/>
          <w:sz w:val="24"/>
          <w:szCs w:val="24"/>
        </w:rPr>
        <w:t>L. lactis</w:t>
      </w:r>
      <w:r>
        <w:rPr>
          <w:rFonts w:ascii="Times New Roman" w:hAnsi="Times New Roman" w:cs="Times New Roman"/>
          <w:color w:val="000000" w:themeColor="text1"/>
          <w:sz w:val="24"/>
          <w:szCs w:val="24"/>
        </w:rPr>
        <w:t xml:space="preserve">, but not in the WGA labelled fields (8% of cells, n = 50). Labelling of septal rings at the mid-cell tended to be stronger with WGA than with the BODIPY SSE probe. WGA labelling was stronger in 64% of cells with septal labelling (n = 25). </w:t>
      </w:r>
    </w:p>
    <w:p w:rsidR="00AA5269" w:rsidRDefault="00AA5269" w:rsidP="00AA5269">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WGA labelled </w:t>
      </w:r>
      <w:r>
        <w:rPr>
          <w:rFonts w:ascii="Times New Roman" w:hAnsi="Times New Roman" w:cs="Times New Roman"/>
          <w:i/>
          <w:color w:val="000000" w:themeColor="text1"/>
          <w:sz w:val="24"/>
          <w:szCs w:val="24"/>
        </w:rPr>
        <w:t xml:space="preserve">S. aureus </w:t>
      </w:r>
      <w:r>
        <w:rPr>
          <w:rFonts w:ascii="Times New Roman" w:hAnsi="Times New Roman" w:cs="Times New Roman"/>
          <w:color w:val="000000" w:themeColor="text1"/>
          <w:sz w:val="24"/>
          <w:szCs w:val="24"/>
        </w:rPr>
        <w:t xml:space="preserve">extracted cells gave the characteristic “C-shape” pattern observed previously, with poor labelling at nascent cell walls and septa (Figure 4.12C). By comparison, BODIPY SSE labelled throughout the cell walls, revealing both mature and nascent cell wall material. In addition, ring features of the peptidoglycan (presumably septa or piecrusts) were readily observed in BODIPY SSE labelled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but were absent from the WGA labelled cells.</w:t>
      </w:r>
    </w:p>
    <w:p w:rsidR="00AA5269" w:rsidRDefault="00AA5269" w:rsidP="00AA5269">
      <w:pPr>
        <w:spacing w:before="480" w:line="48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4.2.3.5</w:t>
      </w:r>
      <w:r>
        <w:rPr>
          <w:rFonts w:ascii="Times New Roman" w:hAnsi="Times New Roman" w:cs="Times New Roman"/>
          <w:color w:val="000000" w:themeColor="text1"/>
          <w:sz w:val="28"/>
          <w:szCs w:val="28"/>
        </w:rPr>
        <w:tab/>
        <w:t xml:space="preserve">Inhibition of BODIPY SSE binding to </w:t>
      </w:r>
      <w:r>
        <w:rPr>
          <w:rFonts w:ascii="Times New Roman" w:hAnsi="Times New Roman" w:cs="Times New Roman"/>
          <w:i/>
          <w:color w:val="000000" w:themeColor="text1"/>
          <w:sz w:val="28"/>
          <w:szCs w:val="28"/>
        </w:rPr>
        <w:t xml:space="preserve">B. subtilis </w:t>
      </w:r>
      <w:r>
        <w:rPr>
          <w:rFonts w:ascii="Times New Roman" w:hAnsi="Times New Roman" w:cs="Times New Roman"/>
          <w:color w:val="000000" w:themeColor="text1"/>
          <w:sz w:val="28"/>
          <w:szCs w:val="28"/>
        </w:rPr>
        <w:t>cell walls</w:t>
      </w:r>
    </w:p>
    <w:p w:rsidR="00AA5269" w:rsidRDefault="00AA5269" w:rsidP="00AA5269">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If the BODIPY SSE probe specifically binds to primary amines in the cell wall, it should be possible to block binding by prior reaction of the amine targets in the cell wall with a suitable antagonist. Non-specific binding by the probe would be unaffected. Acetylation of an amine with an acid anhydride results in the covalent substitution of a hydrogen on the amine group for an ethanoyl group which cannot be bound by SSE probes (Figure 4.13A). Extracted </w:t>
      </w:r>
      <w:r>
        <w:rPr>
          <w:rFonts w:ascii="Times New Roman" w:hAnsi="Times New Roman" w:cs="Times New Roman"/>
          <w:i/>
          <w:color w:val="000000" w:themeColor="text1"/>
          <w:sz w:val="24"/>
          <w:szCs w:val="24"/>
        </w:rPr>
        <w:t>B. subtilis</w:t>
      </w:r>
      <w:r>
        <w:rPr>
          <w:rFonts w:ascii="Times New Roman" w:hAnsi="Times New Roman" w:cs="Times New Roman"/>
          <w:color w:val="000000" w:themeColor="text1"/>
          <w:sz w:val="24"/>
          <w:szCs w:val="24"/>
        </w:rPr>
        <w:t xml:space="preserve"> cells were acetylated with 150 mM acetic anhydride (50 mM Sodium Borate buffer at pH 9.0) for 30 minutes. As acetic acid is formed during</w:t>
      </w:r>
      <w:r>
        <w:rPr>
          <w:rFonts w:ascii="Times New Roman" w:hAnsi="Times New Roman" w:cs="Times New Roman"/>
          <w:sz w:val="24"/>
          <w:szCs w:val="24"/>
        </w:rPr>
        <w:t xml:space="preserve"> the reaction, it was necessary to maintain the pH close</w:t>
      </w:r>
      <w:r>
        <w:rPr>
          <w:rFonts w:ascii="Times New Roman" w:hAnsi="Times New Roman" w:cs="Times New Roman"/>
          <w:color w:val="000000" w:themeColor="text1"/>
          <w:sz w:val="24"/>
          <w:szCs w:val="24"/>
        </w:rPr>
        <w:t xml:space="preserve"> </w:t>
      </w:r>
    </w:p>
    <w:p w:rsidR="00AA5269" w:rsidRDefault="00AA5269" w:rsidP="00AA5269">
      <w:pPr>
        <w:spacing w:after="0" w:line="480" w:lineRule="auto"/>
        <w:rPr>
          <w:rFonts w:ascii="Times New Roman" w:hAnsi="Times New Roman" w:cs="Times New Roman"/>
          <w:color w:val="000000" w:themeColor="text1"/>
          <w:sz w:val="24"/>
          <w:szCs w:val="24"/>
        </w:rPr>
        <w:sectPr w:rsidR="00AA5269">
          <w:type w:val="continuous"/>
          <w:pgSz w:w="11906" w:h="16838"/>
          <w:pgMar w:top="1440" w:right="1134" w:bottom="1440" w:left="2268" w:header="709" w:footer="709" w:gutter="0"/>
          <w:cols w:space="720"/>
        </w:sectPr>
      </w:pPr>
    </w:p>
    <w:p w:rsidR="00AA5269" w:rsidRDefault="00AA5269" w:rsidP="00AA5269">
      <w:pPr>
        <w:jc w:val="cente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2921635" cy="8858885"/>
            <wp:effectExtent l="0" t="0" r="0" b="0"/>
            <wp:docPr id="56" name="Picture 39" descr="Figure 4.14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igure 4.14A.tif"/>
                    <pic:cNvPicPr>
                      <a:picLocks noChangeAspect="1" noChangeArrowheads="1"/>
                    </pic:cNvPicPr>
                  </pic:nvPicPr>
                  <pic:blipFill>
                    <a:blip r:embed="rId74" cstate="print"/>
                    <a:srcRect/>
                    <a:stretch>
                      <a:fillRect/>
                    </a:stretch>
                  </pic:blipFill>
                  <pic:spPr bwMode="auto">
                    <a:xfrm>
                      <a:off x="0" y="0"/>
                      <a:ext cx="2921635" cy="885888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en-GB"/>
        </w:rPr>
        <w:lastRenderedPageBreak/>
        <w:drawing>
          <wp:inline distT="0" distB="0" distL="0" distR="0">
            <wp:extent cx="2945130" cy="8858885"/>
            <wp:effectExtent l="0" t="0" r="7620" b="0"/>
            <wp:docPr id="55" name="Picture 40" descr="Figure 4.14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igure 4.14B.tif"/>
                    <pic:cNvPicPr>
                      <a:picLocks noChangeAspect="1" noChangeArrowheads="1"/>
                    </pic:cNvPicPr>
                  </pic:nvPicPr>
                  <pic:blipFill>
                    <a:blip r:embed="rId75" cstate="print"/>
                    <a:srcRect/>
                    <a:stretch>
                      <a:fillRect/>
                    </a:stretch>
                  </pic:blipFill>
                  <pic:spPr bwMode="auto">
                    <a:xfrm>
                      <a:off x="0" y="0"/>
                      <a:ext cx="2945130" cy="885888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en-GB"/>
        </w:rPr>
        <w:lastRenderedPageBreak/>
        <w:drawing>
          <wp:inline distT="0" distB="0" distL="0" distR="0">
            <wp:extent cx="2921635" cy="8858885"/>
            <wp:effectExtent l="0" t="0" r="0" b="0"/>
            <wp:docPr id="54" name="Picture 41" descr="Figure 4.14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igure 4.14C.tif"/>
                    <pic:cNvPicPr>
                      <a:picLocks noChangeAspect="1" noChangeArrowheads="1"/>
                    </pic:cNvPicPr>
                  </pic:nvPicPr>
                  <pic:blipFill>
                    <a:blip r:embed="rId76" cstate="print"/>
                    <a:srcRect/>
                    <a:stretch>
                      <a:fillRect/>
                    </a:stretch>
                  </pic:blipFill>
                  <pic:spPr bwMode="auto">
                    <a:xfrm>
                      <a:off x="0" y="0"/>
                      <a:ext cx="2921635" cy="8858885"/>
                    </a:xfrm>
                    <a:prstGeom prst="rect">
                      <a:avLst/>
                    </a:prstGeom>
                    <a:noFill/>
                    <a:ln w="9525">
                      <a:noFill/>
                      <a:miter lim="800000"/>
                      <a:headEnd/>
                      <a:tailEnd/>
                    </a:ln>
                  </pic:spPr>
                </pic:pic>
              </a:graphicData>
            </a:graphic>
          </wp:inline>
        </w:drawing>
      </w:r>
    </w:p>
    <w:p w:rsidR="00AA5269" w:rsidRDefault="00AA5269" w:rsidP="00AA5269">
      <w:pPr>
        <w:spacing w:after="120" w:line="360" w:lineRule="auto"/>
        <w:jc w:val="both"/>
        <w:rPr>
          <w:rFonts w:ascii="Times New Roman" w:hAnsi="Times New Roman" w:cs="Times New Roman"/>
          <w:sz w:val="24"/>
          <w:szCs w:val="24"/>
        </w:rPr>
      </w:pPr>
      <w:proofErr w:type="gramStart"/>
      <w:r>
        <w:rPr>
          <w:rFonts w:ascii="Times New Roman" w:hAnsi="Times New Roman" w:cs="Times New Roman"/>
          <w:b/>
          <w:sz w:val="24"/>
          <w:szCs w:val="24"/>
        </w:rPr>
        <w:lastRenderedPageBreak/>
        <w:t>Figure 4.12.</w:t>
      </w:r>
      <w:proofErr w:type="gramEnd"/>
      <w:r>
        <w:rPr>
          <w:rFonts w:ascii="Times New Roman" w:hAnsi="Times New Roman" w:cs="Times New Roman"/>
          <w:b/>
          <w:sz w:val="24"/>
          <w:szCs w:val="24"/>
        </w:rPr>
        <w:t xml:space="preserve"> </w:t>
      </w:r>
      <w:proofErr w:type="gramStart"/>
      <w:r>
        <w:rPr>
          <w:rFonts w:ascii="Times New Roman" w:hAnsi="Times New Roman" w:cs="Times New Roman"/>
          <w:b/>
          <w:sz w:val="24"/>
          <w:szCs w:val="24"/>
        </w:rPr>
        <w:t>Differential labelling with WGA AlexaFluor 350 and BODIPY SSE in morphologically diverse Gram-positive bacteria.</w:t>
      </w:r>
      <w:proofErr w:type="gramEnd"/>
      <w:r>
        <w:rPr>
          <w:rFonts w:ascii="Times New Roman" w:hAnsi="Times New Roman" w:cs="Times New Roman"/>
          <w:b/>
          <w:sz w:val="24"/>
          <w:szCs w:val="24"/>
        </w:rPr>
        <w:t xml:space="preserve"> </w:t>
      </w:r>
      <w:r>
        <w:rPr>
          <w:rFonts w:ascii="Times New Roman" w:hAnsi="Times New Roman" w:cs="Times New Roman"/>
          <w:i/>
          <w:sz w:val="24"/>
          <w:szCs w:val="24"/>
        </w:rPr>
        <w:t>B. subtilis</w:t>
      </w:r>
      <w:r>
        <w:rPr>
          <w:rFonts w:ascii="Times New Roman" w:hAnsi="Times New Roman" w:cs="Times New Roman"/>
          <w:sz w:val="24"/>
          <w:szCs w:val="24"/>
        </w:rPr>
        <w:t xml:space="preserve"> (A), </w:t>
      </w:r>
      <w:r>
        <w:rPr>
          <w:rFonts w:ascii="Times New Roman" w:hAnsi="Times New Roman" w:cs="Times New Roman"/>
          <w:i/>
          <w:sz w:val="24"/>
          <w:szCs w:val="24"/>
        </w:rPr>
        <w:t xml:space="preserve">L .lactis </w:t>
      </w:r>
      <w:r>
        <w:rPr>
          <w:rFonts w:ascii="Times New Roman" w:hAnsi="Times New Roman" w:cs="Times New Roman"/>
          <w:sz w:val="24"/>
          <w:szCs w:val="24"/>
        </w:rPr>
        <w:t xml:space="preserve">(B) and </w:t>
      </w:r>
      <w:r>
        <w:rPr>
          <w:rFonts w:ascii="Times New Roman" w:hAnsi="Times New Roman" w:cs="Times New Roman"/>
          <w:i/>
          <w:sz w:val="24"/>
          <w:szCs w:val="24"/>
        </w:rPr>
        <w:t>S. aureus</w:t>
      </w:r>
      <w:r>
        <w:rPr>
          <w:rFonts w:ascii="Times New Roman" w:hAnsi="Times New Roman" w:cs="Times New Roman"/>
          <w:sz w:val="24"/>
          <w:szCs w:val="24"/>
        </w:rPr>
        <w:t xml:space="preserve"> (C)</w:t>
      </w:r>
      <w:r>
        <w:rPr>
          <w:rFonts w:ascii="Times New Roman" w:hAnsi="Times New Roman" w:cs="Times New Roman"/>
          <w:i/>
          <w:sz w:val="24"/>
          <w:szCs w:val="24"/>
        </w:rPr>
        <w:t xml:space="preserve"> </w:t>
      </w:r>
      <w:r>
        <w:rPr>
          <w:rFonts w:ascii="Times New Roman" w:hAnsi="Times New Roman" w:cs="Times New Roman"/>
          <w:sz w:val="24"/>
          <w:szCs w:val="24"/>
        </w:rPr>
        <w:t xml:space="preserve">cells were extracted with SDS and pronase treatment to remove non-covalently bound wall polymers and proteins. Extracted cells were labelled with WGA AlexaFluor 350 (WGA) and BODIPY SSE (SE). Whilst cell walls label non-uniformly with WGA, cell walls label throughout with BODIPY SSE, and putative peptidoglycan features such as septa can be observed. White arrows: (A) </w:t>
      </w:r>
      <w:r>
        <w:rPr>
          <w:rFonts w:ascii="Times New Roman" w:hAnsi="Times New Roman" w:cs="Times New Roman"/>
          <w:i/>
          <w:sz w:val="24"/>
          <w:szCs w:val="24"/>
        </w:rPr>
        <w:t>B. subtilis</w:t>
      </w:r>
      <w:r>
        <w:rPr>
          <w:rFonts w:ascii="Times New Roman" w:hAnsi="Times New Roman" w:cs="Times New Roman"/>
          <w:sz w:val="24"/>
          <w:szCs w:val="24"/>
        </w:rPr>
        <w:t xml:space="preserve">, nascent septa revealed by BODIPY SSE labelling; (B) </w:t>
      </w:r>
      <w:r>
        <w:rPr>
          <w:rFonts w:ascii="Times New Roman" w:hAnsi="Times New Roman" w:cs="Times New Roman"/>
          <w:i/>
          <w:sz w:val="24"/>
          <w:szCs w:val="24"/>
        </w:rPr>
        <w:t>L. lactis</w:t>
      </w:r>
      <w:r>
        <w:rPr>
          <w:rFonts w:ascii="Times New Roman" w:hAnsi="Times New Roman" w:cs="Times New Roman"/>
          <w:sz w:val="24"/>
          <w:szCs w:val="24"/>
        </w:rPr>
        <w:t xml:space="preserve">, patches of reduced WGA binding. </w:t>
      </w:r>
    </w:p>
    <w:p w:rsidR="00AA5269" w:rsidRDefault="00AA5269" w:rsidP="00AA5269">
      <w:pPr>
        <w:rPr>
          <w:sz w:val="24"/>
          <w:szCs w:val="24"/>
        </w:rPr>
      </w:pPr>
      <w:r>
        <w:rPr>
          <w:sz w:val="24"/>
          <w:szCs w:val="24"/>
        </w:rPr>
        <w:br w:type="page"/>
      </w:r>
    </w:p>
    <w:p w:rsidR="00AA5269" w:rsidRDefault="00AA5269" w:rsidP="00AA5269">
      <w:pPr>
        <w:spacing w:line="480" w:lineRule="auto"/>
        <w:jc w:val="both"/>
        <w:rPr>
          <w:rFonts w:ascii="Times New Roman" w:hAnsi="Times New Roman" w:cs="Times New Roman"/>
          <w:color w:val="000000" w:themeColor="text1"/>
          <w:sz w:val="24"/>
          <w:szCs w:val="24"/>
        </w:rPr>
      </w:pPr>
      <w:proofErr w:type="gramStart"/>
      <w:r>
        <w:rPr>
          <w:rFonts w:ascii="Times New Roman" w:hAnsi="Times New Roman" w:cs="Times New Roman"/>
          <w:sz w:val="24"/>
          <w:szCs w:val="24"/>
        </w:rPr>
        <w:lastRenderedPageBreak/>
        <w:t>to</w:t>
      </w:r>
      <w:proofErr w:type="gramEnd"/>
      <w:r>
        <w:rPr>
          <w:rFonts w:ascii="Times New Roman" w:hAnsi="Times New Roman" w:cs="Times New Roman"/>
          <w:sz w:val="24"/>
          <w:szCs w:val="24"/>
        </w:rPr>
        <w:t xml:space="preserve"> 9.0 by addition of 5M NaOH as necessary. Extracted cells were then washed by centrifugation, resuspended in 0.1M </w:t>
      </w:r>
      <w:r>
        <w:rPr>
          <w:rFonts w:ascii="Times New Roman" w:hAnsi="Times New Roman" w:cs="Times New Roman"/>
          <w:color w:val="000000" w:themeColor="text1"/>
          <w:sz w:val="24"/>
          <w:szCs w:val="24"/>
        </w:rPr>
        <w:t>Sodium Carbonate buffer pH 8.3 and labelled with BODIPY SSE as before.</w:t>
      </w:r>
    </w:p>
    <w:p w:rsidR="00AA5269" w:rsidRDefault="00AA5269" w:rsidP="00AA5269">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Non-acetylated </w:t>
      </w:r>
      <w:r>
        <w:rPr>
          <w:rFonts w:ascii="Times New Roman" w:hAnsi="Times New Roman" w:cs="Times New Roman"/>
          <w:i/>
          <w:color w:val="000000" w:themeColor="text1"/>
          <w:sz w:val="24"/>
          <w:szCs w:val="24"/>
        </w:rPr>
        <w:t xml:space="preserve">B. subtilis </w:t>
      </w:r>
      <w:r>
        <w:rPr>
          <w:rFonts w:ascii="Times New Roman" w:hAnsi="Times New Roman" w:cs="Times New Roman"/>
          <w:color w:val="000000" w:themeColor="text1"/>
          <w:sz w:val="24"/>
          <w:szCs w:val="24"/>
        </w:rPr>
        <w:t xml:space="preserve">extracted cells labelled strongly with BODIPY SSE along the cylinder wall, poles and at apparent septa (Figure 4.13B). By contrast, when extracted cells were acetylated with acetic anhydride then incubated with BODIPY SSE, no labelling was evident across any part of the cell wall (Figure 4.13B). In these acetylated cells, intracellular fluorescence was observed only. The source of the observed intracellular fluorescence is unknown, but may result from non-specific interaction of the probe with intracellular material, or due to autofluorescence of the condensed cytoplasmic content trapped within the cell. </w:t>
      </w:r>
    </w:p>
    <w:p w:rsidR="00AA5269" w:rsidRDefault="00AA5269" w:rsidP="00AA5269">
      <w:pPr>
        <w:spacing w:line="480" w:lineRule="auto"/>
        <w:jc w:val="both"/>
        <w:rPr>
          <w:rFonts w:ascii="Times New Roman" w:hAnsi="Times New Roman" w:cs="Times New Roman"/>
          <w:color w:val="000000" w:themeColor="text1"/>
          <w:sz w:val="28"/>
          <w:szCs w:val="28"/>
        </w:rPr>
      </w:pPr>
    </w:p>
    <w:p w:rsidR="00AA5269" w:rsidRDefault="00AA5269" w:rsidP="00AA5269">
      <w:pPr>
        <w:spacing w:line="48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4.2.3.6</w:t>
      </w:r>
      <w:r>
        <w:rPr>
          <w:rFonts w:ascii="Times New Roman" w:hAnsi="Times New Roman" w:cs="Times New Roman"/>
          <w:color w:val="000000" w:themeColor="text1"/>
          <w:sz w:val="28"/>
          <w:szCs w:val="28"/>
        </w:rPr>
        <w:tab/>
        <w:t>BODIPY SSE labelling of hydrolysed peptidoglycan</w:t>
      </w:r>
    </w:p>
    <w:p w:rsidR="00AA5269" w:rsidRDefault="00AA5269" w:rsidP="00AA5269">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Putative binding of the BODIPY SSE probe to peptide stems was blocked by acetylation of cell walls with acetic anhydride. Digestion of acetylated cell walls with an amidase should expose the amine group of the L-Ala residue of the peptide stems, which can be uniquely bound by the BODIPY SSE probe.</w:t>
      </w:r>
    </w:p>
    <w:p w:rsidR="00AA5269" w:rsidRDefault="00AA5269" w:rsidP="00AA5269">
      <w:pPr>
        <w:spacing w:line="480" w:lineRule="auto"/>
        <w:jc w:val="both"/>
        <w:rPr>
          <w:rFonts w:ascii="Times New Roman" w:hAnsi="Times New Roman" w:cs="Times New Roman"/>
          <w:sz w:val="24"/>
          <w:szCs w:val="24"/>
        </w:rPr>
      </w:pPr>
      <w:r>
        <w:rPr>
          <w:rFonts w:ascii="Times New Roman" w:hAnsi="Times New Roman" w:cs="Times New Roman"/>
          <w:i/>
          <w:color w:val="000000" w:themeColor="text1"/>
          <w:sz w:val="24"/>
          <w:szCs w:val="24"/>
        </w:rPr>
        <w:t xml:space="preserve">B. subtilis </w:t>
      </w:r>
      <w:r>
        <w:rPr>
          <w:rFonts w:ascii="Times New Roman" w:hAnsi="Times New Roman" w:cs="Times New Roman"/>
          <w:color w:val="000000" w:themeColor="text1"/>
          <w:sz w:val="24"/>
          <w:szCs w:val="24"/>
        </w:rPr>
        <w:t>extracted cells were acetylated as described previously, washed with water by centrifugation, then 5 µl of an appropriate dilution dried onto a glass slide. The slide was then overlaid with 300 µl of 10 mM Tris-HCl, (pH 7.5) containing 0.1 mM CaCl</w:t>
      </w:r>
      <w:r>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 xml:space="preserve"> and 100 µg ml</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w:t>
      </w:r>
      <w:r>
        <w:rPr>
          <w:rFonts w:ascii="Times New Roman" w:hAnsi="Times New Roman" w:cs="Times New Roman"/>
          <w:i/>
          <w:color w:val="000000" w:themeColor="text1"/>
          <w:sz w:val="24"/>
          <w:szCs w:val="24"/>
        </w:rPr>
        <w:t xml:space="preserve">S. aureus </w:t>
      </w:r>
      <w:r>
        <w:rPr>
          <w:rFonts w:ascii="Times New Roman" w:hAnsi="Times New Roman" w:cs="Times New Roman"/>
          <w:color w:val="000000" w:themeColor="text1"/>
          <w:sz w:val="24"/>
          <w:szCs w:val="24"/>
        </w:rPr>
        <w:t>Atl amidase, or PBS</w:t>
      </w:r>
      <w:r>
        <w:rPr>
          <w:rFonts w:ascii="Times New Roman" w:hAnsi="Times New Roman" w:cs="Times New Roman"/>
          <w:sz w:val="24"/>
          <w:szCs w:val="24"/>
        </w:rPr>
        <w:t xml:space="preserve"> containing 100 µg ml</w:t>
      </w:r>
      <w:r>
        <w:rPr>
          <w:rFonts w:ascii="Times New Roman" w:hAnsi="Times New Roman" w:cs="Times New Roman"/>
          <w:sz w:val="24"/>
          <w:szCs w:val="24"/>
          <w:vertAlign w:val="superscript"/>
        </w:rPr>
        <w:t>-1</w:t>
      </w:r>
      <w:r>
        <w:rPr>
          <w:rFonts w:ascii="Times New Roman" w:hAnsi="Times New Roman" w:cs="Times New Roman"/>
          <w:sz w:val="24"/>
          <w:szCs w:val="24"/>
        </w:rPr>
        <w:t xml:space="preserve"> lysozyme and incubated at 37 °C. Five slides were prepared for each condition. At 15 minute intervals (from 0 to 60 minutes), one slide was selected and the buffer/enzyme solution </w:t>
      </w:r>
    </w:p>
    <w:p w:rsidR="00AA5269" w:rsidRDefault="00AA5269" w:rsidP="00AA5269">
      <w:pPr>
        <w:spacing w:after="0" w:line="480" w:lineRule="auto"/>
        <w:rPr>
          <w:rFonts w:ascii="Times New Roman" w:hAnsi="Times New Roman" w:cs="Times New Roman"/>
          <w:sz w:val="24"/>
          <w:szCs w:val="24"/>
        </w:rPr>
        <w:sectPr w:rsidR="00AA5269">
          <w:type w:val="continuous"/>
          <w:pgSz w:w="11906" w:h="16838"/>
          <w:pgMar w:top="1440" w:right="1134" w:bottom="1440" w:left="2268" w:header="709" w:footer="709" w:gutter="0"/>
          <w:cols w:space="720"/>
        </w:sectPr>
      </w:pPr>
    </w:p>
    <w:p w:rsidR="00AA5269" w:rsidRDefault="00AA5269" w:rsidP="00AA5269">
      <w:pPr>
        <w:spacing w:after="120" w:line="360" w:lineRule="auto"/>
        <w:rPr>
          <w:sz w:val="24"/>
          <w:szCs w:val="24"/>
        </w:rPr>
      </w:pPr>
      <w:r>
        <w:rPr>
          <w:noProof/>
          <w:sz w:val="24"/>
          <w:szCs w:val="24"/>
          <w:lang w:eastAsia="en-GB"/>
        </w:rPr>
        <w:lastRenderedPageBreak/>
        <w:drawing>
          <wp:inline distT="0" distB="0" distL="0" distR="0">
            <wp:extent cx="5272405" cy="6567170"/>
            <wp:effectExtent l="19050" t="0" r="4445" b="0"/>
            <wp:docPr id="53" name="Picture 15" descr="Acetic anhydri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cetic anhydride.png"/>
                    <pic:cNvPicPr>
                      <a:picLocks noChangeAspect="1" noChangeArrowheads="1"/>
                    </pic:cNvPicPr>
                  </pic:nvPicPr>
                  <pic:blipFill>
                    <a:blip r:embed="rId77" cstate="print"/>
                    <a:srcRect l="2219" r="3629"/>
                    <a:stretch>
                      <a:fillRect/>
                    </a:stretch>
                  </pic:blipFill>
                  <pic:spPr bwMode="auto">
                    <a:xfrm>
                      <a:off x="0" y="0"/>
                      <a:ext cx="5272405" cy="6567170"/>
                    </a:xfrm>
                    <a:prstGeom prst="rect">
                      <a:avLst/>
                    </a:prstGeom>
                    <a:noFill/>
                    <a:ln w="9525">
                      <a:noFill/>
                      <a:miter lim="800000"/>
                      <a:headEnd/>
                      <a:tailEnd/>
                    </a:ln>
                  </pic:spPr>
                </pic:pic>
              </a:graphicData>
            </a:graphic>
          </wp:inline>
        </w:drawing>
      </w:r>
    </w:p>
    <w:p w:rsidR="00AA5269" w:rsidRDefault="00AA5269" w:rsidP="00AA5269">
      <w:pPr>
        <w:spacing w:after="120" w:line="360" w:lineRule="auto"/>
        <w:jc w:val="both"/>
        <w:rPr>
          <w:rFonts w:ascii="Times New Roman" w:hAnsi="Times New Roman" w:cs="Times New Roman"/>
          <w:sz w:val="24"/>
          <w:szCs w:val="24"/>
        </w:rPr>
      </w:pPr>
      <w:r>
        <w:rPr>
          <w:rFonts w:ascii="Times New Roman" w:hAnsi="Times New Roman" w:cs="Times New Roman"/>
          <w:b/>
          <w:sz w:val="24"/>
          <w:szCs w:val="24"/>
        </w:rPr>
        <w:t xml:space="preserve">Figure 4.13 Treatment with acetic anhydride to block succinimidyl ester binding sites. </w:t>
      </w:r>
      <w:r>
        <w:rPr>
          <w:rFonts w:ascii="Times New Roman" w:hAnsi="Times New Roman" w:cs="Times New Roman"/>
          <w:sz w:val="24"/>
          <w:szCs w:val="24"/>
        </w:rPr>
        <w:t xml:space="preserve">(A) Reaction of acetic anhydride with an amine. (B) Binding of BODIPY SSE to extracted </w:t>
      </w:r>
      <w:r>
        <w:rPr>
          <w:rFonts w:ascii="Times New Roman" w:hAnsi="Times New Roman" w:cs="Times New Roman"/>
          <w:i/>
          <w:sz w:val="24"/>
          <w:szCs w:val="24"/>
        </w:rPr>
        <w:t xml:space="preserve">B. subtilis </w:t>
      </w:r>
      <w:r>
        <w:rPr>
          <w:rFonts w:ascii="Times New Roman" w:hAnsi="Times New Roman" w:cs="Times New Roman"/>
          <w:sz w:val="24"/>
          <w:szCs w:val="24"/>
        </w:rPr>
        <w:t>cells (untreated) and following overnight incubation with acetic anhydride to block the available amine groups (blocked).</w:t>
      </w:r>
    </w:p>
    <w:p w:rsidR="00AA5269" w:rsidRDefault="00AA5269" w:rsidP="00AA5269">
      <w:pPr>
        <w:rPr>
          <w:rFonts w:ascii="Times New Roman" w:hAnsi="Times New Roman" w:cs="Times New Roman"/>
          <w:sz w:val="24"/>
          <w:szCs w:val="24"/>
        </w:rPr>
      </w:pPr>
      <w:r>
        <w:rPr>
          <w:rFonts w:ascii="Times New Roman" w:hAnsi="Times New Roman" w:cs="Times New Roman"/>
          <w:sz w:val="24"/>
          <w:szCs w:val="24"/>
        </w:rPr>
        <w:br w:type="page"/>
      </w:r>
    </w:p>
    <w:p w:rsidR="00AA5269" w:rsidRDefault="00AA5269" w:rsidP="00AA5269">
      <w:pPr>
        <w:spacing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removed</w:t>
      </w:r>
      <w:proofErr w:type="gramEnd"/>
      <w:r>
        <w:rPr>
          <w:rFonts w:ascii="Times New Roman" w:hAnsi="Times New Roman" w:cs="Times New Roman"/>
          <w:sz w:val="24"/>
          <w:szCs w:val="24"/>
        </w:rPr>
        <w:t xml:space="preserve"> by washing three times with water. The slide was incubated at 60 °C for 30 </w:t>
      </w:r>
      <w:r>
        <w:rPr>
          <w:rFonts w:ascii="Times New Roman" w:hAnsi="Times New Roman" w:cs="Times New Roman"/>
          <w:color w:val="000000" w:themeColor="text1"/>
          <w:sz w:val="24"/>
          <w:szCs w:val="24"/>
        </w:rPr>
        <w:t>minutes to further inactivate remaining peptidoglycan hydrolase. The slide was then washed a further three times with water, overlaid with 0.1M Sodium Carbonate buffer (pH 8.3) containing 100 µg ml</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BODIPY SSE, and incubated for 30 min. Excess buffer and probe was removed and the slide washed five times with water. The 0, 30 and 60 min time-points are presented in Figure 4.14. A control of extracted cells labelled with BODIPY SSE showed strong labelling of the cell wall (Figure 4.14A). Exposure settings were determined using this slide and were not altered throughout the microscopy session to improve the comparability of the fluorescence signal across multiple slides. As expected, a negative control of acetylated cells showed only intracellular fluorescence, with no binding at the cell wall by BODIPY SSE (Figure 4.14A). When </w:t>
      </w:r>
      <w:r>
        <w:rPr>
          <w:rFonts w:ascii="Times New Roman" w:hAnsi="Times New Roman" w:cs="Times New Roman"/>
          <w:i/>
          <w:color w:val="000000" w:themeColor="text1"/>
          <w:sz w:val="24"/>
          <w:szCs w:val="24"/>
        </w:rPr>
        <w:t xml:space="preserve">B. subtilis </w:t>
      </w:r>
      <w:r>
        <w:rPr>
          <w:rFonts w:ascii="Times New Roman" w:hAnsi="Times New Roman" w:cs="Times New Roman"/>
          <w:color w:val="000000" w:themeColor="text1"/>
          <w:sz w:val="24"/>
          <w:szCs w:val="24"/>
        </w:rPr>
        <w:t>cell walls were incubated with amidase, bright labelling was observed at apparent septa (Figure 4.14B, white arrows), but not at the cylinder wall or poles. The strongest labelling occurred immediately following exposure to amidase (Figure 4.14B, t=0) and diminished over the course of an hour (Figure 4.14B, t=60). Intracellular fluorescence was unaffected. As expected, cell walls incubated with lysozyme instead of amidase showed no labelling of the cell wall, since hydrolysis of a glycosidic bond does not expose an amine group (Figure 4.14C). There was no obvious lysis of extracted cells by brightfield microscopy. It is possible that highly lysed cells were removed from the slide during wash steps (Figure 4.14). Consistent with this hypothesis, the number of cells on the slide appeared to decrease qualitatively over time, suggesting that the cell walls were undergoing hydrolysis.</w:t>
      </w:r>
    </w:p>
    <w:p w:rsidR="00AA5269" w:rsidRDefault="00AA5269" w:rsidP="00AA5269">
      <w:pP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4643120" cy="5747385"/>
            <wp:effectExtent l="0" t="0" r="5080" b="0"/>
            <wp:docPr id="52" name="Picture 9" descr="Figure 4.16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ure 4.16A.tif"/>
                    <pic:cNvPicPr>
                      <a:picLocks noChangeAspect="1" noChangeArrowheads="1"/>
                    </pic:cNvPicPr>
                  </pic:nvPicPr>
                  <pic:blipFill>
                    <a:blip r:embed="rId78" cstate="print"/>
                    <a:srcRect/>
                    <a:stretch>
                      <a:fillRect/>
                    </a:stretch>
                  </pic:blipFill>
                  <pic:spPr bwMode="auto">
                    <a:xfrm>
                      <a:off x="0" y="0"/>
                      <a:ext cx="4643120" cy="5747385"/>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en-GB"/>
        </w:rPr>
        <w:lastRenderedPageBreak/>
        <w:drawing>
          <wp:inline distT="0" distB="0" distL="0" distR="0">
            <wp:extent cx="5272405" cy="7529195"/>
            <wp:effectExtent l="0" t="0" r="4445" b="0"/>
            <wp:docPr id="51" name="Picture 1" descr="Figure 4.14.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4.14.emf"/>
                    <pic:cNvPicPr>
                      <a:picLocks noChangeAspect="1" noChangeArrowheads="1"/>
                    </pic:cNvPicPr>
                  </pic:nvPicPr>
                  <pic:blipFill>
                    <a:blip r:embed="rId79" cstate="print"/>
                    <a:srcRect/>
                    <a:stretch>
                      <a:fillRect/>
                    </a:stretch>
                  </pic:blipFill>
                  <pic:spPr bwMode="auto">
                    <a:xfrm>
                      <a:off x="0" y="0"/>
                      <a:ext cx="5272405" cy="7529195"/>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en-GB"/>
        </w:rPr>
        <w:lastRenderedPageBreak/>
        <w:drawing>
          <wp:inline distT="0" distB="0" distL="0" distR="0">
            <wp:extent cx="5236845" cy="7517130"/>
            <wp:effectExtent l="0" t="0" r="1905" b="0"/>
            <wp:docPr id="49" name="Picture 16" descr="Figure 4.16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gure 4.16C.tif"/>
                    <pic:cNvPicPr>
                      <a:picLocks noChangeAspect="1" noChangeArrowheads="1"/>
                    </pic:cNvPicPr>
                  </pic:nvPicPr>
                  <pic:blipFill>
                    <a:blip r:embed="rId80" cstate="print"/>
                    <a:srcRect/>
                    <a:stretch>
                      <a:fillRect/>
                    </a:stretch>
                  </pic:blipFill>
                  <pic:spPr bwMode="auto">
                    <a:xfrm>
                      <a:off x="0" y="0"/>
                      <a:ext cx="5236845" cy="7517130"/>
                    </a:xfrm>
                    <a:prstGeom prst="rect">
                      <a:avLst/>
                    </a:prstGeom>
                    <a:noFill/>
                    <a:ln w="9525">
                      <a:noFill/>
                      <a:miter lim="800000"/>
                      <a:headEnd/>
                      <a:tailEnd/>
                    </a:ln>
                  </pic:spPr>
                </pic:pic>
              </a:graphicData>
            </a:graphic>
          </wp:inline>
        </w:drawing>
      </w:r>
    </w:p>
    <w:p w:rsidR="00AA5269" w:rsidRDefault="00AA5269" w:rsidP="00AA5269">
      <w:pPr>
        <w:rPr>
          <w:rFonts w:ascii="Times New Roman" w:hAnsi="Times New Roman" w:cs="Times New Roman"/>
          <w:sz w:val="24"/>
          <w:szCs w:val="24"/>
        </w:rPr>
      </w:pPr>
      <w:r>
        <w:rPr>
          <w:rFonts w:ascii="Times New Roman" w:hAnsi="Times New Roman" w:cs="Times New Roman"/>
          <w:sz w:val="24"/>
          <w:szCs w:val="24"/>
        </w:rPr>
        <w:br w:type="page"/>
      </w:r>
    </w:p>
    <w:p w:rsidR="00AA5269" w:rsidRDefault="00AA5269" w:rsidP="00AA5269">
      <w:pPr>
        <w:spacing w:line="360" w:lineRule="auto"/>
        <w:jc w:val="both"/>
        <w:rPr>
          <w:rFonts w:ascii="Times New Roman" w:hAnsi="Times New Roman" w:cs="Times New Roman"/>
          <w:sz w:val="24"/>
          <w:szCs w:val="24"/>
        </w:rPr>
      </w:pPr>
      <w:proofErr w:type="gramStart"/>
      <w:r>
        <w:rPr>
          <w:rFonts w:ascii="Times New Roman" w:hAnsi="Times New Roman" w:cs="Times New Roman"/>
          <w:b/>
          <w:sz w:val="24"/>
          <w:szCs w:val="24"/>
        </w:rPr>
        <w:lastRenderedPageBreak/>
        <w:t>Figure 4.14.</w:t>
      </w:r>
      <w:proofErr w:type="gramEnd"/>
      <w:r>
        <w:rPr>
          <w:rFonts w:ascii="Times New Roman" w:hAnsi="Times New Roman" w:cs="Times New Roman"/>
          <w:b/>
          <w:sz w:val="24"/>
          <w:szCs w:val="24"/>
        </w:rPr>
        <w:t xml:space="preserve"> BODIPY SSE labelling of amine groups exposed by amidase digest. </w:t>
      </w:r>
      <w:r>
        <w:rPr>
          <w:rFonts w:ascii="Times New Roman" w:hAnsi="Times New Roman" w:cs="Times New Roman"/>
          <w:sz w:val="24"/>
          <w:szCs w:val="24"/>
        </w:rPr>
        <w:t>Amine groups (the target of BODIPY SSE) were blocked by reaction with acetic anhydride. Cell walls were then digested with an amidase for up to 60 min, exposing L-Ala N-termini at the cleavage site. Lysozyme digest, which does not expose new amine groups, was carried out in parallel as a negative control. At each time point the reaction was stopped and cells walls labelled with BODIPY SSE. (A) Blocked; acetic anhydride treated cell walls labelled with BODIPY SSE without exposure to a hydrolase. Untreated; Cell walls labelled with BODIPY SSE, without acetic anhydride treatment or hydrolase exposure. (B) Amidase; Acetic anhydride treated cell walls digested with Atl amidase. White arrows indicate septal labelling. (C) Lysozyme; Acetic anhydride treated cell walls digested with lysozyme.</w:t>
      </w:r>
      <w:r>
        <w:rPr>
          <w:rFonts w:ascii="Times New Roman" w:hAnsi="Times New Roman" w:cs="Times New Roman"/>
          <w:sz w:val="24"/>
          <w:szCs w:val="24"/>
        </w:rPr>
        <w:br w:type="page"/>
      </w:r>
    </w:p>
    <w:p w:rsidR="00AA5269" w:rsidRDefault="00AA5269" w:rsidP="00AA5269">
      <w:pPr>
        <w:spacing w:line="480" w:lineRule="auto"/>
        <w:ind w:left="1440" w:hanging="1440"/>
        <w:jc w:val="both"/>
        <w:rPr>
          <w:rFonts w:ascii="Times New Roman" w:hAnsi="Times New Roman" w:cs="Times New Roman"/>
          <w:sz w:val="28"/>
          <w:szCs w:val="28"/>
        </w:rPr>
      </w:pPr>
      <w:r>
        <w:rPr>
          <w:rFonts w:ascii="Times New Roman" w:hAnsi="Times New Roman" w:cs="Times New Roman"/>
          <w:sz w:val="28"/>
          <w:szCs w:val="28"/>
        </w:rPr>
        <w:lastRenderedPageBreak/>
        <w:t>4.2.3.7</w:t>
      </w:r>
      <w:r>
        <w:rPr>
          <w:rFonts w:ascii="Times New Roman" w:hAnsi="Times New Roman" w:cs="Times New Roman"/>
          <w:sz w:val="28"/>
          <w:szCs w:val="28"/>
        </w:rPr>
        <w:tab/>
        <w:t>Labelling of purified peptidoglycan sacculi with BODIPY SSE</w:t>
      </w:r>
    </w:p>
    <w:p w:rsidR="00AA5269" w:rsidRDefault="00AA5269" w:rsidP="00AA526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Extracted cells are convenient for use in light microscopy as they are devoid of many </w:t>
      </w:r>
      <w:r>
        <w:rPr>
          <w:rFonts w:ascii="Times New Roman" w:hAnsi="Times New Roman" w:cs="Times New Roman"/>
          <w:color w:val="000000" w:themeColor="text1"/>
          <w:sz w:val="24"/>
          <w:szCs w:val="24"/>
        </w:rPr>
        <w:t xml:space="preserve">cell wall components that could potentially be bound by fluorescent probes, but retain sufficient mass for contrast to locate the field of cells by brightfield microscopy. However, fluorescence cannot be attributed solely to binding of the peptidoglycan layer as secondary wall polymers such as teichoic acids remain. Intracellular fluorescence also obscures imaging of the cell wall. </w:t>
      </w:r>
      <w:r>
        <w:rPr>
          <w:rFonts w:ascii="Times New Roman" w:hAnsi="Times New Roman" w:cs="Times New Roman"/>
          <w:i/>
          <w:color w:val="000000" w:themeColor="text1"/>
          <w:sz w:val="24"/>
          <w:szCs w:val="24"/>
        </w:rPr>
        <w:t>B. subtilis</w:t>
      </w:r>
      <w:r>
        <w:rPr>
          <w:rFonts w:ascii="Times New Roman" w:hAnsi="Times New Roman" w:cs="Times New Roman"/>
          <w:color w:val="000000" w:themeColor="text1"/>
          <w:sz w:val="24"/>
          <w:szCs w:val="24"/>
        </w:rPr>
        <w:t xml:space="preserve"> cells were broken by French press to release intracellular material, and peptidoglycan sacculi purified by SDS, pronase and HF treatment (Chapter 2.14.1 and 2.14.2). When broken </w:t>
      </w:r>
      <w:r>
        <w:rPr>
          <w:rFonts w:ascii="Times New Roman" w:hAnsi="Times New Roman" w:cs="Times New Roman"/>
          <w:i/>
          <w:color w:val="000000" w:themeColor="text1"/>
          <w:sz w:val="24"/>
          <w:szCs w:val="24"/>
        </w:rPr>
        <w:t xml:space="preserve">B. subtilis </w:t>
      </w:r>
      <w:r>
        <w:rPr>
          <w:rFonts w:ascii="Times New Roman" w:hAnsi="Times New Roman" w:cs="Times New Roman"/>
          <w:color w:val="000000" w:themeColor="text1"/>
          <w:sz w:val="24"/>
          <w:szCs w:val="24"/>
        </w:rPr>
        <w:t>sacculi were labelled with BODIPY SSE, all of the major features of the sacculus could be identified, including cell poles, cylinder fragments and septa (Figure 4.15). When images were deconvolved, features such as septa and the edges of sacculi were well defined. Other regions of the sacculi had much weaker fluorescence (Figure 4.15, deconvolved). Labelling was more uniform prior to deconvolution (Figure 4.15, raw). Deconvolution algorithms typically require a series of z-stacks with each step in the z-direction typically around 200nm (the resolution in the z-plane of standard light microscopy). Given that the purified sacculi are far thinner than a single step in the z-plane, it is possible that the deconvolution algorithm introduces image artefacts. It is therefore important to consider both the raw data and deconvolved images when interpreting fluorescence images of sacculi.</w:t>
      </w:r>
    </w:p>
    <w:p w:rsidR="00AA5269" w:rsidRDefault="00AA5269" w:rsidP="00AA5269">
      <w:pPr>
        <w:rPr>
          <w:rFonts w:ascii="Times New Roman" w:hAnsi="Times New Roman" w:cs="Times New Roman"/>
          <w:sz w:val="24"/>
          <w:szCs w:val="24"/>
        </w:rPr>
      </w:pPr>
      <w:r>
        <w:rPr>
          <w:rFonts w:ascii="Times New Roman" w:hAnsi="Times New Roman" w:cs="Times New Roman"/>
          <w:sz w:val="24"/>
          <w:szCs w:val="24"/>
        </w:rPr>
        <w:br w:type="page"/>
      </w:r>
    </w:p>
    <w:p w:rsidR="00AA5269" w:rsidRDefault="00AA5269" w:rsidP="00AA5269">
      <w:pPr>
        <w:spacing w:line="48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4.2.3.8 </w:t>
      </w:r>
      <w:r>
        <w:rPr>
          <w:rFonts w:ascii="Times New Roman" w:hAnsi="Times New Roman" w:cs="Times New Roman"/>
          <w:sz w:val="28"/>
          <w:szCs w:val="28"/>
        </w:rPr>
        <w:tab/>
        <w:t>Labelling of glycan strand reducing termini with HAF488</w:t>
      </w:r>
    </w:p>
    <w:p w:rsidR="00AA5269" w:rsidRDefault="00AA5269" w:rsidP="00AA5269">
      <w:pPr>
        <w:spacing w:line="48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Extracted cells of </w:t>
      </w:r>
      <w:r>
        <w:rPr>
          <w:rFonts w:ascii="Times New Roman" w:hAnsi="Times New Roman" w:cs="Times New Roman"/>
          <w:i/>
          <w:sz w:val="24"/>
          <w:szCs w:val="24"/>
        </w:rPr>
        <w:t xml:space="preserve">B. subtilis </w:t>
      </w:r>
      <w:r>
        <w:rPr>
          <w:rFonts w:ascii="Times New Roman" w:hAnsi="Times New Roman" w:cs="Times New Roman"/>
          <w:sz w:val="24"/>
          <w:szCs w:val="24"/>
        </w:rPr>
        <w:t xml:space="preserve">and </w:t>
      </w:r>
      <w:r>
        <w:rPr>
          <w:rFonts w:ascii="Times New Roman" w:hAnsi="Times New Roman" w:cs="Times New Roman"/>
          <w:i/>
          <w:sz w:val="24"/>
          <w:szCs w:val="24"/>
        </w:rPr>
        <w:t>S. aureus</w:t>
      </w:r>
      <w:r>
        <w:rPr>
          <w:rFonts w:ascii="Times New Roman" w:hAnsi="Times New Roman" w:cs="Times New Roman"/>
          <w:sz w:val="24"/>
          <w:szCs w:val="24"/>
        </w:rPr>
        <w:t xml:space="preserve"> were labelled with the HAF488 probe, which </w:t>
      </w:r>
      <w:r>
        <w:rPr>
          <w:rFonts w:ascii="Times New Roman" w:hAnsi="Times New Roman" w:cs="Times New Roman"/>
          <w:color w:val="000000" w:themeColor="text1"/>
          <w:sz w:val="24"/>
          <w:szCs w:val="24"/>
        </w:rPr>
        <w:t>targets the reducing termini of glycan strands. The cells were resuspended in 50 mM Sodium Citrate buffer (pH 5.0) in the presence of 100 µg ml</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HAF488 and incubated for one hour, before washing three times with water and mounting on poly-L-lysine coated slides. When cells were imaged, intracellular fluorescence was apparent in both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xml:space="preserve"> and </w:t>
      </w:r>
      <w:r>
        <w:rPr>
          <w:rFonts w:ascii="Times New Roman" w:hAnsi="Times New Roman" w:cs="Times New Roman"/>
          <w:i/>
          <w:color w:val="000000" w:themeColor="text1"/>
          <w:sz w:val="24"/>
          <w:szCs w:val="24"/>
        </w:rPr>
        <w:t>B. subtilis</w:t>
      </w:r>
      <w:r>
        <w:rPr>
          <w:rFonts w:ascii="Times New Roman" w:hAnsi="Times New Roman" w:cs="Times New Roman"/>
          <w:color w:val="000000" w:themeColor="text1"/>
          <w:sz w:val="24"/>
          <w:szCs w:val="24"/>
        </w:rPr>
        <w:t xml:space="preserve"> cells (Figure 4.16A). No labelling was observed at the cell wall of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xml:space="preserve">. Very faint labelling of apparent septa was observed in </w:t>
      </w:r>
      <w:r>
        <w:rPr>
          <w:rFonts w:ascii="Times New Roman" w:hAnsi="Times New Roman" w:cs="Times New Roman"/>
          <w:i/>
          <w:color w:val="000000" w:themeColor="text1"/>
          <w:sz w:val="24"/>
          <w:szCs w:val="24"/>
        </w:rPr>
        <w:t>B. subtilis</w:t>
      </w:r>
      <w:r>
        <w:rPr>
          <w:rFonts w:ascii="Times New Roman" w:hAnsi="Times New Roman" w:cs="Times New Roman"/>
          <w:color w:val="000000" w:themeColor="text1"/>
          <w:sz w:val="24"/>
          <w:szCs w:val="24"/>
        </w:rPr>
        <w:t xml:space="preserve"> prior to deconvolution, but was almost overwhelmed by the intensity of the intracellular fluorescence (Figure 4.16A, raw). The subtle labelling at the septum was lost following deconvolution of the image (Figure 4.16A, deconvolved).</w:t>
      </w:r>
    </w:p>
    <w:p w:rsidR="00AA5269" w:rsidRDefault="00AA5269" w:rsidP="00AA5269">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The oxime linkage formed by reaction of a hydroxylamine with an aldehyde can be stabilised by reduction with NaBH</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CN. Extracted </w:t>
      </w:r>
      <w:r>
        <w:rPr>
          <w:rFonts w:ascii="Times New Roman" w:hAnsi="Times New Roman" w:cs="Times New Roman"/>
          <w:i/>
          <w:color w:val="000000" w:themeColor="text1"/>
          <w:sz w:val="24"/>
          <w:szCs w:val="24"/>
        </w:rPr>
        <w:t>B. subtilis</w:t>
      </w:r>
      <w:r>
        <w:rPr>
          <w:rFonts w:ascii="Times New Roman" w:hAnsi="Times New Roman" w:cs="Times New Roman"/>
          <w:color w:val="000000" w:themeColor="text1"/>
          <w:sz w:val="24"/>
          <w:szCs w:val="24"/>
        </w:rPr>
        <w:t xml:space="preserve"> cells, resuspended in 50 mM Sodium Citrate buffer (pH 5.0), were incubated with the HAF488 probe, then 10 mg of NaBH</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CN added to the reaction mixture and the cell suspension incubated at room temperature for 30 min. Unexpectedly, the labelling pattern observed was similar to that obtained without NaBH</w:t>
      </w:r>
      <w:r>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CN reduction, except that the overall fluorescence signal was somewhat weaker (Figure 4.16B).</w:t>
      </w:r>
    </w:p>
    <w:p w:rsidR="00AA5269" w:rsidRDefault="00AA5269" w:rsidP="00AA5269">
      <w:pPr>
        <w:spacing w:line="480" w:lineRule="auto"/>
        <w:jc w:val="both"/>
        <w:rPr>
          <w:rFonts w:ascii="Times New Roman" w:hAnsi="Times New Roman" w:cs="Times New Roman"/>
          <w:color w:val="000000" w:themeColor="text1"/>
          <w:sz w:val="24"/>
          <w:szCs w:val="24"/>
        </w:rPr>
      </w:pPr>
    </w:p>
    <w:p w:rsidR="00AA5269" w:rsidRDefault="00AA5269" w:rsidP="00AA5269">
      <w:pPr>
        <w:spacing w:line="48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4.2.3.9</w:t>
      </w:r>
      <w:r>
        <w:rPr>
          <w:rFonts w:ascii="Times New Roman" w:hAnsi="Times New Roman" w:cs="Times New Roman"/>
          <w:color w:val="000000" w:themeColor="text1"/>
          <w:sz w:val="28"/>
          <w:szCs w:val="28"/>
        </w:rPr>
        <w:tab/>
        <w:t xml:space="preserve"> Labelling of purified sacculi with HAF488</w:t>
      </w:r>
    </w:p>
    <w:p w:rsidR="00AA5269" w:rsidRDefault="00AA5269" w:rsidP="00AA5269">
      <w:pPr>
        <w:spacing w:line="48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Extracted cells labelled weakly with HAF488 and</w:t>
      </w:r>
      <w:r>
        <w:rPr>
          <w:rFonts w:ascii="Times New Roman" w:hAnsi="Times New Roman" w:cs="Times New Roman"/>
          <w:sz w:val="24"/>
          <w:szCs w:val="24"/>
        </w:rPr>
        <w:t xml:space="preserve"> were obscured by intracellular fluorescence. Images could be improved by HF-purification, to reduce the amount of non-target material. Since the sacculi were unbroken, they retained the overall shape of </w:t>
      </w:r>
    </w:p>
    <w:p w:rsidR="00AA5269" w:rsidRDefault="00AA5269" w:rsidP="00AA5269">
      <w:pPr>
        <w:spacing w:after="0" w:line="480" w:lineRule="auto"/>
        <w:rPr>
          <w:rFonts w:ascii="Times New Roman" w:hAnsi="Times New Roman" w:cs="Times New Roman"/>
          <w:sz w:val="24"/>
          <w:szCs w:val="24"/>
        </w:rPr>
        <w:sectPr w:rsidR="00AA5269">
          <w:type w:val="continuous"/>
          <w:pgSz w:w="11906" w:h="16838"/>
          <w:pgMar w:top="1440" w:right="1134" w:bottom="1440" w:left="2268" w:header="709" w:footer="709" w:gutter="0"/>
          <w:cols w:space="720"/>
        </w:sectPr>
      </w:pPr>
    </w:p>
    <w:p w:rsidR="00AA5269" w:rsidRDefault="00AA5269" w:rsidP="00AA5269">
      <w:pPr>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4465320" cy="8870950"/>
            <wp:effectExtent l="0" t="0" r="0" b="0"/>
            <wp:docPr id="48" name="Picture 42" descr="Figure 4.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igure 4.17.tif"/>
                    <pic:cNvPicPr>
                      <a:picLocks noChangeAspect="1" noChangeArrowheads="1"/>
                    </pic:cNvPicPr>
                  </pic:nvPicPr>
                  <pic:blipFill>
                    <a:blip r:embed="rId81" cstate="print"/>
                    <a:srcRect/>
                    <a:stretch>
                      <a:fillRect/>
                    </a:stretch>
                  </pic:blipFill>
                  <pic:spPr bwMode="auto">
                    <a:xfrm>
                      <a:off x="0" y="0"/>
                      <a:ext cx="4465320" cy="8870950"/>
                    </a:xfrm>
                    <a:prstGeom prst="rect">
                      <a:avLst/>
                    </a:prstGeom>
                    <a:noFill/>
                    <a:ln w="9525">
                      <a:noFill/>
                      <a:miter lim="800000"/>
                      <a:headEnd/>
                      <a:tailEnd/>
                    </a:ln>
                  </pic:spPr>
                </pic:pic>
              </a:graphicData>
            </a:graphic>
          </wp:inline>
        </w:drawing>
      </w:r>
    </w:p>
    <w:p w:rsidR="00AA5269" w:rsidRDefault="00AA5269" w:rsidP="00AA5269">
      <w:pPr>
        <w:spacing w:line="360" w:lineRule="auto"/>
        <w:jc w:val="both"/>
        <w:rPr>
          <w:rFonts w:ascii="Times New Roman" w:hAnsi="Times New Roman" w:cs="Times New Roman"/>
          <w:sz w:val="24"/>
          <w:szCs w:val="24"/>
        </w:rPr>
      </w:pPr>
      <w:proofErr w:type="gramStart"/>
      <w:r>
        <w:rPr>
          <w:rFonts w:ascii="Times New Roman" w:hAnsi="Times New Roman" w:cs="Times New Roman"/>
          <w:b/>
          <w:sz w:val="24"/>
          <w:szCs w:val="24"/>
        </w:rPr>
        <w:lastRenderedPageBreak/>
        <w:t>Figure 4.15.</w:t>
      </w:r>
      <w:proofErr w:type="gramEnd"/>
      <w:r>
        <w:rPr>
          <w:rFonts w:ascii="Times New Roman" w:hAnsi="Times New Roman" w:cs="Times New Roman"/>
          <w:b/>
          <w:sz w:val="24"/>
          <w:szCs w:val="24"/>
        </w:rPr>
        <w:t xml:space="preserve"> BODIPY SSE labelling of purified </w:t>
      </w:r>
      <w:r>
        <w:rPr>
          <w:rFonts w:ascii="Times New Roman" w:hAnsi="Times New Roman" w:cs="Times New Roman"/>
          <w:b/>
          <w:i/>
          <w:sz w:val="24"/>
          <w:szCs w:val="24"/>
        </w:rPr>
        <w:t>B. subtilis</w:t>
      </w:r>
      <w:r>
        <w:rPr>
          <w:rFonts w:ascii="Times New Roman" w:hAnsi="Times New Roman" w:cs="Times New Roman"/>
          <w:b/>
          <w:sz w:val="24"/>
          <w:szCs w:val="24"/>
        </w:rPr>
        <w:t xml:space="preserve"> sacculi. </w:t>
      </w:r>
      <w:r>
        <w:rPr>
          <w:rFonts w:ascii="Times New Roman" w:hAnsi="Times New Roman" w:cs="Times New Roman"/>
          <w:sz w:val="24"/>
          <w:szCs w:val="24"/>
        </w:rPr>
        <w:t>Cell walls, devoid of secondary wall polymers including techoic acids, and broken by French press to release intracellular material, were labelled with BODIPY SSE. The raw (top) and deconvolved (bottom) images are shown, as the deconvolution process may introduce artefacts since flattened sacculi are thinner than the depth of field from a single Z-stack.</w:t>
      </w:r>
    </w:p>
    <w:p w:rsidR="00AA5269" w:rsidRDefault="00AA5269" w:rsidP="00AA5269">
      <w:pPr>
        <w:rPr>
          <w:rFonts w:ascii="Times New Roman" w:hAnsi="Times New Roman" w:cs="Times New Roman"/>
          <w:sz w:val="28"/>
          <w:szCs w:val="28"/>
        </w:rPr>
      </w:pPr>
      <w:r>
        <w:rPr>
          <w:rFonts w:ascii="Times New Roman" w:hAnsi="Times New Roman" w:cs="Times New Roman"/>
          <w:sz w:val="28"/>
          <w:szCs w:val="28"/>
        </w:rPr>
        <w:br w:type="page"/>
      </w:r>
    </w:p>
    <w:p w:rsidR="00AA5269" w:rsidRDefault="00AA5269" w:rsidP="00AA5269">
      <w:pPr>
        <w:spacing w:line="480" w:lineRule="auto"/>
        <w:jc w:val="both"/>
        <w:rPr>
          <w:rFonts w:ascii="Times New Roman" w:hAnsi="Times New Roman" w:cs="Times New Roman"/>
          <w:color w:val="000000" w:themeColor="text1"/>
          <w:sz w:val="24"/>
          <w:szCs w:val="24"/>
        </w:rPr>
      </w:pPr>
      <w:proofErr w:type="gramStart"/>
      <w:r>
        <w:rPr>
          <w:rFonts w:ascii="Times New Roman" w:hAnsi="Times New Roman" w:cs="Times New Roman"/>
          <w:color w:val="000000" w:themeColor="text1"/>
          <w:sz w:val="24"/>
          <w:szCs w:val="24"/>
        </w:rPr>
        <w:lastRenderedPageBreak/>
        <w:t>the</w:t>
      </w:r>
      <w:proofErr w:type="gramEnd"/>
      <w:r>
        <w:rPr>
          <w:rFonts w:ascii="Times New Roman" w:hAnsi="Times New Roman" w:cs="Times New Roman"/>
          <w:color w:val="000000" w:themeColor="text1"/>
          <w:sz w:val="24"/>
          <w:szCs w:val="24"/>
        </w:rPr>
        <w:t xml:space="preserve"> cell. When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xml:space="preserve"> and </w:t>
      </w:r>
      <w:r>
        <w:rPr>
          <w:rFonts w:ascii="Times New Roman" w:hAnsi="Times New Roman" w:cs="Times New Roman"/>
          <w:i/>
          <w:color w:val="000000" w:themeColor="text1"/>
          <w:sz w:val="24"/>
          <w:szCs w:val="24"/>
        </w:rPr>
        <w:t>B. subtilis</w:t>
      </w:r>
      <w:r>
        <w:rPr>
          <w:rFonts w:ascii="Times New Roman" w:hAnsi="Times New Roman" w:cs="Times New Roman"/>
          <w:color w:val="000000" w:themeColor="text1"/>
          <w:sz w:val="24"/>
          <w:szCs w:val="24"/>
        </w:rPr>
        <w:t xml:space="preserve"> extracted cells treated with HF were labelled with HAF488, fluorescence was apparent across the cell wall (Figure 4.17). Bright foci of labelling were interpreted as residual condensed intracellular contents. In </w:t>
      </w:r>
      <w:r>
        <w:rPr>
          <w:rFonts w:ascii="Times New Roman" w:hAnsi="Times New Roman" w:cs="Times New Roman"/>
          <w:i/>
          <w:color w:val="000000" w:themeColor="text1"/>
          <w:sz w:val="24"/>
          <w:szCs w:val="24"/>
        </w:rPr>
        <w:t xml:space="preserve">S. aureus </w:t>
      </w:r>
      <w:r>
        <w:rPr>
          <w:rFonts w:ascii="Times New Roman" w:hAnsi="Times New Roman" w:cs="Times New Roman"/>
          <w:color w:val="000000" w:themeColor="text1"/>
          <w:sz w:val="24"/>
          <w:szCs w:val="24"/>
        </w:rPr>
        <w:t xml:space="preserve">extracted cells treated with HF, rings of labelling in some cells were interpreted as septal rings or piecrusts, which had flattened in the plane of the field (Figure 4.17). </w:t>
      </w:r>
      <w:r>
        <w:rPr>
          <w:rFonts w:ascii="Times New Roman" w:hAnsi="Times New Roman" w:cs="Times New Roman"/>
          <w:i/>
          <w:color w:val="000000" w:themeColor="text1"/>
          <w:sz w:val="24"/>
          <w:szCs w:val="24"/>
        </w:rPr>
        <w:t>B. subtilis</w:t>
      </w:r>
      <w:r>
        <w:rPr>
          <w:rFonts w:ascii="Times New Roman" w:hAnsi="Times New Roman" w:cs="Times New Roman"/>
          <w:color w:val="000000" w:themeColor="text1"/>
          <w:sz w:val="24"/>
          <w:szCs w:val="24"/>
        </w:rPr>
        <w:t xml:space="preserve"> labelled evenly across the cell cylinder and poles. Stronger labelling was present at putative septa (Figure 4.17). Subtle variations in the labelling intensity were highlighted in the deconvolved image, such as widely spaced diagonal bands of labelling across the </w:t>
      </w:r>
      <w:r>
        <w:rPr>
          <w:rFonts w:ascii="Times New Roman" w:hAnsi="Times New Roman" w:cs="Times New Roman"/>
          <w:i/>
          <w:color w:val="000000" w:themeColor="text1"/>
          <w:sz w:val="24"/>
          <w:szCs w:val="24"/>
        </w:rPr>
        <w:t>B. subtilis</w:t>
      </w:r>
      <w:r>
        <w:rPr>
          <w:rFonts w:ascii="Times New Roman" w:hAnsi="Times New Roman" w:cs="Times New Roman"/>
          <w:color w:val="000000" w:themeColor="text1"/>
          <w:sz w:val="24"/>
          <w:szCs w:val="24"/>
        </w:rPr>
        <w:t xml:space="preserve"> cell cylinder</w:t>
      </w:r>
      <w:r>
        <w:rPr>
          <w:rFonts w:ascii="Times New Roman" w:hAnsi="Times New Roman" w:cs="Times New Roman"/>
          <w:i/>
          <w:color w:val="000000" w:themeColor="text1"/>
          <w:sz w:val="24"/>
          <w:szCs w:val="24"/>
        </w:rPr>
        <w:t xml:space="preserve">. </w:t>
      </w:r>
    </w:p>
    <w:p w:rsidR="00AA5269" w:rsidRDefault="00AA5269" w:rsidP="00AA5269">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Purified </w:t>
      </w:r>
      <w:r>
        <w:rPr>
          <w:rFonts w:ascii="Times New Roman" w:hAnsi="Times New Roman" w:cs="Times New Roman"/>
          <w:i/>
          <w:color w:val="000000" w:themeColor="text1"/>
          <w:sz w:val="24"/>
          <w:szCs w:val="24"/>
        </w:rPr>
        <w:t xml:space="preserve">S. aureus </w:t>
      </w:r>
      <w:r>
        <w:rPr>
          <w:rFonts w:ascii="Times New Roman" w:hAnsi="Times New Roman" w:cs="Times New Roman"/>
          <w:color w:val="000000" w:themeColor="text1"/>
          <w:sz w:val="24"/>
          <w:szCs w:val="24"/>
        </w:rPr>
        <w:t>sacculi were labelled with HAF488 to visualise sacculi devoid of intracellular material (Figure 4.18). Labelling of sacculi was not uniform as some sacculi appeared to label more brightly across one half of the cell (Figure 4.18B). However, at the resolution of the deconvolution microscope it is difficult to interpret these images due to disruption of the cell shape following breakage.</w:t>
      </w:r>
    </w:p>
    <w:p w:rsidR="00AA5269" w:rsidRDefault="00AA5269" w:rsidP="00AA5269">
      <w:pPr>
        <w:spacing w:line="480" w:lineRule="auto"/>
        <w:jc w:val="both"/>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5272405" cy="8348345"/>
            <wp:effectExtent l="0" t="0" r="4445" b="0"/>
            <wp:docPr id="43" name="Picture 43" descr="Figure 4.18 Extracted walls HA labell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igure 4.18 Extracted walls HA labelled.tif"/>
                    <pic:cNvPicPr>
                      <a:picLocks noChangeAspect="1" noChangeArrowheads="1"/>
                    </pic:cNvPicPr>
                  </pic:nvPicPr>
                  <pic:blipFill>
                    <a:blip r:embed="rId82" cstate="print"/>
                    <a:srcRect/>
                    <a:stretch>
                      <a:fillRect/>
                    </a:stretch>
                  </pic:blipFill>
                  <pic:spPr bwMode="auto">
                    <a:xfrm>
                      <a:off x="0" y="0"/>
                      <a:ext cx="5272405" cy="8348345"/>
                    </a:xfrm>
                    <a:prstGeom prst="rect">
                      <a:avLst/>
                    </a:prstGeom>
                    <a:noFill/>
                    <a:ln w="9525">
                      <a:noFill/>
                      <a:miter lim="800000"/>
                      <a:headEnd/>
                      <a:tailEnd/>
                    </a:ln>
                  </pic:spPr>
                </pic:pic>
              </a:graphicData>
            </a:graphic>
          </wp:inline>
        </w:drawing>
      </w:r>
    </w:p>
    <w:p w:rsidR="00AA5269" w:rsidRDefault="00AA5269" w:rsidP="00AA5269">
      <w:pPr>
        <w:spacing w:line="360" w:lineRule="auto"/>
        <w:jc w:val="both"/>
        <w:rPr>
          <w:rFonts w:ascii="Times New Roman" w:hAnsi="Times New Roman" w:cs="Times New Roman"/>
          <w:sz w:val="24"/>
          <w:szCs w:val="24"/>
        </w:rPr>
      </w:pPr>
      <w:proofErr w:type="gramStart"/>
      <w:r>
        <w:rPr>
          <w:rFonts w:ascii="Times New Roman" w:hAnsi="Times New Roman" w:cs="Times New Roman"/>
          <w:b/>
          <w:sz w:val="24"/>
          <w:szCs w:val="24"/>
        </w:rPr>
        <w:lastRenderedPageBreak/>
        <w:t>Figure 4.16.</w:t>
      </w:r>
      <w:proofErr w:type="gramEnd"/>
      <w:r>
        <w:rPr>
          <w:rFonts w:ascii="Times New Roman" w:hAnsi="Times New Roman" w:cs="Times New Roman"/>
          <w:b/>
          <w:sz w:val="24"/>
          <w:szCs w:val="24"/>
        </w:rPr>
        <w:t xml:space="preserve"> </w:t>
      </w:r>
      <w:proofErr w:type="gramStart"/>
      <w:r>
        <w:rPr>
          <w:rFonts w:ascii="Times New Roman" w:hAnsi="Times New Roman" w:cs="Times New Roman"/>
          <w:b/>
          <w:sz w:val="24"/>
          <w:szCs w:val="24"/>
        </w:rPr>
        <w:t xml:space="preserve">HAF488 labelling of extracted </w:t>
      </w:r>
      <w:r>
        <w:rPr>
          <w:rFonts w:ascii="Times New Roman" w:hAnsi="Times New Roman" w:cs="Times New Roman"/>
          <w:b/>
          <w:i/>
          <w:sz w:val="24"/>
          <w:szCs w:val="24"/>
        </w:rPr>
        <w:t xml:space="preserve">S. aureus </w:t>
      </w:r>
      <w:r>
        <w:rPr>
          <w:rFonts w:ascii="Times New Roman" w:hAnsi="Times New Roman" w:cs="Times New Roman"/>
          <w:b/>
          <w:sz w:val="24"/>
          <w:szCs w:val="24"/>
        </w:rPr>
        <w:t xml:space="preserve">and </w:t>
      </w:r>
      <w:r>
        <w:rPr>
          <w:rFonts w:ascii="Times New Roman" w:hAnsi="Times New Roman" w:cs="Times New Roman"/>
          <w:b/>
          <w:i/>
          <w:sz w:val="24"/>
          <w:szCs w:val="24"/>
        </w:rPr>
        <w:t xml:space="preserve">B. subtilis </w:t>
      </w:r>
      <w:r>
        <w:rPr>
          <w:rFonts w:ascii="Times New Roman" w:hAnsi="Times New Roman" w:cs="Times New Roman"/>
          <w:b/>
          <w:sz w:val="24"/>
          <w:szCs w:val="24"/>
        </w:rPr>
        <w:t>cells.</w:t>
      </w:r>
      <w:proofErr w:type="gramEnd"/>
      <w:r>
        <w:rPr>
          <w:rFonts w:ascii="Times New Roman" w:hAnsi="Times New Roman" w:cs="Times New Roman"/>
          <w:sz w:val="24"/>
          <w:szCs w:val="24"/>
        </w:rPr>
        <w:t xml:space="preserve"> Cells were treated with SDS and pronase to remove non-covalently bound wall polymers and proteins. (A) Fields of extracted </w:t>
      </w:r>
      <w:r>
        <w:rPr>
          <w:rFonts w:ascii="Times New Roman" w:hAnsi="Times New Roman" w:cs="Times New Roman"/>
          <w:i/>
          <w:sz w:val="24"/>
          <w:szCs w:val="24"/>
        </w:rPr>
        <w:t>S. aureus</w:t>
      </w:r>
      <w:r>
        <w:rPr>
          <w:rFonts w:ascii="Times New Roman" w:hAnsi="Times New Roman" w:cs="Times New Roman"/>
          <w:sz w:val="24"/>
          <w:szCs w:val="24"/>
        </w:rPr>
        <w:t xml:space="preserve"> and </w:t>
      </w:r>
      <w:r>
        <w:rPr>
          <w:rFonts w:ascii="Times New Roman" w:hAnsi="Times New Roman" w:cs="Times New Roman"/>
          <w:i/>
          <w:sz w:val="24"/>
          <w:szCs w:val="24"/>
        </w:rPr>
        <w:t xml:space="preserve">B. subtilis </w:t>
      </w:r>
      <w:r>
        <w:rPr>
          <w:rFonts w:ascii="Times New Roman" w:hAnsi="Times New Roman" w:cs="Times New Roman"/>
          <w:sz w:val="24"/>
          <w:szCs w:val="24"/>
        </w:rPr>
        <w:t xml:space="preserve">cells labelled with HAF488. (B) Extracted </w:t>
      </w:r>
      <w:r>
        <w:rPr>
          <w:rFonts w:ascii="Times New Roman" w:hAnsi="Times New Roman" w:cs="Times New Roman"/>
          <w:i/>
          <w:sz w:val="24"/>
          <w:szCs w:val="24"/>
        </w:rPr>
        <w:t xml:space="preserve">B. subtilis </w:t>
      </w:r>
      <w:r>
        <w:rPr>
          <w:rFonts w:ascii="Times New Roman" w:hAnsi="Times New Roman" w:cs="Times New Roman"/>
          <w:sz w:val="24"/>
          <w:szCs w:val="24"/>
        </w:rPr>
        <w:t>cells labelled with HAF488 were reduced with sodium cyanoborohydride to stabilise the bond between HAF488 and the aldehyde group of the glycan reducing terminus.</w:t>
      </w:r>
      <w:r>
        <w:rPr>
          <w:rFonts w:ascii="Times New Roman" w:hAnsi="Times New Roman" w:cs="Times New Roman"/>
          <w:sz w:val="24"/>
          <w:szCs w:val="24"/>
        </w:rPr>
        <w:br w:type="page"/>
      </w:r>
    </w:p>
    <w:p w:rsidR="00AA5269" w:rsidRDefault="00AA5269" w:rsidP="00AA5269">
      <w:pPr>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5260975" cy="8194040"/>
            <wp:effectExtent l="19050" t="0" r="0" b="0"/>
            <wp:docPr id="41" name="Picture 5" descr="Figure 4.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ure 4.19.tif"/>
                    <pic:cNvPicPr>
                      <a:picLocks noChangeAspect="1" noChangeArrowheads="1"/>
                    </pic:cNvPicPr>
                  </pic:nvPicPr>
                  <pic:blipFill>
                    <a:blip r:embed="rId83" cstate="print"/>
                    <a:srcRect l="2400" t="1213"/>
                    <a:stretch>
                      <a:fillRect/>
                    </a:stretch>
                  </pic:blipFill>
                  <pic:spPr bwMode="auto">
                    <a:xfrm>
                      <a:off x="0" y="0"/>
                      <a:ext cx="5260975" cy="8194040"/>
                    </a:xfrm>
                    <a:prstGeom prst="rect">
                      <a:avLst/>
                    </a:prstGeom>
                    <a:noFill/>
                    <a:ln w="9525">
                      <a:noFill/>
                      <a:miter lim="800000"/>
                      <a:headEnd/>
                      <a:tailEnd/>
                    </a:ln>
                  </pic:spPr>
                </pic:pic>
              </a:graphicData>
            </a:graphic>
          </wp:inline>
        </w:drawing>
      </w:r>
    </w:p>
    <w:p w:rsidR="00AA5269" w:rsidRDefault="00AA5269" w:rsidP="00AA5269">
      <w:pPr>
        <w:rPr>
          <w:rFonts w:ascii="Times New Roman" w:hAnsi="Times New Roman" w:cs="Times New Roman"/>
          <w:b/>
          <w:sz w:val="24"/>
          <w:szCs w:val="24"/>
        </w:rPr>
      </w:pPr>
      <w:r>
        <w:rPr>
          <w:rFonts w:ascii="Times New Roman" w:hAnsi="Times New Roman" w:cs="Times New Roman"/>
          <w:b/>
          <w:sz w:val="24"/>
          <w:szCs w:val="24"/>
        </w:rPr>
        <w:br w:type="page"/>
      </w:r>
    </w:p>
    <w:p w:rsidR="00AA5269" w:rsidRDefault="00AA5269" w:rsidP="00AA5269">
      <w:pPr>
        <w:spacing w:line="360" w:lineRule="auto"/>
        <w:jc w:val="both"/>
        <w:rPr>
          <w:rFonts w:ascii="Times New Roman" w:hAnsi="Times New Roman" w:cs="Times New Roman"/>
          <w:sz w:val="24"/>
          <w:szCs w:val="24"/>
        </w:rPr>
      </w:pPr>
      <w:proofErr w:type="gramStart"/>
      <w:r>
        <w:rPr>
          <w:rFonts w:ascii="Times New Roman" w:hAnsi="Times New Roman" w:cs="Times New Roman"/>
          <w:b/>
          <w:sz w:val="24"/>
          <w:szCs w:val="24"/>
        </w:rPr>
        <w:lastRenderedPageBreak/>
        <w:t>Figure 4.17.</w:t>
      </w:r>
      <w:proofErr w:type="gramEnd"/>
      <w:r>
        <w:rPr>
          <w:rFonts w:ascii="Times New Roman" w:hAnsi="Times New Roman" w:cs="Times New Roman"/>
          <w:b/>
          <w:sz w:val="24"/>
          <w:szCs w:val="24"/>
        </w:rPr>
        <w:t xml:space="preserve"> HAF488 labelling of </w:t>
      </w:r>
      <w:r>
        <w:rPr>
          <w:rFonts w:ascii="Times New Roman" w:hAnsi="Times New Roman" w:cs="Times New Roman"/>
          <w:b/>
          <w:i/>
          <w:sz w:val="24"/>
          <w:szCs w:val="24"/>
        </w:rPr>
        <w:t xml:space="preserve">B. subtilis and S. aureus </w:t>
      </w:r>
      <w:r>
        <w:rPr>
          <w:rFonts w:ascii="Times New Roman" w:hAnsi="Times New Roman" w:cs="Times New Roman"/>
          <w:b/>
          <w:sz w:val="24"/>
          <w:szCs w:val="24"/>
        </w:rPr>
        <w:t xml:space="preserve">extracted cells treated with HF. </w:t>
      </w:r>
      <w:r>
        <w:rPr>
          <w:rFonts w:ascii="Times New Roman" w:hAnsi="Times New Roman" w:cs="Times New Roman"/>
          <w:sz w:val="24"/>
          <w:szCs w:val="24"/>
        </w:rPr>
        <w:t xml:space="preserve">(A) Field of </w:t>
      </w:r>
      <w:r>
        <w:rPr>
          <w:rFonts w:ascii="Times New Roman" w:hAnsi="Times New Roman" w:cs="Times New Roman"/>
          <w:i/>
          <w:sz w:val="24"/>
          <w:szCs w:val="24"/>
        </w:rPr>
        <w:t xml:space="preserve">S. aureus </w:t>
      </w:r>
      <w:r>
        <w:rPr>
          <w:rFonts w:ascii="Times New Roman" w:hAnsi="Times New Roman" w:cs="Times New Roman"/>
          <w:sz w:val="24"/>
          <w:szCs w:val="24"/>
        </w:rPr>
        <w:t xml:space="preserve">(top) and </w:t>
      </w:r>
      <w:r>
        <w:rPr>
          <w:rFonts w:ascii="Times New Roman" w:hAnsi="Times New Roman" w:cs="Times New Roman"/>
          <w:i/>
          <w:sz w:val="24"/>
          <w:szCs w:val="24"/>
        </w:rPr>
        <w:t xml:space="preserve">B. subtilis </w:t>
      </w:r>
      <w:r>
        <w:rPr>
          <w:rFonts w:ascii="Times New Roman" w:hAnsi="Times New Roman" w:cs="Times New Roman"/>
          <w:sz w:val="24"/>
          <w:szCs w:val="24"/>
        </w:rPr>
        <w:t>(bottom) extracted cells treated with HF and labelled with HAF488. Raw images and deconvolved images are presented. (B) Individual cells from (A) highlighted to reveal the HAF488 labelling pattern.</w:t>
      </w:r>
      <w:r>
        <w:rPr>
          <w:rFonts w:ascii="Times New Roman" w:hAnsi="Times New Roman" w:cs="Times New Roman"/>
          <w:sz w:val="24"/>
          <w:szCs w:val="24"/>
        </w:rPr>
        <w:br w:type="page"/>
      </w:r>
    </w:p>
    <w:p w:rsidR="00AA5269" w:rsidRDefault="00AA5269" w:rsidP="00AA5269">
      <w:pPr>
        <w:spacing w:after="12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3634105" cy="8858885"/>
            <wp:effectExtent l="0" t="0" r="4445" b="0"/>
            <wp:docPr id="40" name="Picture 4" descr="Figure 4.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 4.19.tif"/>
                    <pic:cNvPicPr>
                      <a:picLocks noChangeAspect="1" noChangeArrowheads="1"/>
                    </pic:cNvPicPr>
                  </pic:nvPicPr>
                  <pic:blipFill>
                    <a:blip r:embed="rId84" cstate="print"/>
                    <a:srcRect/>
                    <a:stretch>
                      <a:fillRect/>
                    </a:stretch>
                  </pic:blipFill>
                  <pic:spPr bwMode="auto">
                    <a:xfrm>
                      <a:off x="0" y="0"/>
                      <a:ext cx="3634105" cy="8858885"/>
                    </a:xfrm>
                    <a:prstGeom prst="rect">
                      <a:avLst/>
                    </a:prstGeom>
                    <a:noFill/>
                    <a:ln w="9525">
                      <a:noFill/>
                      <a:miter lim="800000"/>
                      <a:headEnd/>
                      <a:tailEnd/>
                    </a:ln>
                  </pic:spPr>
                </pic:pic>
              </a:graphicData>
            </a:graphic>
          </wp:inline>
        </w:drawing>
      </w:r>
    </w:p>
    <w:p w:rsidR="00AA5269" w:rsidRDefault="00AA5269" w:rsidP="00AA5269">
      <w:pPr>
        <w:spacing w:after="120" w:line="360" w:lineRule="auto"/>
        <w:jc w:val="both"/>
        <w:rPr>
          <w:rFonts w:ascii="Times New Roman" w:hAnsi="Times New Roman" w:cs="Times New Roman"/>
          <w:sz w:val="24"/>
          <w:szCs w:val="24"/>
        </w:rPr>
      </w:pPr>
      <w:proofErr w:type="gramStart"/>
      <w:r>
        <w:rPr>
          <w:rFonts w:ascii="Times New Roman" w:hAnsi="Times New Roman" w:cs="Times New Roman"/>
          <w:b/>
          <w:sz w:val="24"/>
          <w:szCs w:val="24"/>
        </w:rPr>
        <w:lastRenderedPageBreak/>
        <w:t>Figure 4.18.</w:t>
      </w:r>
      <w:proofErr w:type="gramEnd"/>
      <w:r>
        <w:rPr>
          <w:rFonts w:ascii="Times New Roman" w:hAnsi="Times New Roman" w:cs="Times New Roman"/>
          <w:b/>
          <w:sz w:val="24"/>
          <w:szCs w:val="24"/>
        </w:rPr>
        <w:t xml:space="preserve"> </w:t>
      </w:r>
      <w:proofErr w:type="gramStart"/>
      <w:r>
        <w:rPr>
          <w:rFonts w:ascii="Times New Roman" w:hAnsi="Times New Roman" w:cs="Times New Roman"/>
          <w:b/>
          <w:sz w:val="24"/>
          <w:szCs w:val="24"/>
        </w:rPr>
        <w:t xml:space="preserve">HAF488 labelling of broken, purified </w:t>
      </w:r>
      <w:r>
        <w:rPr>
          <w:rFonts w:ascii="Times New Roman" w:hAnsi="Times New Roman" w:cs="Times New Roman"/>
          <w:b/>
          <w:i/>
          <w:sz w:val="24"/>
          <w:szCs w:val="24"/>
        </w:rPr>
        <w:t xml:space="preserve">S. aureus </w:t>
      </w:r>
      <w:r>
        <w:rPr>
          <w:rFonts w:ascii="Times New Roman" w:hAnsi="Times New Roman" w:cs="Times New Roman"/>
          <w:b/>
          <w:sz w:val="24"/>
          <w:szCs w:val="24"/>
        </w:rPr>
        <w:t>peptidoglycan sacculi.</w:t>
      </w:r>
      <w:proofErr w:type="gramEnd"/>
      <w:r>
        <w:rPr>
          <w:rFonts w:ascii="Times New Roman" w:hAnsi="Times New Roman" w:cs="Times New Roman"/>
          <w:sz w:val="24"/>
          <w:szCs w:val="24"/>
        </w:rPr>
        <w:t xml:space="preserve"> Sacculi broken to release cell contents are fluorescent, indicating that the peptidoglycan itself has been labelled. (A) Field of HAF488 labelled </w:t>
      </w:r>
      <w:r>
        <w:rPr>
          <w:rFonts w:ascii="Times New Roman" w:hAnsi="Times New Roman" w:cs="Times New Roman"/>
          <w:i/>
          <w:sz w:val="24"/>
          <w:szCs w:val="24"/>
        </w:rPr>
        <w:t>S. aureus</w:t>
      </w:r>
      <w:r>
        <w:rPr>
          <w:rFonts w:ascii="Times New Roman" w:hAnsi="Times New Roman" w:cs="Times New Roman"/>
          <w:sz w:val="24"/>
          <w:szCs w:val="24"/>
        </w:rPr>
        <w:t xml:space="preserve"> sacculi. Broken and unbroken sacculi can be seen. (B) Selected sacculi enlarged to highlight the HAF488 labelling pattern.</w:t>
      </w:r>
    </w:p>
    <w:p w:rsidR="00AA5269" w:rsidRDefault="00AA5269" w:rsidP="00AA5269">
      <w:pPr>
        <w:rPr>
          <w:rFonts w:ascii="Times New Roman" w:hAnsi="Times New Roman" w:cs="Times New Roman"/>
          <w:sz w:val="24"/>
          <w:szCs w:val="24"/>
        </w:rPr>
      </w:pPr>
      <w:r>
        <w:rPr>
          <w:rFonts w:ascii="Times New Roman" w:hAnsi="Times New Roman" w:cs="Times New Roman"/>
          <w:sz w:val="24"/>
          <w:szCs w:val="24"/>
        </w:rPr>
        <w:br w:type="page"/>
      </w:r>
    </w:p>
    <w:p w:rsidR="00AA5269" w:rsidRDefault="00AA5269" w:rsidP="00AA5269">
      <w:pPr>
        <w:spacing w:line="480" w:lineRule="auto"/>
        <w:jc w:val="both"/>
        <w:rPr>
          <w:rFonts w:ascii="Times New Roman" w:hAnsi="Times New Roman" w:cs="Times New Roman"/>
          <w:sz w:val="28"/>
          <w:szCs w:val="28"/>
        </w:rPr>
      </w:pPr>
      <w:r>
        <w:rPr>
          <w:rFonts w:ascii="Times New Roman" w:hAnsi="Times New Roman" w:cs="Times New Roman"/>
          <w:sz w:val="28"/>
          <w:szCs w:val="28"/>
        </w:rPr>
        <w:lastRenderedPageBreak/>
        <w:t>4.3</w:t>
      </w:r>
      <w:r>
        <w:rPr>
          <w:rFonts w:ascii="Times New Roman" w:hAnsi="Times New Roman" w:cs="Times New Roman"/>
          <w:sz w:val="28"/>
          <w:szCs w:val="28"/>
        </w:rPr>
        <w:tab/>
      </w:r>
      <w:r>
        <w:rPr>
          <w:rFonts w:ascii="Times New Roman" w:hAnsi="Times New Roman" w:cs="Times New Roman"/>
          <w:sz w:val="28"/>
          <w:szCs w:val="28"/>
        </w:rPr>
        <w:tab/>
        <w:t>Discussion</w:t>
      </w:r>
    </w:p>
    <w:p w:rsidR="00AA5269" w:rsidRDefault="00AA5269" w:rsidP="00AA5269">
      <w:pPr>
        <w:spacing w:line="480" w:lineRule="auto"/>
        <w:jc w:val="both"/>
        <w:rPr>
          <w:rFonts w:ascii="Times New Roman" w:hAnsi="Times New Roman" w:cs="Times New Roman"/>
          <w:i/>
          <w:sz w:val="28"/>
          <w:szCs w:val="28"/>
        </w:rPr>
      </w:pPr>
      <w:r>
        <w:rPr>
          <w:rFonts w:ascii="Times New Roman" w:hAnsi="Times New Roman" w:cs="Times New Roman"/>
          <w:sz w:val="28"/>
          <w:szCs w:val="28"/>
        </w:rPr>
        <w:t>4.3.1.</w:t>
      </w:r>
      <w:r>
        <w:rPr>
          <w:rFonts w:ascii="Times New Roman" w:hAnsi="Times New Roman" w:cs="Times New Roman"/>
          <w:sz w:val="28"/>
          <w:szCs w:val="28"/>
        </w:rPr>
        <w:tab/>
      </w:r>
      <w:r>
        <w:rPr>
          <w:rFonts w:ascii="Times New Roman" w:hAnsi="Times New Roman" w:cs="Times New Roman"/>
          <w:sz w:val="28"/>
          <w:szCs w:val="28"/>
        </w:rPr>
        <w:tab/>
        <w:t xml:space="preserve">Peptidoglycan architecture of </w:t>
      </w:r>
      <w:r>
        <w:rPr>
          <w:rFonts w:ascii="Times New Roman" w:hAnsi="Times New Roman" w:cs="Times New Roman"/>
          <w:i/>
          <w:sz w:val="28"/>
          <w:szCs w:val="28"/>
        </w:rPr>
        <w:t>S. aureus.</w:t>
      </w:r>
    </w:p>
    <w:p w:rsidR="00AA5269" w:rsidRDefault="00AA5269" w:rsidP="00AA526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AFM analysis revealed that </w:t>
      </w:r>
      <w:r>
        <w:rPr>
          <w:rFonts w:ascii="Times New Roman" w:hAnsi="Times New Roman" w:cs="Times New Roman"/>
          <w:i/>
          <w:sz w:val="24"/>
          <w:szCs w:val="24"/>
        </w:rPr>
        <w:t xml:space="preserve">S. </w:t>
      </w:r>
      <w:r>
        <w:rPr>
          <w:rFonts w:ascii="Times New Roman" w:hAnsi="Times New Roman" w:cs="Times New Roman"/>
          <w:sz w:val="24"/>
          <w:szCs w:val="24"/>
        </w:rPr>
        <w:t xml:space="preserve">aureus sacculi have </w:t>
      </w:r>
      <w:proofErr w:type="gramStart"/>
      <w:r>
        <w:rPr>
          <w:rFonts w:ascii="Times New Roman" w:hAnsi="Times New Roman" w:cs="Times New Roman"/>
          <w:sz w:val="24"/>
          <w:szCs w:val="24"/>
        </w:rPr>
        <w:t>an architecture</w:t>
      </w:r>
      <w:proofErr w:type="gramEnd"/>
      <w:r>
        <w:rPr>
          <w:rFonts w:ascii="Times New Roman" w:hAnsi="Times New Roman" w:cs="Times New Roman"/>
          <w:sz w:val="24"/>
          <w:szCs w:val="24"/>
        </w:rPr>
        <w:t xml:space="preserve"> of peptidoglycan rings associated with the nascent cell wall, and peptidoglycan knobbles at the mature cell wall. The presence of ring architecture at the nascent cell wall has been well documented as discussed previously. The presence of these rings in purified sacculi confirms that they are a feature of the peptidoglycan and not attributed to secondary wall polymers such as teichoic acid. The architecture of peptidoglycan knobbles was observed across the mature peptidoglycan, suggesting that the architecture of rings undergoes modification to a knobbled conformation. As vancomycin labelling indicates that peptidoglycan synthesis occurs mainly, if not exclusively, at the cell septum, the knobbles are unlikely to be the product of non-septal peptidoglycan synthesis, but most likely result from autolysis of the nascent cell wall rings.</w:t>
      </w:r>
    </w:p>
    <w:p w:rsidR="00AA5269" w:rsidRDefault="00AA5269" w:rsidP="00AA5269">
      <w:pPr>
        <w:spacing w:line="480" w:lineRule="auto"/>
        <w:jc w:val="both"/>
        <w:rPr>
          <w:rFonts w:ascii="Times New Roman" w:hAnsi="Times New Roman" w:cs="Times New Roman"/>
          <w:i/>
          <w:sz w:val="24"/>
          <w:szCs w:val="24"/>
        </w:rPr>
      </w:pPr>
      <w:r>
        <w:rPr>
          <w:rFonts w:ascii="Times New Roman" w:hAnsi="Times New Roman" w:cs="Times New Roman"/>
          <w:sz w:val="24"/>
          <w:szCs w:val="24"/>
        </w:rPr>
        <w:t xml:space="preserve">The mechanism by which </w:t>
      </w:r>
      <w:r>
        <w:rPr>
          <w:rFonts w:ascii="Times New Roman" w:hAnsi="Times New Roman" w:cs="Times New Roman"/>
          <w:i/>
          <w:sz w:val="24"/>
          <w:szCs w:val="24"/>
        </w:rPr>
        <w:t xml:space="preserve">S. aureus </w:t>
      </w:r>
      <w:r>
        <w:rPr>
          <w:rFonts w:ascii="Times New Roman" w:hAnsi="Times New Roman" w:cs="Times New Roman"/>
          <w:sz w:val="24"/>
          <w:szCs w:val="24"/>
        </w:rPr>
        <w:t xml:space="preserve">cells establish the division plane is not understood. In rod-shaped bacteria, placement of the division site at mid-cell is thought to be mainly coordinated by the combined contribution of the Min system and nucleoid occlusion, which negatively regulate FtsZ ring formation, preventing Z-ring formation at the cell poles (Min) or over the chromosome (nucleoid occlusion)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{"citationID":"1htf3bg8pb","properties":{"formattedCitation":"(Raskin and de Boer, 1999; Wu et al., 2009)","plainCitation":"(Raskin and de Boer, 1999; Wu et al., 2009)"},"citationItems":[{"id":155,"uris":["http://zotero.org/users/944474/items/CFDV5B9S"],"uri":["http://zotero.org/users/944474/items/CFDV5B9S"],"itemData":{"id":155,"type":"article-journal","title":"Rapid pole-to-pole oscillation of a protein required for directing division to the middle of Escherichia coli","container-title":"Proceedings of the National Academy of Sciences of the United States of America","page":"4971-4976","volume":"96","issue":"9","abstract":"Accurate placement of the division septum at the midpoint of Escherichia coli cells requires the combined action of a general division inhibitor (MinC), a site-specific suppressor of division inhibition (MinE), and an ATPase (MinD) that is required for proper functioning of both MinC and MinE. We previously showed that a functional MinE-Gfp fusion accumulates in a ring structure at/near the middle of cells. Here we show that functional Gfp-MinD accumulates alternately in either one of the cell halves in what appears to be a rapidly oscillating membrane association-dissociation cycle imposed by MinE. The results indicate that MinD represents a novel type of dynamic cellular element in bacteria, with multiple roles in directing the division apparatus to the middle of the cell.","note":"PMID: 10220403","journalAbbreviation":"Proc. Natl. Acad. Sci. U.S.A.","author":[{"family":"Raskin","given":"D M"},{"family":"de Boer","given":"P A"}],"issued":{"year":1999,"month":4,"day":27},"accessed":{"year":2012,"month":4,"day":23},"page-first":"4971"}},{"id":156,"uris":["http://zotero.org/users/944474/items/M8RS4QZ9"],"uri":["http://zotero.org/users/944474/items/M8RS4QZ9"],"itemData":{"id":156,"type":"article-journal","title":"Noc protein binds to specific DNA sequences to coordinate cell division with chromosome segregation","container-title":"The EMBO Journal","page":"1940-1952","volume":"28","issue":"13","abstract":"Coordination of chromosome segregation and cytokinesis is crucial for efficient cell proliferation. In Bacillus subtilis, the nucleoid occlusion protein Noc protects the chromosomes by associating with the chromosome and preventing cell division in its vicinity. Using protein localization, ChAP-on-Chip and bioinformatics, we have identified a consensus Noc-binding DNA sequence (NBS), and have shown that Noc is targeted to about 70 discrete regions scattered around the chromosome, though absent from a large region around the replication terminus. Purified Noc bound specifically to an NBS in vitro. NBSs inserted near the replication terminus bound Noc-YFP and caused a delay in cell division. An autonomous plasmid carrying an NBS array recruited Noc-YFP and conferred a severe Noc-dependent inhibition of cell division. This shows that Noc is a potent inhibitor of division, but that its activity is strictly localized by the interaction with NBS sites in vivo. We propose that Noc serves not only as a spatial regulator of cell division to protect the nucleoid, but also as a timing device with an important role in the coordination of chromosome segregation and cell division.","DOI":"10.1038/emboj.2009.144","note":"PMID: 19494834","journalAbbreviation":"EMBO J.","author":[{"family":"Wu","given":"Ling Juan"},{"family":"Ishikawa","given":"Shu"},{"family":"Kawai","given":"Yoshikazu"},{"family":"Oshima","given":"Taku"},{"family":"Ogasawara","given":"Naotake"},{"family":"Errington","given":"Jeff"}],"issued":{"year":2009,"month":7,"day":8},"accessed":{"year":2012,"month":4,"day":23},"page-first":"1940"}}],"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rPr>
        <w:t xml:space="preserve">(Raskin and de Boer, 1999; Wu </w:t>
      </w:r>
      <w:r>
        <w:rPr>
          <w:rFonts w:ascii="Times New Roman" w:hAnsi="Times New Roman" w:cs="Times New Roman"/>
          <w:i/>
          <w:sz w:val="24"/>
        </w:rPr>
        <w:t>et al</w:t>
      </w:r>
      <w:r>
        <w:rPr>
          <w:rFonts w:ascii="Times New Roman" w:hAnsi="Times New Roman" w:cs="Times New Roman"/>
          <w:sz w:val="24"/>
        </w:rPr>
        <w:t>., 2009)</w:t>
      </w:r>
      <w:r>
        <w:rPr>
          <w:rFonts w:ascii="Times New Roman" w:hAnsi="Times New Roman" w:cs="Times New Roman"/>
          <w:sz w:val="24"/>
          <w:szCs w:val="24"/>
        </w:rPr>
        <w:fldChar w:fldCharType="end"/>
      </w:r>
      <w:r>
        <w:rPr>
          <w:rFonts w:ascii="Times New Roman" w:hAnsi="Times New Roman" w:cs="Times New Roman"/>
          <w:sz w:val="24"/>
          <w:szCs w:val="24"/>
        </w:rPr>
        <w:t xml:space="preserve">. Recently, positive regulation of Z-ring formation by SsgAB has been demonstrated in sporulating </w:t>
      </w:r>
      <w:r>
        <w:rPr>
          <w:rFonts w:ascii="Times New Roman" w:hAnsi="Times New Roman" w:cs="Times New Roman"/>
          <w:i/>
          <w:sz w:val="24"/>
          <w:szCs w:val="24"/>
        </w:rPr>
        <w:t>Streptomyces coelicolor</w:t>
      </w:r>
      <w:r>
        <w:rPr>
          <w:rFonts w:ascii="Times New Roman" w:hAnsi="Times New Roman" w:cs="Times New Roman"/>
          <w:sz w:val="24"/>
          <w:szCs w:val="24"/>
        </w:rPr>
        <w:t xml:space="preserve"> species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{"citationID":"krljifp3","properties":{"formattedCitation":"(Willemse et al., 2011)","plainCitation":"(Willemse et al., 2011)"},"citationItems":[{"id":141,"uris":["http://zotero.org/users/944474/items/BTKAJHJJ"],"uri":["http://zotero.org/users/944474/items/BTKAJHJJ"],"itemData":{"id":141,"type":"article-journal","title":"Positive control of cell division: FtsZ is recruited by SsgB during sporulation of Streptomyces","container-title":"Genes &amp; Development","page":"89-99","volume":"25","issue":"1","abstract":"In bacteria that divide by binary fission, cell division starts with the polymerization of the tubulin homolog FtsZ at mid-cell to form a cell division scaffold (the Z ring), followed by recruitment of the other divisome components. The current view of bacterial cell division control starts from the principle of negative checkpoints that prevent incorrect Z-ring positioning. Here we provide evidence of positive control of cell division during sporulation of Streptomyces, via the direct recruitment of FtsZ by the membrane-associated divisome component SsgB. In vitro studies demonstrated that SsgB promotes the polymerization of FtsZ. The interactions are shown in vivo by time-lapse imaging and Förster resonance energy transfer and fluorescence lifetime imaging microscopy (FRET-FLIM), and are corroborated independently via two-hybrid studies. As determined by fluorescence recovery after photobleaching (FRAP), the turnover of FtsZ protofilaments increased strongly at the time of Z-ring formation. The surprising positive control of Z-ring formation by SsgB implies the evolution of an entirely new way of Z-ring control, which may be explained by the absence of a mid-cell reference point in the long multinucleoid hyphae. In turn, the localization of SsgB is mediated through the orthologous SsgA, and premature expression of the latter is sufficient to directly activate multiple Z-ring formation and hyperdivision at early stages of the Streptomyces cell cycle.","DOI":"10.1101/gad.600211","note":"PMID: 21205868","shortTitle":"Positive control of cell division","journalAbbreviation":"Genes Dev.","author":[{"family":"Willemse","given":"Joost"},{"family":"Borst","given":"Jan Willem"},{"family":"de Waal","given":"Ellen"},{"family":"Bisseling","given":"Ton"},{"family":"van Wezel","given":"Gilles P"}],"issued":{"year":2011,"month":1,"day":1},"accessed":{"year":2012,"month":4,"day":20},"page-first":"89"}}],"schema":"https://github.com/citation-style-language/schema/raw/master/csl-citation.json"}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rPr>
        <w:t xml:space="preserve">(Willemse </w:t>
      </w:r>
      <w:r>
        <w:rPr>
          <w:rFonts w:ascii="Times New Roman" w:hAnsi="Times New Roman" w:cs="Times New Roman"/>
          <w:i/>
          <w:sz w:val="24"/>
        </w:rPr>
        <w:t>et al</w:t>
      </w:r>
      <w:r>
        <w:rPr>
          <w:rFonts w:ascii="Times New Roman" w:hAnsi="Times New Roman" w:cs="Times New Roman"/>
          <w:sz w:val="24"/>
        </w:rPr>
        <w:t>., 2011)</w:t>
      </w:r>
      <w:r>
        <w:rPr>
          <w:rFonts w:ascii="Times New Roman" w:hAnsi="Times New Roman" w:cs="Times New Roman"/>
          <w:sz w:val="24"/>
          <w:szCs w:val="24"/>
        </w:rPr>
        <w:fldChar w:fldCharType="end"/>
      </w:r>
      <w:r>
        <w:rPr>
          <w:rFonts w:ascii="Times New Roman" w:hAnsi="Times New Roman" w:cs="Times New Roman"/>
          <w:sz w:val="24"/>
          <w:szCs w:val="24"/>
        </w:rPr>
        <w:t>. However, no proteinaceous system capable of specifying division on three planes</w:t>
      </w:r>
      <w:r>
        <w:rPr>
          <w:rFonts w:ascii="Times New Roman" w:hAnsi="Times New Roman" w:cs="Times New Roman"/>
          <w:i/>
          <w:sz w:val="24"/>
          <w:szCs w:val="24"/>
        </w:rPr>
        <w:t xml:space="preserve"> </w:t>
      </w:r>
      <w:r>
        <w:rPr>
          <w:rFonts w:ascii="Times New Roman" w:hAnsi="Times New Roman" w:cs="Times New Roman"/>
          <w:sz w:val="24"/>
          <w:szCs w:val="24"/>
        </w:rPr>
        <w:t xml:space="preserve">has been identified in </w:t>
      </w:r>
      <w:r>
        <w:rPr>
          <w:rFonts w:ascii="Times New Roman" w:hAnsi="Times New Roman" w:cs="Times New Roman"/>
          <w:i/>
          <w:sz w:val="24"/>
          <w:szCs w:val="24"/>
        </w:rPr>
        <w:t>S. aureus</w:t>
      </w:r>
      <w:r>
        <w:rPr>
          <w:rFonts w:ascii="Times New Roman" w:hAnsi="Times New Roman" w:cs="Times New Roman"/>
          <w:sz w:val="24"/>
          <w:szCs w:val="24"/>
        </w:rPr>
        <w:t xml:space="preserve">. </w:t>
      </w:r>
      <w:r>
        <w:rPr>
          <w:rFonts w:ascii="Times New Roman" w:hAnsi="Times New Roman" w:cs="Times New Roman"/>
          <w:i/>
          <w:sz w:val="24"/>
          <w:szCs w:val="24"/>
        </w:rPr>
        <w:t xml:space="preserve">S. aureus </w:t>
      </w:r>
      <w:r>
        <w:rPr>
          <w:rFonts w:ascii="Times New Roman" w:hAnsi="Times New Roman" w:cs="Times New Roman"/>
          <w:sz w:val="24"/>
          <w:szCs w:val="24"/>
        </w:rPr>
        <w:t xml:space="preserve">has no Min system homologues and a DivIVA null mutant was not impaired for growth or morphology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{"citationID":"2o2hf3docq","properties":{"formattedCitation":"(Pinho and Errington, 2004)","plainCitation":"(Pinho and Errington, 2004)"},"citationItems":[{"id":137,"uris":["http://zotero.org/users/944474/items/A22CDCTS"],"uri":["http://zotero.org/users/944474/items/A22CDCTS"],"itemData":{"id":137,"type":"article-journal","title":"A divIVA null mutant of Staphylococcus aureus undergoes normal cell division","container-title":"FEMS Microbiology Letters","page":"145-149","volume":"240","issue":"2","abstract":"DivIVA is involved in placement of the division septum and chromosome segregation in Bacillus subtilis and it plays important roles in cell division or morphogenesis in diverse Gram-positive bacteria. In Staphylococcus aureus, DivIVA is localized at the division septum, but it does not colocalize with the chromosomal origin of replication, as labeled with SpoOJ protein. Unexpectedly, a divIVA null mutant is not impaired in growth, nor is it affected in chromosome segregation or cell morphology.","DOI":"10.1016/j.femsle.2004.09.038","note":"PMID: 15522501","journalAbbreviation":"FEMS Microbiol. Lett.","author":[{"family":"Pinho","given":"Mariana G"},{"family":"Errington","given":"Jeff"}],"issued":{"year":2004,"month":11,"day":15},"accessed":{"year":2012,"month":4,"day":20},"page-first":"145"}}],"schema":"https://github.com/citation-style-language/schema/raw/master/csl-citation.json"}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rPr>
        <w:t>(Pinho and Errington, 2004)</w:t>
      </w:r>
      <w:r>
        <w:rPr>
          <w:rFonts w:ascii="Times New Roman" w:hAnsi="Times New Roman" w:cs="Times New Roman"/>
          <w:sz w:val="24"/>
          <w:szCs w:val="24"/>
        </w:rPr>
        <w:fldChar w:fldCharType="end"/>
      </w:r>
      <w:r>
        <w:rPr>
          <w:rFonts w:ascii="Times New Roman" w:hAnsi="Times New Roman" w:cs="Times New Roman"/>
          <w:sz w:val="24"/>
          <w:szCs w:val="24"/>
        </w:rPr>
        <w:t xml:space="preserve">. The activity of </w:t>
      </w:r>
      <w:r>
        <w:rPr>
          <w:rFonts w:ascii="Times New Roman" w:hAnsi="Times New Roman" w:cs="Times New Roman"/>
          <w:i/>
          <w:sz w:val="24"/>
          <w:szCs w:val="24"/>
        </w:rPr>
        <w:t>noc</w:t>
      </w:r>
      <w:r>
        <w:rPr>
          <w:rFonts w:ascii="Times New Roman" w:hAnsi="Times New Roman" w:cs="Times New Roman"/>
          <w:sz w:val="24"/>
          <w:szCs w:val="24"/>
        </w:rPr>
        <w:t xml:space="preserve"> alone is insufficient to specify the orientation of the divisome on </w:t>
      </w:r>
      <w:r>
        <w:rPr>
          <w:rFonts w:ascii="Times New Roman" w:hAnsi="Times New Roman" w:cs="Times New Roman"/>
          <w:sz w:val="24"/>
          <w:szCs w:val="24"/>
        </w:rPr>
        <w:lastRenderedPageBreak/>
        <w:t>three planes. In order to correctly assign the division plane,</w:t>
      </w:r>
      <w:r>
        <w:rPr>
          <w:rFonts w:ascii="Times New Roman" w:hAnsi="Times New Roman" w:cs="Times New Roman"/>
          <w:i/>
          <w:sz w:val="24"/>
          <w:szCs w:val="24"/>
        </w:rPr>
        <w:t xml:space="preserve"> S. aureus</w:t>
      </w:r>
      <w:r>
        <w:rPr>
          <w:rFonts w:ascii="Times New Roman" w:hAnsi="Times New Roman" w:cs="Times New Roman"/>
          <w:sz w:val="24"/>
          <w:szCs w:val="24"/>
        </w:rPr>
        <w:t xml:space="preserve"> cells must have a mechanism to remember the previous two planes of division. As the division plane is re-oriented by each round of division, the mechanism cannot be genetically encoded. A heterogeneously distributed non-DNA component must therefore be inherited by each generation of daughter cells. In bacteria epigenetic inheritance has not been broadly investigated, but has been associated with polar inheritance of the chromosome segregation regulator </w:t>
      </w:r>
      <w:r>
        <w:rPr>
          <w:rFonts w:ascii="Times New Roman" w:hAnsi="Times New Roman" w:cs="Times New Roman"/>
          <w:color w:val="000000" w:themeColor="text1"/>
          <w:sz w:val="24"/>
          <w:szCs w:val="24"/>
        </w:rPr>
        <w:t xml:space="preserve">TipN in </w:t>
      </w:r>
      <w:r>
        <w:rPr>
          <w:rFonts w:ascii="Times New Roman" w:hAnsi="Times New Roman" w:cs="Times New Roman"/>
          <w:i/>
          <w:color w:val="000000" w:themeColor="text1"/>
          <w:sz w:val="24"/>
          <w:szCs w:val="24"/>
        </w:rPr>
        <w:t>C. crescentus</w:t>
      </w:r>
      <w:r>
        <w:rPr>
          <w:rFonts w:ascii="Times New Roman" w:hAnsi="Times New Roman" w:cs="Times New Roman"/>
          <w:color w:val="000000" w:themeColor="text1"/>
          <w:sz w:val="24"/>
          <w:szCs w:val="24"/>
        </w:rPr>
        <w:t>,</w:t>
      </w:r>
      <w:r>
        <w:rPr>
          <w:rFonts w:ascii="Times New Roman" w:hAnsi="Times New Roman" w:cs="Times New Roman"/>
          <w:sz w:val="24"/>
          <w:szCs w:val="24"/>
        </w:rPr>
        <w:t xml:space="preserve"> phase variation of pyelonephritis-associated pilus expression, and gene expression patterns favouring antibiotic resistance, independent of genetically encoded, specialised resistance determinants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{"citationID":"qs1p7s28i","properties":{"formattedCitation":"(Hernday et al., 2002; Adam et al., 2008; Schofield et al., 2010)","plainCitation":"(Hernday et al., 2002; Adam et al., 2008; Schofield et al., 2010)"},"citationItems":[{"id":133,"uris":["http://zotero.org/users/944474/items/EJKBK9CJ"],"uri":["http://zotero.org/users/944474/items/EJKBK9CJ"],"itemData":{"id":133,"type":"article-journal","title":"Self-perpetuating epigenetic pili switches in bacteria","container-title":"Proceedings of the National Academy of Sciences of the United States of America","page":"16470-16476","volume":"99 Suppl 4","abstract":"Bacteria have developed an epigenetic phase variation mechanism to control cell surface pili-adhesin complexes between heritable expression (phase ON) and nonexpression (phase OFF) states. In the pyelonephritis-associated pili (pap) system, global regulators [catabolite gene activator protein (CAP), leucine-responsive regulatory protein (Lrp), DNA adenine methylase (Dam)] and local regulators (PapI and PapB) control phase switching. Lrp binds cooperatively to three pap DNA binding sites, sites 1-3, proximal to the papBA pilin promoter in phase OFF cells, whereas Lrp is bound to sites 4-6 distal to papBA in phase ON cells. Two Dam methylation targets, GATC(prox) and GATC(dist), are located in Lrp binding sites 2 and 5, respectively. In phase OFF cells, binding of Lrp at sites 1-3 inhibits methylation of GATC(prox), forming the phase OFF DNA methylation pattern (GATC(dist) methylated, GATC(prox) nonmethylated). Binding of Lrp at sites 1-3 blocks pap pili transcription and reduces the affinity of Lrp for sites 4-6. Together with methylation of GATC(dist), which inhibits Lrp binding at sites 4-6, the phase OFF state is maintained. We hypothesize that transition to the phase ON state requires DNA replication to dissociate Lrp and generate a hemimethyated GATC(dist) site. PapI and methylation of GATC(prox) act together to increase the affinity of Lrp for sites 4-6. Binding of Lrp at the distal sites protects GATC(dist) from methylation, forming the phase ON methylation pattern (GATC(dist) nonmethyated, GATC(prox) methylated). Lrp binding at sites 4-6 together with cAMP-CAP binding 215.5 bp upstream of the papBA transcription start, is required for activation of pilin transcription. The first gene product of the papBA transcript, PapB, helps maintain the switch in the ON state by activating papI transcription, which in turn maintains Lrp binding at sites 4-6.","DOI":"10.1073/pnas.182427199","note":"PMID: 12202745","journalAbbreviation":"Proc. Natl. Acad. Sci. U.S.A.","author":[{"family":"Hernday","given":"Aaron"},{"family":"Krabbe","given":"Margareta"},{"family":"Braaten","given":"Bruce"},{"family":"Low","given":"David"}],"issued":{"year":2002,"month":12,"day":10},"accessed":{"year":2012,"month":4,"day":20},"page-first":"16470"}},{"id":134,"uris":["http://zotero.org/users/944474/items/NTZ49CUV"],"uri":["http://zotero.org/users/944474/items/NTZ49CUV"],"itemData":{"id":134,"type":"article-journal","title":"Epigenetic inheritance based evolution of antibiotic resistance in bacteria","container-title":"BMC Evolutionary Biology","page":"52","volume":"8","abstract":"BACKGROUND\n\nThe evolution of antibiotic resistance in bacteria is a topic of major medical importance. Evolution is the result of natural selection acting on variant phenotypes. Both the rigid base sequence of DNA and the more plastic expression patterns of the genes present define phenotype.\n\n\nRESULTS\n\nWe investigated the evolution of resistant E. coli when exposed to low concentrations of antibiotic. We show that within an isogenic population there are heritable variations in gene expression patterns, providing phenotypic diversity for antibiotic selection to act on. We studied resistance to three different antibiotics, ampicillin, tetracycline and nalidixic acid, which act by inhibiting cell wall synthesis, protein synthesis and DNA synthesis, respectively. In each case survival rates were too high to be accounted for by spontaneous DNA mutation. In addition, resistance levels could be ramped higher by successive exposures to increasing antibiotic concentrations. Furthermore, reversion rates to antibiotic sensitivity were extremely high, generally over 50%, consistent with an epigenetic inheritance mode of resistance. The gene expression patterns of the antibiotic resistant E. coli were characterized with microarrays. Candidate genes, whose altered expression might confer survival, were tested by driving constitutive overexpression and determining antibiotic resistance. Three categories of resistance genes were identified. The endogenous beta-lactamase gene represented a cryptic gene, normally inactive, but when by chance expressed capable of providing potent ampicillin resistance. The glutamate decarboxylase gene, in contrast, is normally expressed, but when overexpressed has the incidental capacity to give an increase in ampicillin resistance. And the DAM methylase gene is capable of regulating the expression of other genes, including multidrug efflux pumps.\n\n\nCONCLUSION\n\nIn this report we describe the evolution of antibiotic resistance in bacteria mediated by the epigenetic inheritance of variant gene expression patterns. This provides proof in principle that epigenetic inheritance, as well as DNA mutation, can drive evolution.","DOI":"10.1186/1471-2148-8-52","note":"PMID: 18282299","journalAbbreviation":"BMC Evol. Biol.","author":[{"family":"Adam","given":"Mike"},{"family":"Murali","given":"Bhuvana"},{"family":"Glenn","given":"Nicole O"},{"family":"Potter","given":"S Steven"}],"issued":{"year":2008},"accessed":{"year":2012,"month":4,"day":20},"page-first":"52"}},{"id":136,"uris":["http://zotero.org/users/944474/items/F6DM3BBB"],"uri":["http://zotero.org/users/944474/items/F6DM3BBB"],"itemData":{"id":136,"type":"article-journal","title":"Cell cycle coordination and regulation of bacterial chromosome segregation dynamics by polarly localized proteins","container-title":"The EMBO Journal","page":"3068-3081","volume":"29","issue":"18","abstract":"What regulates chromosome segregation dynamics in bacteria is largely unknown. Here, we show in Caulobacter crescentus that the polarity factor TipN regulates the directional motion and overall translocation speed of the parS/ParB partition complex by interacting with ParA at the new pole. In the absence of TipN, ParA structures can regenerate behind the partition complex, leading to stalls and back-and-forth motions of parS/ParB, reminiscent of plasmid behaviour. This extrinsic regulation of the parS/ParB/ParA system directly affects not only division site selection, but also cell growth. Other mechanisms, including the pole-organizing protein PopZ, compensate for the defect in segregation regulation in ΔtipN cells. Accordingly, synthetic lethality of PopZ and TipN is caused by severe chromosome segregation and cell division defects. Our data suggest a mechanistic framework for adapting a self-organizing oscillator to create motion suitable for chromosome segregation.","DOI":"10.1038/emboj.2010.207","note":"PMID: 20802464","journalAbbreviation":"EMBO J.","author":[{"family":"Schofield","given":"Whitman B"},{"family":"Lim","given":"Hoong Chuin"},{"family":"Jacobs-Wagner","given":"Christine"}],"issued":{"year":2010,"month":9,"day":15},"accessed":{"year":2012,"month":4,"day":20},"page-first":"3068"}}],"schema":"https://github.com/citation-style-language/schema/raw/master/csl-citation.json"}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rPr>
        <w:t xml:space="preserve">(Hernday </w:t>
      </w:r>
      <w:r>
        <w:rPr>
          <w:rFonts w:ascii="Times New Roman" w:hAnsi="Times New Roman" w:cs="Times New Roman"/>
          <w:i/>
          <w:sz w:val="24"/>
        </w:rPr>
        <w:t>et al</w:t>
      </w:r>
      <w:r>
        <w:rPr>
          <w:rFonts w:ascii="Times New Roman" w:hAnsi="Times New Roman" w:cs="Times New Roman"/>
          <w:sz w:val="24"/>
        </w:rPr>
        <w:t xml:space="preserve">., 2002; Adam </w:t>
      </w:r>
      <w:r>
        <w:rPr>
          <w:rFonts w:ascii="Times New Roman" w:hAnsi="Times New Roman" w:cs="Times New Roman"/>
          <w:i/>
          <w:sz w:val="24"/>
        </w:rPr>
        <w:t>et al</w:t>
      </w:r>
      <w:r>
        <w:rPr>
          <w:rFonts w:ascii="Times New Roman" w:hAnsi="Times New Roman" w:cs="Times New Roman"/>
          <w:sz w:val="24"/>
        </w:rPr>
        <w:t xml:space="preserve">., 2008; Schofield </w:t>
      </w:r>
      <w:r>
        <w:rPr>
          <w:rFonts w:ascii="Times New Roman" w:hAnsi="Times New Roman" w:cs="Times New Roman"/>
          <w:i/>
          <w:sz w:val="24"/>
        </w:rPr>
        <w:t>et al</w:t>
      </w:r>
      <w:r>
        <w:rPr>
          <w:rFonts w:ascii="Times New Roman" w:hAnsi="Times New Roman" w:cs="Times New Roman"/>
          <w:sz w:val="24"/>
        </w:rPr>
        <w:t>., 2010)</w:t>
      </w:r>
      <w:r>
        <w:rPr>
          <w:rFonts w:ascii="Times New Roman" w:hAnsi="Times New Roman" w:cs="Times New Roman"/>
          <w:sz w:val="24"/>
          <w:szCs w:val="24"/>
        </w:rPr>
        <w:fldChar w:fldCharType="end"/>
      </w:r>
      <w:r>
        <w:rPr>
          <w:rFonts w:ascii="Times New Roman" w:hAnsi="Times New Roman" w:cs="Times New Roman"/>
          <w:sz w:val="24"/>
          <w:szCs w:val="24"/>
        </w:rPr>
        <w:t>.</w:t>
      </w:r>
    </w:p>
    <w:p w:rsidR="00AA5269" w:rsidRDefault="00AA5269" w:rsidP="00AA526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AFM analysis of </w:t>
      </w:r>
      <w:r>
        <w:rPr>
          <w:rFonts w:ascii="Times New Roman" w:hAnsi="Times New Roman" w:cs="Times New Roman"/>
          <w:i/>
          <w:sz w:val="24"/>
          <w:szCs w:val="24"/>
        </w:rPr>
        <w:t>S. aureus</w:t>
      </w:r>
      <w:r>
        <w:rPr>
          <w:rFonts w:ascii="Times New Roman" w:hAnsi="Times New Roman" w:cs="Times New Roman"/>
          <w:sz w:val="24"/>
          <w:szCs w:val="24"/>
        </w:rPr>
        <w:t xml:space="preserve"> sacculi revealed the presence of peptidoglycan ribs which demark the equatorial plane of all three previous divisions, and are modified by each subsequent division. Peptidoglycan ribs therefore fill all the criteria required of a heterogeneously distributed epigenetic memory for orthogonal division. The epigenetic memory for division on orthogonal planes may therefore be encoded directly into the architecture of the peptidoglycan, which is modified and inherited by division of daughter cells. </w:t>
      </w:r>
    </w:p>
    <w:p w:rsidR="00AA5269" w:rsidRDefault="00AA5269" w:rsidP="00AA5269">
      <w:pPr>
        <w:spacing w:line="480" w:lineRule="auto"/>
        <w:jc w:val="both"/>
        <w:rPr>
          <w:rFonts w:ascii="Times New Roman" w:hAnsi="Times New Roman" w:cs="Times New Roman"/>
          <w:i/>
          <w:sz w:val="24"/>
          <w:szCs w:val="24"/>
        </w:rPr>
      </w:pPr>
      <w:r>
        <w:rPr>
          <w:rFonts w:ascii="Times New Roman" w:hAnsi="Times New Roman" w:cs="Times New Roman"/>
          <w:sz w:val="24"/>
          <w:szCs w:val="24"/>
        </w:rPr>
        <w:t xml:space="preserve">How might such a mechanism work? Intracellular protrusion of the peptidoglycan ribs could cause a localised deformation of the cytoplasmic membrane to coordinate proteinaceous systems that recognise membrane curvature. If the ribs do impinge on the membrane curvature, then the cell circumference is likely to be greatest on the plane containing the quarter rib, as this is the shortest rib and will cause the least membrane deformation. An alternative possibility is that the nanoscale peptidoglycan architecture at the ribs or rib junctions may be unique, facilitating localisation of the cell wall synthesis machinery or scaffold proteins that interact directly with the peptidoglycan, by </w:t>
      </w:r>
      <w:r>
        <w:rPr>
          <w:rFonts w:ascii="Times New Roman" w:hAnsi="Times New Roman" w:cs="Times New Roman"/>
          <w:sz w:val="24"/>
          <w:szCs w:val="24"/>
        </w:rPr>
        <w:lastRenderedPageBreak/>
        <w:t>providing a region rich in binding sites. The ribs could also be seeded, during piecrust synthesis, with effectors that prime the cell for division. However the two latter hypotheses are counter intuitive as the ribs are halved in size each time the cell divides, and the plane of division would therefore associate with the rib containing the fewest primed sites. Vancomycin labelling revealed that formation of a new piecrust on the future division plane overlapped with the current round of daughter cell separation. Piecrust formation was therefore initiated during a phase of cell asymmetry on one division plane (hemispherical shape). During this phase, the transient pole of the cell, diametrically opposite the completed septum, contains a T-junction formed by the intersecting half and quarter rib. Such a phenomenon could contribute to establishment of the next division plane. The means by which peptidoglycan ribs act as privileged sites for localisation of the division machinery remains unclear.</w:t>
      </w:r>
    </w:p>
    <w:p w:rsidR="00AA5269" w:rsidRDefault="00AA5269" w:rsidP="00AA5269">
      <w:pPr>
        <w:spacing w:line="480" w:lineRule="auto"/>
        <w:jc w:val="both"/>
        <w:rPr>
          <w:rFonts w:ascii="Times New Roman" w:hAnsi="Times New Roman" w:cs="Times New Roman"/>
          <w:sz w:val="24"/>
          <w:szCs w:val="24"/>
        </w:rPr>
      </w:pPr>
    </w:p>
    <w:p w:rsidR="00AA5269" w:rsidRDefault="00AA5269" w:rsidP="00AA5269">
      <w:pPr>
        <w:spacing w:line="480" w:lineRule="auto"/>
        <w:ind w:left="1440" w:hanging="1440"/>
        <w:jc w:val="both"/>
        <w:rPr>
          <w:rFonts w:ascii="Times New Roman" w:hAnsi="Times New Roman" w:cs="Times New Roman"/>
          <w:sz w:val="28"/>
          <w:szCs w:val="28"/>
        </w:rPr>
      </w:pPr>
      <w:r>
        <w:rPr>
          <w:rFonts w:ascii="Times New Roman" w:hAnsi="Times New Roman" w:cs="Times New Roman"/>
          <w:sz w:val="28"/>
          <w:szCs w:val="28"/>
        </w:rPr>
        <w:t>4.3.2</w:t>
      </w:r>
      <w:r>
        <w:rPr>
          <w:rFonts w:ascii="Times New Roman" w:hAnsi="Times New Roman" w:cs="Times New Roman"/>
          <w:sz w:val="28"/>
          <w:szCs w:val="28"/>
        </w:rPr>
        <w:tab/>
        <w:t>Investigation of peptidoglycan chemistry with fluorescent probes.</w:t>
      </w:r>
    </w:p>
    <w:p w:rsidR="00AA5269" w:rsidRDefault="00AA5269" w:rsidP="00AA526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BODIPY SSE and WGA labelling was generally similar in </w:t>
      </w:r>
      <w:r>
        <w:rPr>
          <w:rFonts w:ascii="Times New Roman" w:hAnsi="Times New Roman" w:cs="Times New Roman"/>
          <w:i/>
          <w:sz w:val="24"/>
          <w:szCs w:val="24"/>
        </w:rPr>
        <w:t>B. subtilis</w:t>
      </w:r>
      <w:r>
        <w:rPr>
          <w:rFonts w:ascii="Times New Roman" w:hAnsi="Times New Roman" w:cs="Times New Roman"/>
          <w:sz w:val="24"/>
          <w:szCs w:val="24"/>
        </w:rPr>
        <w:t xml:space="preserve"> and </w:t>
      </w:r>
      <w:r>
        <w:rPr>
          <w:rFonts w:ascii="Times New Roman" w:hAnsi="Times New Roman" w:cs="Times New Roman"/>
          <w:i/>
          <w:sz w:val="24"/>
          <w:szCs w:val="24"/>
        </w:rPr>
        <w:t>L. lactis</w:t>
      </w:r>
      <w:r>
        <w:rPr>
          <w:rFonts w:ascii="Times New Roman" w:hAnsi="Times New Roman" w:cs="Times New Roman"/>
          <w:sz w:val="24"/>
          <w:szCs w:val="24"/>
        </w:rPr>
        <w:t xml:space="preserve"> extracted cells, suggesting that WGA is able to access Glc</w:t>
      </w:r>
      <w:r>
        <w:rPr>
          <w:rFonts w:ascii="Times New Roman" w:hAnsi="Times New Roman" w:cs="Times New Roman"/>
          <w:i/>
          <w:sz w:val="24"/>
          <w:szCs w:val="24"/>
        </w:rPr>
        <w:t>N</w:t>
      </w:r>
      <w:r>
        <w:rPr>
          <w:rFonts w:ascii="Times New Roman" w:hAnsi="Times New Roman" w:cs="Times New Roman"/>
          <w:sz w:val="24"/>
          <w:szCs w:val="24"/>
        </w:rPr>
        <w:t xml:space="preserve">Ac binding sites homogenously in these organisms. However, additional rings of fluorescence were observed in filamentous </w:t>
      </w:r>
      <w:r>
        <w:rPr>
          <w:rFonts w:ascii="Times New Roman" w:hAnsi="Times New Roman" w:cs="Times New Roman"/>
          <w:i/>
          <w:sz w:val="24"/>
          <w:szCs w:val="24"/>
        </w:rPr>
        <w:t xml:space="preserve">B. subtilis </w:t>
      </w:r>
      <w:r>
        <w:rPr>
          <w:rFonts w:ascii="Times New Roman" w:hAnsi="Times New Roman" w:cs="Times New Roman"/>
          <w:sz w:val="24"/>
          <w:szCs w:val="24"/>
        </w:rPr>
        <w:t xml:space="preserve">cells labelled with BODIPY SSE. Presumably these rings were sites of nascent septation. The difference in labelling profile suggests either that WGA was unable to penetrate the cell wall sufficiently at these sites to give a strong signal, or that these sites contained a greater abundance of free-amine groups per unit volume of the cell wall. In either case, the difference in labelling pattern suggests that the local peptidoglycan architecture at these sites differs from the rest of the </w:t>
      </w:r>
      <w:r>
        <w:rPr>
          <w:rFonts w:ascii="Times New Roman" w:hAnsi="Times New Roman" w:cs="Times New Roman"/>
          <w:sz w:val="24"/>
          <w:szCs w:val="24"/>
        </w:rPr>
        <w:lastRenderedPageBreak/>
        <w:t xml:space="preserve">sacculus. In </w:t>
      </w:r>
      <w:r>
        <w:rPr>
          <w:rFonts w:ascii="Times New Roman" w:hAnsi="Times New Roman" w:cs="Times New Roman"/>
          <w:i/>
          <w:sz w:val="24"/>
          <w:szCs w:val="24"/>
        </w:rPr>
        <w:t xml:space="preserve">L. lactis </w:t>
      </w:r>
      <w:r>
        <w:rPr>
          <w:rFonts w:ascii="Times New Roman" w:hAnsi="Times New Roman" w:cs="Times New Roman"/>
          <w:sz w:val="24"/>
          <w:szCs w:val="24"/>
        </w:rPr>
        <w:t xml:space="preserve">BODIPY SSE labelled non-uniformly around the cell wall, often appearing brighter at the poles than at the mid-cell. This could reflect a difference in the degree of cross-linking between mature and nascent cell walls, perhaps resulting from the prolonged exposure of older cell hemispheres to autolysin activity. The BODIPY SSE labelling pattern in </w:t>
      </w:r>
      <w:r>
        <w:rPr>
          <w:rFonts w:ascii="Times New Roman" w:hAnsi="Times New Roman" w:cs="Times New Roman"/>
          <w:i/>
          <w:sz w:val="24"/>
          <w:szCs w:val="24"/>
        </w:rPr>
        <w:t>L. lactis</w:t>
      </w:r>
      <w:r>
        <w:rPr>
          <w:rFonts w:ascii="Times New Roman" w:hAnsi="Times New Roman" w:cs="Times New Roman"/>
          <w:sz w:val="24"/>
          <w:szCs w:val="24"/>
        </w:rPr>
        <w:t xml:space="preserve"> is consistent with vancomycin labelling and AFM observations that cell wall synthesis and hydrolysis are tightly coordinated resulting in a very narrow </w:t>
      </w:r>
      <w:r>
        <w:rPr>
          <w:rFonts w:ascii="Times New Roman" w:hAnsi="Times New Roman" w:cs="Times New Roman"/>
          <w:color w:val="000000" w:themeColor="text1"/>
          <w:sz w:val="24"/>
          <w:szCs w:val="24"/>
        </w:rPr>
        <w:t>growth annulus (Chapter 3). The ability</w:t>
      </w:r>
      <w:r>
        <w:rPr>
          <w:rFonts w:ascii="Times New Roman" w:hAnsi="Times New Roman" w:cs="Times New Roman"/>
          <w:sz w:val="24"/>
          <w:szCs w:val="24"/>
        </w:rPr>
        <w:t xml:space="preserve"> to visualise apparent equatorial rings in daughter cells suggests superior access to binding sites by the BODIPY SSE probe.</w:t>
      </w:r>
    </w:p>
    <w:p w:rsidR="00AA5269" w:rsidRDefault="00AA5269" w:rsidP="00AA526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 difference between the WGA and BODIPY SSE labelling pattern was most striking in the case of </w:t>
      </w:r>
      <w:r>
        <w:rPr>
          <w:rFonts w:ascii="Times New Roman" w:hAnsi="Times New Roman" w:cs="Times New Roman"/>
          <w:i/>
          <w:sz w:val="24"/>
          <w:szCs w:val="24"/>
        </w:rPr>
        <w:t>S. aureus.</w:t>
      </w:r>
      <w:r>
        <w:rPr>
          <w:rFonts w:ascii="Times New Roman" w:hAnsi="Times New Roman" w:cs="Times New Roman"/>
          <w:sz w:val="24"/>
          <w:szCs w:val="24"/>
        </w:rPr>
        <w:t xml:space="preserve"> The difference was particularly marked in cells that had separated from sister cells, but that had not assumed spherical shape (i.e. pseudohemispherical cells). This difference indicates that the peptidoglycan architecture in nascent cell walls is fundamentally altered when the nascent cross wall matures to form a mature cell hemisphere. Presumably this is the same process resulting in the transition from rings to knobbles architecture revealed by AFM. The ability of pseudohemispherical </w:t>
      </w:r>
      <w:r>
        <w:rPr>
          <w:rFonts w:ascii="Times New Roman" w:hAnsi="Times New Roman" w:cs="Times New Roman"/>
          <w:i/>
          <w:sz w:val="24"/>
          <w:szCs w:val="24"/>
        </w:rPr>
        <w:t>S. aureus</w:t>
      </w:r>
      <w:r>
        <w:rPr>
          <w:rFonts w:ascii="Times New Roman" w:hAnsi="Times New Roman" w:cs="Times New Roman"/>
          <w:sz w:val="24"/>
          <w:szCs w:val="24"/>
        </w:rPr>
        <w:t xml:space="preserve"> cells to endure after daughter cell separation, together with AFM evidence that nascent peptidoglycan architecture is fundamentally altered during maturation, indicates that transition to coccoid shape is not simply the result of volume increase by osmosis. We hypothesise that this processes is controlled by peptidoglycan hydrolases, which cleave bonds to increase the elasticity of the nascent cell wall, permitting expansion of the sacculus (growth by hydrolysis) to assume a spherical shape.</w:t>
      </w:r>
    </w:p>
    <w:p w:rsidR="00AA5269" w:rsidRDefault="00AA5269" w:rsidP="00AA526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Treatment of </w:t>
      </w:r>
      <w:r>
        <w:rPr>
          <w:rFonts w:ascii="Times New Roman" w:hAnsi="Times New Roman" w:cs="Times New Roman"/>
          <w:i/>
          <w:sz w:val="24"/>
          <w:szCs w:val="24"/>
        </w:rPr>
        <w:t xml:space="preserve">B. subtilis </w:t>
      </w:r>
      <w:r>
        <w:rPr>
          <w:rFonts w:ascii="Times New Roman" w:hAnsi="Times New Roman" w:cs="Times New Roman"/>
          <w:sz w:val="24"/>
          <w:szCs w:val="24"/>
        </w:rPr>
        <w:t xml:space="preserve">cell walls with acetic anhydride blocked binding of the BODIPY SSE probe indicating the specificity of the probe for amine groups. When </w:t>
      </w:r>
      <w:r>
        <w:rPr>
          <w:rFonts w:ascii="Times New Roman" w:hAnsi="Times New Roman" w:cs="Times New Roman"/>
          <w:sz w:val="24"/>
          <w:szCs w:val="24"/>
        </w:rPr>
        <w:lastRenderedPageBreak/>
        <w:t xml:space="preserve">treated with Atl amidase, a strong fluorescence signal was obtained at the septa, decreasing with time presumably due to prolonged hydrolysis of sacculi and loss of material. However, further investigation will be required before concluding that increased BODIPY SSE labelling was due to binding of exposed </w:t>
      </w:r>
      <w:r>
        <w:rPr>
          <w:rFonts w:ascii="Times New Roman" w:hAnsi="Times New Roman" w:cs="Times New Roman"/>
          <w:sz w:val="16"/>
          <w:szCs w:val="16"/>
        </w:rPr>
        <w:t>L</w:t>
      </w:r>
      <w:r>
        <w:rPr>
          <w:rFonts w:ascii="Times New Roman" w:hAnsi="Times New Roman" w:cs="Times New Roman"/>
          <w:sz w:val="24"/>
          <w:szCs w:val="24"/>
        </w:rPr>
        <w:t xml:space="preserve">-Ala N-termini. Atl localises at the septum </w:t>
      </w:r>
      <w:r>
        <w:rPr>
          <w:rFonts w:ascii="Times New Roman" w:hAnsi="Times New Roman" w:cs="Times New Roman"/>
          <w:i/>
          <w:sz w:val="24"/>
          <w:szCs w:val="24"/>
        </w:rPr>
        <w:t>in vivo</w:t>
      </w:r>
      <w:r>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{"citationID":"23jb64dfvl","properties":{"formattedCitation":"(Yamada et al., 1996)","plainCitation":"(Yamada et al., 1996)"},"citationItems":[{"id":135,"uris":["http://zotero.org/users/944474/items/VKVI2N2S"],"uri":["http://zotero.org/users/944474/items/VKVI2N2S"],"itemData":{"id":135,"type":"article-journal","title":"An autolysin ring associated with cell separation of Staphylococcus aureus","container-title":"Journal of Bacteriology","page":"1565-1571","volume":"178","issue":"6","abstract":"atl is a newly discovered autolysin gene in Staphylococcus aureus. The gene product, ATL, is a unique, bifunctional protein that has an amidase domain and a glucosaminidase domain. It undergoes proteolytic processing to generate two extracellular peptidoglycan hydrolases, a 59-kDa endo-beta-N-acetylglucosaminidase and a 62-kDa N-acetylmuramyl-L-alanine amidase. It has been suggested that these enzymes are involved in the separation of daughter cells after cell division. We recently demonstrated that atl gene products are cell associated (unpublished data). The cell surface localization of the atl gene products was investigated by immunoelectron microscopy using anti-62-kDa N-acetylmuramyl-L-alanine amidase or anti-51-kDa endo-beta-N-acetylglucosaminidase immunoglobulin G. Protein A-gold particles reacting with the antigen-antibody complex were found to form a ring structure on the cell surface at the septal region for the next cell division site. Electron microscopic examination of an ultrathin section of the preembedded sample revealed preferential distribution of the gold particles at the presumptive sites for cell separation where the new septa had not been completed. The distribution of the gold particles on the surface of protoplast cells and the association of the gold particles with fibrous materials extending from the cells suggested that some atl gene products were associated with a cellular component extending from the cell membrane, such as lipoteichoic acid. The formation of a ring structure of atl gene products may be required for efficient partitioning of daughter cells after cell division.","note":"PMID: 8626282","journalAbbreviation":"J. Bacteriol.","author":[{"family":"Yamada","given":"S"},{"family":"Sugai","given":"M"},{"family":"Komatsuzawa","given":"H"},{"family":"Nakashima","given":"S"},{"family":"Oshida","given":"T"},{"family":"Matsumoto","given":"A"},{"family":"Suginaka","given":"H"}],"issued":{"year":1996,"month":3},"accessed":{"year":2012,"month":4,"day":20},"page-first":"1565"}}],"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rPr>
        <w:t xml:space="preserve">(Yamada </w:t>
      </w:r>
      <w:r>
        <w:rPr>
          <w:rFonts w:ascii="Times New Roman" w:hAnsi="Times New Roman" w:cs="Times New Roman"/>
          <w:i/>
          <w:sz w:val="24"/>
        </w:rPr>
        <w:t>et al</w:t>
      </w:r>
      <w:r>
        <w:rPr>
          <w:rFonts w:ascii="Times New Roman" w:hAnsi="Times New Roman" w:cs="Times New Roman"/>
          <w:sz w:val="24"/>
        </w:rPr>
        <w:t>., 1996)</w:t>
      </w:r>
      <w:r>
        <w:rPr>
          <w:rFonts w:ascii="Times New Roman" w:hAnsi="Times New Roman" w:cs="Times New Roman"/>
          <w:sz w:val="24"/>
          <w:szCs w:val="24"/>
        </w:rPr>
        <w:fldChar w:fldCharType="end"/>
      </w:r>
      <w:r>
        <w:rPr>
          <w:rFonts w:ascii="Times New Roman" w:hAnsi="Times New Roman" w:cs="Times New Roman"/>
          <w:sz w:val="24"/>
          <w:szCs w:val="24"/>
        </w:rPr>
        <w:t xml:space="preserve">. Exogenous Atl may preferentially bind at the septum </w:t>
      </w:r>
      <w:r>
        <w:rPr>
          <w:rFonts w:ascii="Times New Roman" w:hAnsi="Times New Roman" w:cs="Times New Roman"/>
          <w:i/>
          <w:sz w:val="24"/>
          <w:szCs w:val="24"/>
        </w:rPr>
        <w:t>in vitro</w:t>
      </w:r>
      <w:r>
        <w:rPr>
          <w:rFonts w:ascii="Times New Roman" w:hAnsi="Times New Roman" w:cs="Times New Roman"/>
          <w:sz w:val="24"/>
          <w:szCs w:val="24"/>
        </w:rPr>
        <w:t xml:space="preserve">. If so, Atl amidase bound at the septum could have been labelled by the probe. Improvement of the experimental method, for example by trypsin digest to inactivate Atl, or by washing the slides with a solution of NaCl and SDS to inhibit ionic interaction with the peptidoglycan and denature the protein, would preclude the possibility that septal fluorescence was due to Atl binding. It would also be useful to include an Atl glucosaminidase control as this would theoretically localise to the septum but would not expose N-termini as a result of hydrolysis. </w:t>
      </w:r>
    </w:p>
    <w:p w:rsidR="00AA5269" w:rsidRDefault="00AA5269" w:rsidP="00AA5269">
      <w:pPr>
        <w:spacing w:line="480" w:lineRule="auto"/>
        <w:jc w:val="both"/>
        <w:rPr>
          <w:rFonts w:ascii="Times New Roman" w:hAnsi="Times New Roman" w:cs="Times New Roman"/>
          <w:sz w:val="24"/>
          <w:szCs w:val="24"/>
        </w:rPr>
      </w:pPr>
      <w:r>
        <w:rPr>
          <w:rFonts w:ascii="Times New Roman" w:hAnsi="Times New Roman" w:cs="Times New Roman"/>
          <w:sz w:val="24"/>
          <w:szCs w:val="24"/>
        </w:rPr>
        <w:t>The HAF488 probe bound cell walls with much less intensity than the BODIPY SSE probe, as expected given that the abundance of glycan chain reducing termini in the cell wall is expected to be comparatively lower. This suggests that the HAF488 probe does not bind non-specifically to other related groups in the cell wall. Furthermore, cell walls were more easily visualised as the degree of purification increased (reducing the intensity of competing intracellular fluorescence). This suggests that there are few, if any, non-peptidoglycan targets in the cell wall that can be bound by the HAF488 probe. It is unknown whether all available reducing termini labelled with HAF488. Surprisingly, reduction with NaBH</w:t>
      </w:r>
      <w:r>
        <w:rPr>
          <w:rFonts w:ascii="Times New Roman" w:hAnsi="Times New Roman" w:cs="Times New Roman"/>
          <w:sz w:val="24"/>
          <w:szCs w:val="24"/>
          <w:vertAlign w:val="subscript"/>
        </w:rPr>
        <w:t>3</w:t>
      </w:r>
      <w:r>
        <w:rPr>
          <w:rFonts w:ascii="Times New Roman" w:hAnsi="Times New Roman" w:cs="Times New Roman"/>
          <w:sz w:val="24"/>
          <w:szCs w:val="24"/>
        </w:rPr>
        <w:t xml:space="preserve">CN to stabilise HAF488 binding resulted in decreased fluorescence. It is possible that the reducing conditions inactivated the AlexaFluor dye, which will require further investigation. The addition of aniline during incubation with a hydroxylamine catalyses the reaction between hydroxylamines and </w:t>
      </w:r>
      <w:r>
        <w:rPr>
          <w:rFonts w:ascii="Times New Roman" w:hAnsi="Times New Roman" w:cs="Times New Roman"/>
          <w:sz w:val="24"/>
          <w:szCs w:val="24"/>
        </w:rPr>
        <w:lastRenderedPageBreak/>
        <w:t xml:space="preserve">aldehydes, and it would be interesting to see if this improved the efficiency of HAF488 labelling of sacculi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{"citationID":"g9sumf305","properties":{"formattedCitation":"(Dirksen and Dawson, 2008)","plainCitation":"(Dirksen and Dawson, 2008)"},"citationItems":[{"id":126,"uris":["http://zotero.org/users/944474/items/9MUANSRQ"],"uri":["http://zotero.org/users/944474/items/9MUANSRQ"],"itemData":{"id":126,"type":"article-journal","title":"Rapid oxime and hydrazone ligations with aromatic aldehydes for biomolecular labeling","container-title":"Bioconjugate Chemistry","page":"2543-2548","volume":"19","issue":"12","abstract":"A high-yielding and rapid chemoselective ligation approach is presented that uses aniline catalysis to activate aromatic aldehydes toward two amine nucleophiles, namely, 6-hydrazinopyridyl and aminooxyacetyl groups. The rates of these ligations are resolved for model reactions with unprotected peptides. The resulting hydrazone and oxime conjugates are attained under ambient conditions with rate constants of 10(1)-10(3) M(-1) s(-1). These rate constants exceed those of current chemoselective ligation chemistries and enable efficient labeling of peptides and proteins at low muM concentrations, at neutral pH, without using a large excess of one of the components. The utility of the approach is demonstrated by the p-fluorobenzylation of human serum albumin and by the fluorescent labeling of an unprotected peptide with Alexa Fluor 488.","DOI":"10.1021/bc800310p","note":"PMID: 19053314","journalAbbreviation":"Bioconjug. Chem.","author":[{"family":"Dirksen","given":"Anouk"},{"family":"Dawson","given":"Philip E"}],"issued":{"year":2008,"month":12},"accessed":{"year":2012,"month":4,"day":12},"page-first":"2543"}}],"schema":"https://github.com/citation-style-language/schema/raw/master/csl-citation.json"}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cs="Times New Roman"/>
          <w:sz w:val="24"/>
        </w:rPr>
        <w:t>(Dirksen and Dawson, 2008)</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rsidR="00AA5269" w:rsidRDefault="00AA5269" w:rsidP="00AA526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Labelling of purified peptidoglycan sacculi with BODIPY SSE and HAF488 indicated that the chemical probes bind peptidoglycan, although the precise specificity of the probes for the target remains to be demonstrated experimentally by analysis of purified glycan strands and muropeptides. Amino acid analysis by HPLC is not possible as derivatization of peptide stems into the substituent amino acids by acid hydrolysis would cleave the amide bond formed between the probe and the amino acid. It may be possible however to deduce the binding specificity by analysis of muropeptides and glycan material by HPLC coupled to mass spectrometry or by NMR analysis of purified peptides or glycan material. Analysis of the peptidoglycan structure of glycopeptides resistant </w:t>
      </w:r>
      <w:r>
        <w:rPr>
          <w:rFonts w:ascii="Times New Roman" w:hAnsi="Times New Roman" w:cs="Times New Roman"/>
          <w:i/>
          <w:sz w:val="24"/>
          <w:szCs w:val="24"/>
        </w:rPr>
        <w:t>Enterococcus faecium</w:t>
      </w:r>
      <w:r>
        <w:rPr>
          <w:rFonts w:ascii="Times New Roman" w:hAnsi="Times New Roman" w:cs="Times New Roman"/>
          <w:sz w:val="24"/>
          <w:szCs w:val="24"/>
        </w:rPr>
        <w:t xml:space="preserve"> using a strategy of mass spectrometry analysis complemented by NMR allowed </w:t>
      </w:r>
      <w:r>
        <w:rPr>
          <w:rFonts w:ascii="Times New Roman" w:hAnsi="Times New Roman" w:cs="Times New Roman"/>
          <w:color w:val="000000" w:themeColor="text1"/>
          <w:sz w:val="24"/>
          <w:szCs w:val="24"/>
        </w:rPr>
        <w:t xml:space="preserve">quantitative characterisation of individual muropeptide species that could not be adequately resolved by HPLC alone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{"citationID":"16v4ppt32a","properties":{"formattedCitation":"(Patti et al., 2008)","plainCitation":"(Patti et al., 2008)"},"citationItems":[{"id":169,"uris":["http://zotero.org/users/944474/items/5A3FNPDN"],"uri":["http://zotero.org/users/944474/items/5A3FNPDN"],"itemData":{"id":169,"type":"article-journal","title":"Characterization of structural variations in the peptidoglycan of vancomycin-susceptible Enterococcus faecium: understanding glycopeptide-antibiotic binding sites using mass spectrometry","container-title":"Journal of the American Society for Mass Spectrometry","page":"1467-1475","volume":"19","issue":"10","abstract":"Enterococcus faecium, an opportunistic pathogen that causes a significant number of hospital-acquired infections each year, presents a serious clinical challenge because an increasing number of infections are resistant to the so-called antibiotic of last resort, vancomycin. Vancomycin and other new glycopeptide derivatives target the bacterial cell wall, thereby perturbing its biosynthesis. To help determine the modes of action of glycopeptide antibiotics, we have developed a bottom-up mass spectrometry approach complemented by solid-state nuclear magnetic resonance (NMR) to elucidate important structural characteristics of vancomycin-susceptible E. faecium peptidoglycan. Using accurate-mass measurements and integrating ion-current chromatographic peaks of digested peptidoglycan, we identified individual muropeptide species and approximated the relative amount of each. Even though the organism investigated is susceptible to vancomycin, only 3% of the digested peptidoglycan has the well-known D-Ala-D-Ala vancomycin-binding site. The data are consistent with a previously proposed template model of cell-wall biosynthesis where D-Ala-D-Ala stems that are not cross-linked are cleaved in mature peptidoglycan. Additionally, our mass-spectrometry approach allowed differentiation and quantification of muropeptide species seen as unresolved chromatographic peaks. Our method provides an estimate of the extent of muropeptides containing O-acetylation, amidation, hydroxylation, and the number of species forming cyclic imides. The varieties of muropeptides on which the modifications are detected suggest that significant processing occurs in mature peptidoglycan where several enzymes are active in editing cell-wall structure.","DOI":"10.1016/j.jasms.2008.06.020","note":"PMID: 18692403","shortTitle":"Characterization of structural variations in the peptidoglycan of vancomycin-susceptible Enterococcus faecium","journalAbbreviation":"J. Am. Soc. Mass Spectrom.","author":[{"family":"Patti","given":"Gary J"},{"family":"Chen","given":"Jiawei"},{"family":"Schaefer","given":"Jacob"},{"family":"Gross","given":"Michael L"}],"issued":{"year":2008,"month":10},"accessed":{"year":2012,"month":5,"day":8},"page-first":"1467"}}],"schema":"https://github.com/citation-style-language/schema/raw/master/csl-citation.json"}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(Patti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2008)</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In</w:t>
      </w:r>
      <w:r>
        <w:rPr>
          <w:rFonts w:ascii="Times New Roman" w:hAnsi="Times New Roman" w:cs="Times New Roman"/>
          <w:sz w:val="24"/>
          <w:szCs w:val="24"/>
        </w:rPr>
        <w:t xml:space="preserve"> the case of HAF488, it would be necessary to examine the stability of the bound probe as HPLC separation is typically performed at pH 2.</w:t>
      </w:r>
    </w:p>
    <w:p w:rsidR="00AA5269" w:rsidRDefault="00AA5269" w:rsidP="00AA526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 preliminary studies presented here demonstrate the potential of using chemical probes to elucidate peptidoglycan chemistry </w:t>
      </w:r>
      <w:r>
        <w:rPr>
          <w:rFonts w:ascii="Times New Roman" w:hAnsi="Times New Roman" w:cs="Times New Roman"/>
          <w:i/>
          <w:sz w:val="24"/>
          <w:szCs w:val="24"/>
        </w:rPr>
        <w:t>in situ</w:t>
      </w:r>
      <w:r>
        <w:rPr>
          <w:rFonts w:ascii="Times New Roman" w:hAnsi="Times New Roman" w:cs="Times New Roman"/>
          <w:sz w:val="24"/>
          <w:szCs w:val="24"/>
        </w:rPr>
        <w:t xml:space="preserve">. However the application of such probes in conjunction with standard light microscopy is of limited use as the resolution </w:t>
      </w:r>
      <w:r>
        <w:rPr>
          <w:rFonts w:ascii="Times New Roman" w:hAnsi="Times New Roman" w:cs="Times New Roman"/>
          <w:color w:val="000000" w:themeColor="text1"/>
          <w:sz w:val="24"/>
          <w:szCs w:val="24"/>
        </w:rPr>
        <w:t xml:space="preserve">is insufficient. The utility of this method lies in the use of super-resolution microscopy to investigate peptidoglycan chemistry, for example PALM and STORM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{"citationID":"1t16ldnfvo","properties":{"formattedCitation":"(Betzig et al., 2006; Rust et al., 2006)","plainCitation":"(Betzig et al., 2006; Rust et al., 2006)"},"citationItems":[{"id":167,"uris":["http://zotero.org/users/944474/items/H6J3NTR6"],"uri":["http://zotero.org/users/944474/items/H6J3NTR6"],"itemData":{"id":167,"type":"article-journal","title":"Imaging intracellular fluorescent proteins at nanometer resolution","container-title":"Science (New York, N.Y.)","page":"1642-1645","volume":"313","issue":"5793","abstract":"We introduce a method for optically imaging intracellular proteins at nanometer spatial resolution. Numerous sparse subsets of photoactivatable fluorescent protein molecules were activated, localized (to approximately 2 to 25 nanometers), and then bleached. The aggregate position information from all subsets was then assembled into a superresolution image. We used this method--termed photoactivated localization microscopy--to image specific target proteins in thin sections of lysosomes and mitochondria; in fixed whole cells, we imaged vinculin at focal adhesions, actin within a lamellipodium, and the distribution of the retroviral protein Gag at the plasma membrane.","DOI":"10.1126/science.1127344","note":"PMID: 16902090","journalAbbreviation":"Science","author":[{"family":"Betzig","given":"Eric"},{"family":"Patterson","given":"George H"},{"family":"Sougrat","given":"Rachid"},{"family":"Lindwasser","given":"O Wolf"},{"family":"Olenych","given":"Scott"},{"family":"Bonifacino","given":"Juan S"},{"family":"Davidson","given":"Michael W"},{"family":"Lippincott-Schwartz","given":"Jennifer"},{"family":"Hess","given":"Harald F"}],"issued":{"year":2006,"month":9,"day":15},"accessed":{"year":2012,"month":5,"day":8},"page-first":"1642"}},{"id":168,"uris":["http://zotero.org/users/944474/items/DB8XKFZ5"],"uri":["http://zotero.org/users/944474/items/DB8XKFZ5"],"itemData":{"id":168,"type":"article-journal","title":"Sub-diffraction-limit imaging by stochastic optical reconstruction microscopy (STORM)","container-title":"Nature methods","page":"793-795","volume":"3","issue":"10","abstract":"We have developed a high-resolution fluorescence microscopy method based on high-accuracy localization of photoswitchable fluorophores. In each imaging cycle, only a fraction of the fluorophores were turned on, allowing their positions to be determined with nanometer accuracy. The fluorophore positions obtained from a series of imaging cycles were used to reconstruct the overall image. We demonstrated an imaging resolution of 20 nm. This technique can, in principle, reach molecular-scale resolution.","DOI":"10.1038/nmeth929","note":"PMID: 16896339","journalAbbreviation":"Nat. Methods","author":[{"family":"Rust","given":"Michael J"},{"family":"Bates","given":"Mark"},{"family":"Zhuang","given":"Xiaowei"}],"issued":{"year":2006,"month":10},"accessed":{"year":2012,"month":5,"day":8},"page-first":"793"}}],"schema":"https://github.com/citation-style-language/schema/raw/master/csl-citation.json"}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(Betzig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xml:space="preserve">., 2006; Rust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2006)</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as these methods are capable of detecting the signal from individual fluorophores. By using PALM/STORM it may be possible to observe the distribution of fluorescent probes with nanometer scale resolution</w:t>
      </w:r>
      <w:r>
        <w:rPr>
          <w:rFonts w:ascii="Times New Roman" w:hAnsi="Times New Roman" w:cs="Times New Roman"/>
          <w:sz w:val="24"/>
          <w:szCs w:val="24"/>
        </w:rPr>
        <w:t xml:space="preserve"> in a quantifiable manner, and to elucidate the underlying chemical architecture of the sacculus. If applied </w:t>
      </w:r>
      <w:r>
        <w:rPr>
          <w:rFonts w:ascii="Times New Roman" w:hAnsi="Times New Roman" w:cs="Times New Roman"/>
          <w:sz w:val="24"/>
          <w:szCs w:val="24"/>
        </w:rPr>
        <w:lastRenderedPageBreak/>
        <w:t>in combination with a non-fluorescence based technique such as AFM, the underlying chemistry of specific peptidoglycan structures such as septa, piecrusts and ribs could be deduced. For PALM/STORM purposes, it would be necessary to utilise photo-</w:t>
      </w:r>
      <w:r>
        <w:rPr>
          <w:rFonts w:ascii="Times New Roman" w:hAnsi="Times New Roman" w:cs="Times New Roman"/>
          <w:color w:val="000000" w:themeColor="text1"/>
          <w:sz w:val="24"/>
          <w:szCs w:val="24"/>
        </w:rPr>
        <w:t xml:space="preserve">switchable fluorophores rather than the fluorophores used in this preliminary investigation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{"citationID":"28pif74rsi","properties":{"formattedCitation":"(Rust et al., 2006)","plainCitation":"(Rust et al., 2006)"},"citationItems":[{"id":168,"uris":["http://zotero.org/users/944474/items/DB8XKFZ5"],"uri":["http://zotero.org/users/944474/items/DB8XKFZ5"],"itemData":{"id":168,"type":"article-journal","title":"Sub-diffraction-limit imaging by stochastic optical reconstruction microscopy (STORM)","container-title":"Nature methods","page":"793-795","volume":"3","issue":"10","abstract":"We have developed a high-resolution fluorescence microscopy method based on high-accuracy localization of photoswitchable fluorophores. In each imaging cycle, only a fraction of the fluorophores were turned on, allowing their positions to be determined with nanometer accuracy. The fluorophore positions obtained from a series of imaging cycles were used to reconstruct the overall image. We demonstrated an imaging resolution of 20 nm. This technique can, in principle, reach molecular-scale resolution.","DOI":"10.1038/nmeth929","note":"PMID: 16896339","journalAbbreviation":"Nat. Methods","author":[{"family":"Rust","given":"Michael J"},{"family":"Bates","given":"Mark"},{"family":"Zhuang","given":"Xiaowei"}],"issued":{"year":2006,"month":10},"accessed":{"year":2012,"month":5,"day":8},"page-first":"793"}}],"schema":"https://github.com/citation-style-language/schema/raw/master/csl-citation.json"}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(Rust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2006)</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Full exploitation of chemical probes would be a major undertaking requiring cross-disciplinary collaboration</w:t>
      </w:r>
      <w:r>
        <w:rPr>
          <w:rFonts w:ascii="Times New Roman" w:hAnsi="Times New Roman" w:cs="Times New Roman"/>
          <w:sz w:val="24"/>
          <w:szCs w:val="24"/>
        </w:rPr>
        <w:t xml:space="preserve"> for the development of stable chemical probes compatible with super resolution technologies and biochemical assays. However, through the use of such technologies it may finally be possible to determine the relationship between peptidoglycan chemistry and peptidoglycan architecture.</w:t>
      </w:r>
    </w:p>
    <w:p w:rsidR="00AA5269" w:rsidRDefault="00AA5269">
      <w:pPr>
        <w:rPr>
          <w:rFonts w:ascii="Times New Roman" w:hAnsi="Times New Roman" w:cs="Times New Roman"/>
          <w:sz w:val="24"/>
          <w:szCs w:val="24"/>
        </w:rPr>
      </w:pPr>
      <w:r>
        <w:rPr>
          <w:rFonts w:ascii="Times New Roman" w:hAnsi="Times New Roman" w:cs="Times New Roman"/>
          <w:sz w:val="24"/>
          <w:szCs w:val="24"/>
        </w:rPr>
        <w:br w:type="page"/>
      </w:r>
    </w:p>
    <w:p w:rsidR="007F78F1" w:rsidRDefault="007F78F1" w:rsidP="007F78F1">
      <w:pPr>
        <w:jc w:val="center"/>
        <w:rPr>
          <w:rFonts w:ascii="Times New Roman" w:hAnsi="Times New Roman" w:cs="Times New Roman"/>
          <w:sz w:val="28"/>
          <w:szCs w:val="28"/>
        </w:rPr>
      </w:pPr>
      <w:r>
        <w:rPr>
          <w:rFonts w:ascii="Times New Roman" w:hAnsi="Times New Roman" w:cs="Times New Roman"/>
          <w:sz w:val="28"/>
          <w:szCs w:val="28"/>
        </w:rPr>
        <w:lastRenderedPageBreak/>
        <w:t>Chapter 5</w:t>
      </w:r>
    </w:p>
    <w:p w:rsidR="007F78F1" w:rsidRDefault="007F78F1" w:rsidP="007F78F1">
      <w:pPr>
        <w:jc w:val="center"/>
        <w:rPr>
          <w:rFonts w:ascii="Times New Roman" w:hAnsi="Times New Roman" w:cs="Times New Roman"/>
          <w:sz w:val="28"/>
          <w:szCs w:val="28"/>
        </w:rPr>
      </w:pPr>
      <w:r>
        <w:rPr>
          <w:rFonts w:ascii="Times New Roman" w:hAnsi="Times New Roman" w:cs="Times New Roman"/>
          <w:sz w:val="28"/>
          <w:szCs w:val="28"/>
        </w:rPr>
        <w:t xml:space="preserve">The role of glucosaminidases in </w:t>
      </w:r>
      <w:r>
        <w:rPr>
          <w:rFonts w:ascii="Times New Roman" w:hAnsi="Times New Roman" w:cs="Times New Roman"/>
          <w:i/>
          <w:sz w:val="28"/>
          <w:szCs w:val="28"/>
        </w:rPr>
        <w:t>Staphylococcus aureus</w:t>
      </w:r>
      <w:r>
        <w:rPr>
          <w:rFonts w:ascii="Times New Roman" w:hAnsi="Times New Roman" w:cs="Times New Roman"/>
          <w:sz w:val="28"/>
          <w:szCs w:val="28"/>
        </w:rPr>
        <w:t xml:space="preserve"> morphogenesis </w:t>
      </w:r>
    </w:p>
    <w:p w:rsidR="007F78F1" w:rsidRDefault="007F78F1" w:rsidP="007F78F1">
      <w:pPr>
        <w:rPr>
          <w:rFonts w:ascii="Times New Roman" w:hAnsi="Times New Roman" w:cs="Times New Roman"/>
          <w:sz w:val="28"/>
          <w:szCs w:val="28"/>
        </w:rPr>
      </w:pPr>
    </w:p>
    <w:p w:rsidR="007F78F1" w:rsidRDefault="007F78F1" w:rsidP="007F78F1">
      <w:pPr>
        <w:jc w:val="center"/>
        <w:rPr>
          <w:rFonts w:ascii="Times New Roman" w:hAnsi="Times New Roman" w:cs="Times New Roman"/>
          <w:sz w:val="28"/>
          <w:szCs w:val="28"/>
        </w:rPr>
      </w:pPr>
      <w:r>
        <w:rPr>
          <w:rFonts w:ascii="Times New Roman" w:hAnsi="Times New Roman" w:cs="Times New Roman"/>
          <w:sz w:val="28"/>
          <w:szCs w:val="28"/>
        </w:rPr>
        <w:t>Foreword</w:t>
      </w:r>
    </w:p>
    <w:p w:rsidR="007F78F1" w:rsidRDefault="007F78F1" w:rsidP="007F78F1">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The work in this chapter was the culmination of a project investigating glucosaminidase activity in </w:t>
      </w:r>
      <w:r>
        <w:rPr>
          <w:rFonts w:ascii="Times New Roman" w:hAnsi="Times New Roman" w:cs="Times New Roman"/>
          <w:i/>
          <w:sz w:val="24"/>
          <w:szCs w:val="24"/>
        </w:rPr>
        <w:t>S. aureus</w:t>
      </w:r>
      <w:r>
        <w:rPr>
          <w:rFonts w:ascii="Times New Roman" w:hAnsi="Times New Roman" w:cs="Times New Roman"/>
          <w:sz w:val="24"/>
          <w:szCs w:val="24"/>
        </w:rPr>
        <w:t xml:space="preserve">, utilising several mutants constructed by previous contributors. During preparation of this thesis it was discovered that a knockout mutant of the putative glucosaminidase, </w:t>
      </w:r>
      <w:r>
        <w:rPr>
          <w:rFonts w:ascii="Times New Roman" w:hAnsi="Times New Roman" w:cs="Times New Roman"/>
          <w:i/>
          <w:sz w:val="24"/>
          <w:szCs w:val="24"/>
        </w:rPr>
        <w:t>sagA</w:t>
      </w:r>
      <w:r>
        <w:rPr>
          <w:rFonts w:ascii="Times New Roman" w:hAnsi="Times New Roman" w:cs="Times New Roman"/>
          <w:sz w:val="24"/>
          <w:szCs w:val="24"/>
        </w:rPr>
        <w:t xml:space="preserve"> (SACOL2298), made prior to the initiation of my project, was constructed incorrectly. A downstream gene, SACOL2297, encoding a putative monooxygenase, had actually been inactivated leaving </w:t>
      </w:r>
      <w:r>
        <w:rPr>
          <w:rFonts w:ascii="Times New Roman" w:hAnsi="Times New Roman" w:cs="Times New Roman"/>
          <w:i/>
          <w:sz w:val="24"/>
          <w:szCs w:val="24"/>
        </w:rPr>
        <w:t>sagA</w:t>
      </w:r>
      <w:r>
        <w:rPr>
          <w:rFonts w:ascii="Times New Roman" w:hAnsi="Times New Roman" w:cs="Times New Roman"/>
          <w:sz w:val="24"/>
          <w:szCs w:val="24"/>
        </w:rPr>
        <w:t xml:space="preserve"> intact. There was insufficient time to repeat the work using the correct mutant background. The results are now interpreted in the context that </w:t>
      </w:r>
      <w:r>
        <w:rPr>
          <w:rFonts w:ascii="Times New Roman" w:hAnsi="Times New Roman" w:cs="Times New Roman"/>
          <w:i/>
          <w:sz w:val="24"/>
          <w:szCs w:val="24"/>
        </w:rPr>
        <w:t>sagA</w:t>
      </w:r>
      <w:r>
        <w:rPr>
          <w:rFonts w:ascii="Times New Roman" w:hAnsi="Times New Roman" w:cs="Times New Roman"/>
          <w:sz w:val="24"/>
          <w:szCs w:val="24"/>
        </w:rPr>
        <w:t xml:space="preserve"> remains functional, and SACOL2297 non-functional. For clarity the number of glucosaminidases inactivated, or under control of an inducible promoter, is indicated in superscript after the genotype.</w:t>
      </w:r>
    </w:p>
    <w:p w:rsidR="007F78F1" w:rsidRDefault="007F78F1" w:rsidP="007F78F1">
      <w:pPr>
        <w:jc w:val="center"/>
        <w:rPr>
          <w:rFonts w:ascii="Times New Roman" w:hAnsi="Times New Roman" w:cs="Times New Roman"/>
          <w:sz w:val="28"/>
          <w:szCs w:val="28"/>
        </w:rPr>
      </w:pPr>
    </w:p>
    <w:p w:rsidR="007F78F1" w:rsidRDefault="007F78F1" w:rsidP="007F78F1">
      <w:pPr>
        <w:spacing w:line="360" w:lineRule="auto"/>
        <w:rPr>
          <w:rFonts w:ascii="Times New Roman" w:hAnsi="Times New Roman" w:cs="Times New Roman"/>
          <w:sz w:val="28"/>
          <w:szCs w:val="28"/>
        </w:rPr>
      </w:pPr>
      <w:r>
        <w:rPr>
          <w:rFonts w:ascii="Times New Roman" w:hAnsi="Times New Roman" w:cs="Times New Roman"/>
          <w:sz w:val="28"/>
          <w:szCs w:val="28"/>
        </w:rPr>
        <w:t>5.1</w:t>
      </w:r>
      <w:r>
        <w:rPr>
          <w:rFonts w:ascii="Times New Roman" w:hAnsi="Times New Roman" w:cs="Times New Roman"/>
          <w:sz w:val="28"/>
          <w:szCs w:val="28"/>
        </w:rPr>
        <w:tab/>
      </w:r>
      <w:r>
        <w:rPr>
          <w:rFonts w:ascii="Times New Roman" w:hAnsi="Times New Roman" w:cs="Times New Roman"/>
          <w:sz w:val="28"/>
          <w:szCs w:val="28"/>
        </w:rPr>
        <w:tab/>
        <w:t>Introduction</w:t>
      </w:r>
    </w:p>
    <w:p w:rsidR="007F78F1" w:rsidRDefault="007F78F1" w:rsidP="007F78F1">
      <w:pPr>
        <w:spacing w:line="360" w:lineRule="auto"/>
        <w:rPr>
          <w:rFonts w:ascii="Times New Roman" w:hAnsi="Times New Roman" w:cs="Times New Roman"/>
          <w:i/>
          <w:sz w:val="28"/>
          <w:szCs w:val="28"/>
        </w:rPr>
      </w:pPr>
      <w:r>
        <w:rPr>
          <w:rFonts w:ascii="Times New Roman" w:hAnsi="Times New Roman" w:cs="Times New Roman"/>
          <w:sz w:val="28"/>
          <w:szCs w:val="28"/>
        </w:rPr>
        <w:t>5.1.1</w:t>
      </w:r>
      <w:r>
        <w:rPr>
          <w:rFonts w:ascii="Times New Roman" w:hAnsi="Times New Roman" w:cs="Times New Roman"/>
          <w:sz w:val="28"/>
          <w:szCs w:val="28"/>
        </w:rPr>
        <w:tab/>
      </w:r>
      <w:r>
        <w:rPr>
          <w:rFonts w:ascii="Times New Roman" w:hAnsi="Times New Roman" w:cs="Times New Roman"/>
          <w:sz w:val="28"/>
          <w:szCs w:val="28"/>
        </w:rPr>
        <w:tab/>
        <w:t xml:space="preserve">Autolysins of </w:t>
      </w:r>
      <w:r>
        <w:rPr>
          <w:rFonts w:ascii="Times New Roman" w:hAnsi="Times New Roman" w:cs="Times New Roman"/>
          <w:i/>
          <w:sz w:val="28"/>
          <w:szCs w:val="28"/>
        </w:rPr>
        <w:t>S. aureus</w:t>
      </w:r>
    </w:p>
    <w:p w:rsidR="007F78F1" w:rsidRDefault="007F78F1" w:rsidP="007F78F1">
      <w:pPr>
        <w:spacing w:after="120" w:line="48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The dynamics of peptidoglycan metabolism during cell growth and division are essentially carried out by two distinct processes: synthesis via incorporation of nascent material, and hydrolysis of the covalent bonds of the existing sacculus by peptidoglycan hydrolases. For every glycosidic or amide bond in the sacculus, there exists a hydrolase capable of cleaving that </w:t>
      </w:r>
      <w:r>
        <w:rPr>
          <w:rFonts w:ascii="Times New Roman" w:hAnsi="Times New Roman" w:cs="Times New Roman"/>
          <w:color w:val="000000" w:themeColor="text1"/>
          <w:sz w:val="24"/>
          <w:szCs w:val="24"/>
        </w:rPr>
        <w:t xml:space="preserve">bond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{"citationID":"rt4r0rcba","properties":{"formattedCitation":"(Vollmer et al., 2008)","plainCitation":"(Vollmer et al., 2008)"},"citationItems":[{"id":36,"uris":["http://zotero.org/users/944474/items/GNMZZW6M"],"uri":["http://zotero.org/users/944474/items/GNMZZW6M"],"itemData":{"id":36,"type":"article-journal","title":"Bacterial peptidoglycan (murein) hydrolases","container-title":"FEMS Microbiology Reviews","page":"259-286","volume":"32","issue":"2","DOI":"10.1111/j.1574-6976.2007.00099.x","author":[{"family":"Vollmer","given":"Waldemar"},{"family":"Joris","given":"Bernard"},{"family":"Charlier","given":"Paulette"},{"family":"Foster","given":"Simon"}],"issued":{"year":2008,"month":3},"accessed":{"year":2012,"month":3,"day":6},"page-first":"259"}}],"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(Vollmer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2008)</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There</w:t>
      </w:r>
      <w:r>
        <w:rPr>
          <w:rFonts w:ascii="Times New Roman" w:hAnsi="Times New Roman" w:cs="Times New Roman"/>
          <w:sz w:val="24"/>
          <w:szCs w:val="24"/>
        </w:rPr>
        <w:t xml:space="preserve"> are two classes of peptidase for cleavage of </w:t>
      </w:r>
      <w:r>
        <w:rPr>
          <w:rFonts w:ascii="Times New Roman" w:hAnsi="Times New Roman" w:cs="Times New Roman"/>
          <w:sz w:val="16"/>
          <w:szCs w:val="16"/>
        </w:rPr>
        <w:t>LD</w:t>
      </w:r>
      <w:r>
        <w:rPr>
          <w:rFonts w:ascii="Times New Roman" w:hAnsi="Times New Roman" w:cs="Times New Roman"/>
          <w:sz w:val="24"/>
          <w:szCs w:val="24"/>
        </w:rPr>
        <w:t xml:space="preserve">- and </w:t>
      </w:r>
      <w:r>
        <w:rPr>
          <w:rFonts w:ascii="Times New Roman" w:hAnsi="Times New Roman" w:cs="Times New Roman"/>
          <w:sz w:val="16"/>
          <w:szCs w:val="16"/>
        </w:rPr>
        <w:t>DD</w:t>
      </w:r>
      <w:r>
        <w:rPr>
          <w:rFonts w:ascii="Times New Roman" w:hAnsi="Times New Roman" w:cs="Times New Roman"/>
          <w:sz w:val="24"/>
          <w:szCs w:val="24"/>
        </w:rPr>
        <w:t xml:space="preserve">- amide bond within the peptide stems: carboxypeptidases, which specifically cleave the C-terminal amino acid, and endopeptidases, that cleave all </w:t>
      </w:r>
      <w:r>
        <w:rPr>
          <w:rFonts w:ascii="Times New Roman" w:hAnsi="Times New Roman" w:cs="Times New Roman"/>
          <w:sz w:val="24"/>
          <w:szCs w:val="24"/>
        </w:rPr>
        <w:lastRenderedPageBreak/>
        <w:t xml:space="preserve">other bonds within the peptide stems. </w:t>
      </w:r>
      <w:r>
        <w:rPr>
          <w:rFonts w:ascii="Times New Roman" w:hAnsi="Times New Roman" w:cs="Times New Roman"/>
          <w:i/>
          <w:sz w:val="24"/>
          <w:szCs w:val="24"/>
        </w:rPr>
        <w:t>N</w:t>
      </w:r>
      <w:r>
        <w:rPr>
          <w:rFonts w:ascii="Times New Roman" w:hAnsi="Times New Roman" w:cs="Times New Roman"/>
          <w:sz w:val="24"/>
          <w:szCs w:val="24"/>
        </w:rPr>
        <w:t>-acetylmuramyl-</w:t>
      </w:r>
      <w:r>
        <w:rPr>
          <w:rFonts w:ascii="Times New Roman" w:hAnsi="Times New Roman" w:cs="Times New Roman"/>
          <w:sz w:val="16"/>
          <w:szCs w:val="16"/>
        </w:rPr>
        <w:t>L</w:t>
      </w:r>
      <w:r>
        <w:rPr>
          <w:rFonts w:ascii="Times New Roman" w:hAnsi="Times New Roman" w:cs="Times New Roman"/>
          <w:sz w:val="24"/>
          <w:szCs w:val="24"/>
        </w:rPr>
        <w:t>-alanine amidases class of hydrolases (commonly referred to as amidases) target the amide bond between Mur</w:t>
      </w:r>
      <w:r>
        <w:rPr>
          <w:rFonts w:ascii="Times New Roman" w:hAnsi="Times New Roman" w:cs="Times New Roman"/>
          <w:i/>
          <w:sz w:val="24"/>
          <w:szCs w:val="24"/>
        </w:rPr>
        <w:t>N</w:t>
      </w:r>
      <w:r>
        <w:rPr>
          <w:rFonts w:ascii="Times New Roman" w:hAnsi="Times New Roman" w:cs="Times New Roman"/>
          <w:sz w:val="24"/>
          <w:szCs w:val="24"/>
        </w:rPr>
        <w:t xml:space="preserve">Ac </w:t>
      </w:r>
      <w:r>
        <w:rPr>
          <w:rFonts w:ascii="Times New Roman" w:hAnsi="Times New Roman" w:cs="Times New Roman"/>
          <w:color w:val="000000" w:themeColor="text1"/>
          <w:sz w:val="24"/>
          <w:szCs w:val="24"/>
        </w:rPr>
        <w:t xml:space="preserve">and the </w:t>
      </w:r>
      <w:r>
        <w:rPr>
          <w:rFonts w:ascii="Times New Roman" w:hAnsi="Times New Roman" w:cs="Times New Roman"/>
          <w:i/>
          <w:color w:val="000000" w:themeColor="text1"/>
          <w:sz w:val="24"/>
          <w:szCs w:val="24"/>
        </w:rPr>
        <w:t>N</w:t>
      </w:r>
      <w:r>
        <w:rPr>
          <w:rFonts w:ascii="Times New Roman" w:hAnsi="Times New Roman" w:cs="Times New Roman"/>
          <w:color w:val="000000" w:themeColor="text1"/>
          <w:sz w:val="24"/>
          <w:szCs w:val="24"/>
        </w:rPr>
        <w:t xml:space="preserve">-terminal </w:t>
      </w:r>
      <w:r>
        <w:rPr>
          <w:rFonts w:ascii="Times New Roman" w:hAnsi="Times New Roman" w:cs="Times New Roman"/>
          <w:color w:val="000000" w:themeColor="text1"/>
          <w:sz w:val="16"/>
          <w:szCs w:val="16"/>
        </w:rPr>
        <w:t>L</w:t>
      </w:r>
      <w:r>
        <w:rPr>
          <w:rFonts w:ascii="Times New Roman" w:hAnsi="Times New Roman" w:cs="Times New Roman"/>
          <w:color w:val="000000" w:themeColor="text1"/>
          <w:sz w:val="24"/>
          <w:szCs w:val="24"/>
        </w:rPr>
        <w:t xml:space="preserve">-alanine of the peptide stem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{"citationID":"d6ub2hp78","properties":{"formattedCitation":"(Vollmer et al., 2008)","plainCitation":"(Vollmer et al., 2008)"},"citationItems":[{"id":36,"uris":["http://zotero.org/users/944474/items/GNMZZW6M"],"uri":["http://zotero.org/users/944474/items/GNMZZW6M"],"itemData":{"id":36,"type":"article-journal","title":"Bacterial peptidoglycan (murein) hydrolases","container-title":"FEMS Microbiology Reviews","page":"259-286","volume":"32","issue":"2","DOI":"10.1111/j.1574-6976.2007.00099.x","author":[{"family":"Vollmer","given":"Waldemar"},{"family":"Joris","given":"Bernard"},{"family":"Charlier","given":"Paulette"},{"family":"Foster","given":"Simon"}],"issued":{"year":2008,"month":3},"accessed":{"year":2012,"month":3,"day":6},"page-first":"259"}}],"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(Vollmer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2008)</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This is an important class of enzyme as it is essentially capable of separating glycan strands from the peptide component. Two classes of peptidoglycan hydrolase are able to cleave glycan strands, </w:t>
      </w:r>
      <w:r>
        <w:rPr>
          <w:rFonts w:ascii="Times New Roman" w:hAnsi="Times New Roman" w:cs="Times New Roman"/>
          <w:i/>
          <w:color w:val="000000" w:themeColor="text1"/>
          <w:sz w:val="24"/>
          <w:szCs w:val="24"/>
        </w:rPr>
        <w:t>N</w:t>
      </w:r>
      <w:r>
        <w:rPr>
          <w:rFonts w:ascii="Times New Roman" w:hAnsi="Times New Roman" w:cs="Times New Roman"/>
          <w:color w:val="000000" w:themeColor="text1"/>
          <w:sz w:val="24"/>
          <w:szCs w:val="24"/>
        </w:rPr>
        <w:t>-acetyl-β-</w:t>
      </w:r>
      <w:r>
        <w:rPr>
          <w:rFonts w:ascii="Times New Roman" w:hAnsi="Times New Roman" w:cs="Times New Roman"/>
          <w:color w:val="000000" w:themeColor="text1"/>
          <w:sz w:val="24"/>
          <w:szCs w:val="24"/>
          <w:vertAlign w:val="subscript"/>
        </w:rPr>
        <w:t>D</w:t>
      </w:r>
      <w:r>
        <w:rPr>
          <w:rFonts w:ascii="Times New Roman" w:hAnsi="Times New Roman" w:cs="Times New Roman"/>
          <w:color w:val="000000" w:themeColor="text1"/>
          <w:sz w:val="24"/>
          <w:szCs w:val="24"/>
        </w:rPr>
        <w:t>-muramidases (muramidases) and Endo-</w:t>
      </w:r>
      <w:r>
        <w:rPr>
          <w:rFonts w:ascii="Times New Roman" w:hAnsi="Times New Roman" w:cs="Times New Roman"/>
          <w:i/>
          <w:color w:val="000000" w:themeColor="text1"/>
          <w:sz w:val="24"/>
          <w:szCs w:val="24"/>
        </w:rPr>
        <w:t>N</w:t>
      </w:r>
      <w:r>
        <w:rPr>
          <w:rFonts w:ascii="Times New Roman" w:hAnsi="Times New Roman" w:cs="Times New Roman"/>
          <w:color w:val="000000" w:themeColor="text1"/>
          <w:sz w:val="24"/>
          <w:szCs w:val="24"/>
        </w:rPr>
        <w:t>-acetyl-β-</w:t>
      </w:r>
      <w:r>
        <w:rPr>
          <w:rFonts w:ascii="Times New Roman" w:hAnsi="Times New Roman" w:cs="Times New Roman"/>
          <w:color w:val="000000" w:themeColor="text1"/>
          <w:sz w:val="24"/>
          <w:szCs w:val="24"/>
          <w:vertAlign w:val="subscript"/>
        </w:rPr>
        <w:t>D</w:t>
      </w:r>
      <w:r>
        <w:rPr>
          <w:rFonts w:ascii="Times New Roman" w:hAnsi="Times New Roman" w:cs="Times New Roman"/>
          <w:color w:val="000000" w:themeColor="text1"/>
          <w:sz w:val="24"/>
          <w:szCs w:val="24"/>
        </w:rPr>
        <w:t>-glucosaminidases (glucosaminidases). Muramidases cleave the β-1</w:t>
      </w:r>
      <w:proofErr w:type="gramStart"/>
      <w:r>
        <w:rPr>
          <w:rFonts w:ascii="Times New Roman" w:hAnsi="Times New Roman" w:cs="Times New Roman"/>
          <w:color w:val="000000" w:themeColor="text1"/>
          <w:sz w:val="24"/>
          <w:szCs w:val="24"/>
        </w:rPr>
        <w:t>,4</w:t>
      </w:r>
      <w:proofErr w:type="gramEnd"/>
      <w:r>
        <w:rPr>
          <w:rFonts w:ascii="Times New Roman" w:hAnsi="Times New Roman" w:cs="Times New Roman"/>
          <w:color w:val="000000" w:themeColor="text1"/>
          <w:sz w:val="24"/>
          <w:szCs w:val="24"/>
        </w:rPr>
        <w:t xml:space="preserve">-glycosidic bond linking </w:t>
      </w:r>
      <w:r>
        <w:rPr>
          <w:rFonts w:ascii="Times New Roman" w:hAnsi="Times New Roman" w:cs="Times New Roman"/>
          <w:sz w:val="24"/>
          <w:szCs w:val="24"/>
        </w:rPr>
        <w:t>Mur</w:t>
      </w:r>
      <w:r>
        <w:rPr>
          <w:rFonts w:ascii="Times New Roman" w:hAnsi="Times New Roman" w:cs="Times New Roman"/>
          <w:i/>
          <w:sz w:val="24"/>
          <w:szCs w:val="24"/>
        </w:rPr>
        <w:t>N</w:t>
      </w:r>
      <w:r>
        <w:rPr>
          <w:rFonts w:ascii="Times New Roman" w:hAnsi="Times New Roman" w:cs="Times New Roman"/>
          <w:sz w:val="24"/>
          <w:szCs w:val="24"/>
        </w:rPr>
        <w:t>Ac</w:t>
      </w:r>
      <w:r>
        <w:rPr>
          <w:rFonts w:ascii="Times New Roman" w:hAnsi="Times New Roman" w:cs="Times New Roman"/>
          <w:color w:val="000000" w:themeColor="text1"/>
          <w:sz w:val="24"/>
          <w:szCs w:val="24"/>
        </w:rPr>
        <w:t xml:space="preserve"> and Glc</w:t>
      </w:r>
      <w:r>
        <w:rPr>
          <w:rFonts w:ascii="Times New Roman" w:hAnsi="Times New Roman" w:cs="Times New Roman"/>
          <w:i/>
          <w:color w:val="000000" w:themeColor="text1"/>
          <w:sz w:val="24"/>
          <w:szCs w:val="24"/>
        </w:rPr>
        <w:t>N</w:t>
      </w:r>
      <w:r>
        <w:rPr>
          <w:rFonts w:ascii="Times New Roman" w:hAnsi="Times New Roman" w:cs="Times New Roman"/>
          <w:color w:val="000000" w:themeColor="text1"/>
          <w:sz w:val="24"/>
          <w:szCs w:val="24"/>
        </w:rPr>
        <w:t xml:space="preserve">Ac residues. These enzymes fall into two further categories, lysozymes which produce a terminal </w:t>
      </w:r>
      <w:r>
        <w:rPr>
          <w:rFonts w:ascii="Times New Roman" w:hAnsi="Times New Roman" w:cs="Times New Roman"/>
          <w:sz w:val="24"/>
          <w:szCs w:val="24"/>
        </w:rPr>
        <w:t>Mur</w:t>
      </w:r>
      <w:r>
        <w:rPr>
          <w:rFonts w:ascii="Times New Roman" w:hAnsi="Times New Roman" w:cs="Times New Roman"/>
          <w:i/>
          <w:sz w:val="24"/>
          <w:szCs w:val="24"/>
        </w:rPr>
        <w:t>N</w:t>
      </w:r>
      <w:r>
        <w:rPr>
          <w:rFonts w:ascii="Times New Roman" w:hAnsi="Times New Roman" w:cs="Times New Roman"/>
          <w:sz w:val="24"/>
          <w:szCs w:val="24"/>
        </w:rPr>
        <w:t>Ac</w:t>
      </w:r>
      <w:r>
        <w:rPr>
          <w:rFonts w:ascii="Times New Roman" w:hAnsi="Times New Roman" w:cs="Times New Roman"/>
          <w:color w:val="000000" w:themeColor="text1"/>
          <w:sz w:val="24"/>
          <w:szCs w:val="24"/>
        </w:rPr>
        <w:t xml:space="preserve"> residue upon cleavage of the glycan strand, and lytic transglycosylases which cleave the glycan strand to form a terminal </w:t>
      </w:r>
      <w:r>
        <w:rPr>
          <w:rFonts w:ascii="Times New Roman" w:hAnsi="Times New Roman" w:cs="Times New Roman"/>
          <w:sz w:val="24"/>
          <w:szCs w:val="24"/>
        </w:rPr>
        <w:t>Mur</w:t>
      </w:r>
      <w:r>
        <w:rPr>
          <w:rFonts w:ascii="Times New Roman" w:hAnsi="Times New Roman" w:cs="Times New Roman"/>
          <w:i/>
          <w:sz w:val="24"/>
          <w:szCs w:val="24"/>
        </w:rPr>
        <w:t>N</w:t>
      </w:r>
      <w:r>
        <w:rPr>
          <w:rFonts w:ascii="Times New Roman" w:hAnsi="Times New Roman" w:cs="Times New Roman"/>
          <w:sz w:val="24"/>
          <w:szCs w:val="24"/>
        </w:rPr>
        <w:t>Ac</w:t>
      </w:r>
      <w:r>
        <w:rPr>
          <w:rFonts w:ascii="Times New Roman" w:hAnsi="Times New Roman" w:cs="Times New Roman"/>
          <w:color w:val="000000" w:themeColor="text1"/>
          <w:sz w:val="24"/>
          <w:szCs w:val="24"/>
        </w:rPr>
        <w:t xml:space="preserve"> with a 1,6-anhydro ring via a concurrent transglycosylation reaction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{"citationID":"ttn36jot3","properties":{"formattedCitation":"{\\rtf (H\\uc0\\u246{}ltje et al., 1975; Vollmer et al., 2008)}","plainCitation":"(Höltje et al., 1975; Vollmer et al., 2008)"},"citationItems":[{"id":41,"uris":["http://zotero.org/users/944474/items/3CR4V7K4"],"uri":["http://zotero.org/users/944474/items/3CR4V7K4"],"itemData":{"id":41,"type":"article-journal","title":"Novel type of murein transglycosylase in Escherichia coli","container-title":"Journal of Bacteriology","page":"1067-1076","volume":"124","issue":"3","abstract":"The purification and properties of a novel type of murein transglycosylase from Escherichia coli are described. The purified enzyme appears as a single band on sodium dodecyl sulfate-polyacrylamide gels and has an apparent molecular weight of approximately 65,000 as estimated by gel filtration and gel electrophoresis. It degrades pure murein sacculi from E. coli almost completely into low-molecular-weight products. The two prominent muropeptide fragments in the digest are the disaccharide-tripeptide N-acetylglucosamine-N-acetylmuramic acid-L-alanine-D-iso-glutamic acid-meso-diaminopimelic acid and the corresponding disaccharide-tetrapeptide N-acetylglucosamine-N-acetylmuramic acid-L-alanine-D-iso-glutamic acid-meso-diaminopimelic acid-D-alanine. The unique feature of these compounds is that the disaccharide has no reducing end group and that the muramic acid residue possesses an internal 1 leads to 6 anhydro linkage. The new lytic enzyme is designated as a murein: murein transglycosylase. Its possible role in the rearrangement of murein during cell growth and division is discussed.","note":"PMID: 357","journalAbbreviation":"J. Bacteriol.","author":[{"family":"Höltje","given":"J V"},{"family":"Mirelman","given":"D"},{"family":"Sharon","given":"N"},{"family":"Schwarz","given":"U"}],"issued":{"year":1975,"month":12},"accessed":{"year":2012,"month":3,"day":6},"page-first":"1067"}},{"id":36,"uris":["http://zotero.org/users/944474/items/GNMZZW6M"],"uri":["http://zotero.org/users/944474/items/GNMZZW6M"],"itemData":{"id":36,"type":"article-journal","title":"Bacterial peptidoglycan (murein) hydrolases","container-title":"FEMS Microbiology Reviews","page":"259-286","volume":"32","issue":"2","DOI":"10.1111/j.1574-6976.2007.00099.x","author":[{"family":"Vollmer","given":"Waldemar"},{"family":"Joris","given":"Bernard"},{"family":"Charlier","given":"Paulette"},{"family":"Foster","given":"Simon"}],"issued":{"year":2008,"month":3},"accessed":{"year":2012,"month":3,"day":6},"page-first":"259"}}],"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szCs w:val="24"/>
        </w:rPr>
        <w:t xml:space="preserve">(Höltje </w:t>
      </w:r>
      <w:r>
        <w:rPr>
          <w:rFonts w:ascii="Times New Roman" w:hAnsi="Times New Roman" w:cs="Times New Roman"/>
          <w:i/>
          <w:color w:val="000000" w:themeColor="text1"/>
          <w:sz w:val="24"/>
          <w:szCs w:val="24"/>
        </w:rPr>
        <w:t>et al</w:t>
      </w:r>
      <w:r>
        <w:rPr>
          <w:rFonts w:ascii="Times New Roman" w:hAnsi="Times New Roman" w:cs="Times New Roman"/>
          <w:color w:val="000000" w:themeColor="text1"/>
          <w:sz w:val="24"/>
          <w:szCs w:val="24"/>
        </w:rPr>
        <w:t xml:space="preserve">., 1975; Vollmer </w:t>
      </w:r>
      <w:r>
        <w:rPr>
          <w:rFonts w:ascii="Times New Roman" w:hAnsi="Times New Roman" w:cs="Times New Roman"/>
          <w:i/>
          <w:color w:val="000000" w:themeColor="text1"/>
          <w:sz w:val="24"/>
          <w:szCs w:val="24"/>
        </w:rPr>
        <w:t>et al</w:t>
      </w:r>
      <w:r>
        <w:rPr>
          <w:rFonts w:ascii="Times New Roman" w:hAnsi="Times New Roman" w:cs="Times New Roman"/>
          <w:color w:val="000000" w:themeColor="text1"/>
          <w:sz w:val="24"/>
          <w:szCs w:val="24"/>
        </w:rPr>
        <w:t>., 2008)</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Endo-</w:t>
      </w:r>
      <w:r>
        <w:rPr>
          <w:rFonts w:ascii="Times New Roman" w:hAnsi="Times New Roman" w:cs="Times New Roman"/>
          <w:i/>
          <w:color w:val="000000" w:themeColor="text1"/>
          <w:sz w:val="24"/>
          <w:szCs w:val="24"/>
        </w:rPr>
        <w:t>N</w:t>
      </w:r>
      <w:r>
        <w:rPr>
          <w:rFonts w:ascii="Times New Roman" w:hAnsi="Times New Roman" w:cs="Times New Roman"/>
          <w:color w:val="000000" w:themeColor="text1"/>
          <w:sz w:val="24"/>
          <w:szCs w:val="24"/>
        </w:rPr>
        <w:t>-acetyl-β-</w:t>
      </w:r>
      <w:r>
        <w:rPr>
          <w:rFonts w:ascii="Times New Roman" w:hAnsi="Times New Roman" w:cs="Times New Roman"/>
          <w:color w:val="000000" w:themeColor="text1"/>
          <w:sz w:val="24"/>
          <w:szCs w:val="24"/>
          <w:vertAlign w:val="subscript"/>
        </w:rPr>
        <w:t>D</w:t>
      </w:r>
      <w:r>
        <w:rPr>
          <w:rFonts w:ascii="Times New Roman" w:hAnsi="Times New Roman" w:cs="Times New Roman"/>
          <w:color w:val="000000" w:themeColor="text1"/>
          <w:sz w:val="24"/>
          <w:szCs w:val="24"/>
        </w:rPr>
        <w:t>-glucosaminidases (glucosaminidases) are autolysins which cleave the β1,4-glycosidic bond between Glc</w:t>
      </w:r>
      <w:r>
        <w:rPr>
          <w:rFonts w:ascii="Times New Roman" w:hAnsi="Times New Roman" w:cs="Times New Roman"/>
          <w:i/>
          <w:color w:val="000000" w:themeColor="text1"/>
          <w:sz w:val="24"/>
          <w:szCs w:val="24"/>
        </w:rPr>
        <w:t>N</w:t>
      </w:r>
      <w:r>
        <w:rPr>
          <w:rFonts w:ascii="Times New Roman" w:hAnsi="Times New Roman" w:cs="Times New Roman"/>
          <w:color w:val="000000" w:themeColor="text1"/>
          <w:sz w:val="24"/>
          <w:szCs w:val="24"/>
        </w:rPr>
        <w:t xml:space="preserve">Ac and </w:t>
      </w:r>
      <w:r>
        <w:rPr>
          <w:rFonts w:ascii="Times New Roman" w:hAnsi="Times New Roman" w:cs="Times New Roman"/>
          <w:sz w:val="24"/>
          <w:szCs w:val="24"/>
        </w:rPr>
        <w:t>Mur</w:t>
      </w:r>
      <w:r>
        <w:rPr>
          <w:rFonts w:ascii="Times New Roman" w:hAnsi="Times New Roman" w:cs="Times New Roman"/>
          <w:i/>
          <w:sz w:val="24"/>
          <w:szCs w:val="24"/>
        </w:rPr>
        <w:t>N</w:t>
      </w:r>
      <w:r>
        <w:rPr>
          <w:rFonts w:ascii="Times New Roman" w:hAnsi="Times New Roman" w:cs="Times New Roman"/>
          <w:sz w:val="24"/>
          <w:szCs w:val="24"/>
        </w:rPr>
        <w:t>Ac</w:t>
      </w:r>
      <w:r>
        <w:rPr>
          <w:rFonts w:ascii="Times New Roman" w:hAnsi="Times New Roman" w:cs="Times New Roman"/>
          <w:color w:val="000000" w:themeColor="text1"/>
          <w:sz w:val="24"/>
          <w:szCs w:val="24"/>
        </w:rPr>
        <w:t xml:space="preserve"> of peptidoglycan to produce a terminal Glc</w:t>
      </w:r>
      <w:r>
        <w:rPr>
          <w:rFonts w:ascii="Times New Roman" w:hAnsi="Times New Roman" w:cs="Times New Roman"/>
          <w:i/>
          <w:color w:val="000000" w:themeColor="text1"/>
          <w:sz w:val="24"/>
          <w:szCs w:val="24"/>
        </w:rPr>
        <w:t>N</w:t>
      </w:r>
      <w:r>
        <w:rPr>
          <w:rFonts w:ascii="Times New Roman" w:hAnsi="Times New Roman" w:cs="Times New Roman"/>
          <w:color w:val="000000" w:themeColor="text1"/>
          <w:sz w:val="24"/>
          <w:szCs w:val="24"/>
        </w:rPr>
        <w:t xml:space="preserve">Ac residue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{"citationID":"2b0tvjcv2s","properties":{"formattedCitation":"(Karamanos, 1997)","plainCitation":"(Karamanos, 1997)"},"citationItems":[{"id":16,"uris":["http://zotero.org/users/944474/items/S6R2954H"],"uri":["http://zotero.org/users/944474/items/S6R2954H"],"itemData":{"id":16,"type":"article-journal","title":"Endo-N-acetyl-beta-D-glucosaminidases and their potential substrates: structure/function relationships","container-title":"Research in Microbiology","page":"661-671","volume":"148","issue":"8","abstract":"Endo-N-acetyl-beta-D-glucosaminidases (ENGases) have been defined as the enzymes that hydrolyse the glycosidic bond between an N-acetyl-beta-D-glucosamine residue and the adjacent (partner) monosaccharide within an oligosaccharide chain. Three types of enzymes have been distinguished according to this definition: ENGases acting on murein (type I), those acting on chitin (type II) and, finally, those acting on N-glycans (type III). Considering that N-acetylmuramic acid is a derivative of N-acetylglucosamine (3-O-substituted by a lactyl group), only ENGases acting between two N-acetylglucosamine residues are actually known despite the fact that other possibilities of partner monosaccharides for N-acetyl-beta-D-glucosamine are reported. Similarities in the amino acid sequences were found to occur only between chitin-ENGases and N-glycan-ENGases, but the substrate specificities of these two types of enzymes are different. However, it is possible that certain enzymes are able to cleave more than one type of substrate, and this could in particular explain why the N-glycan-ENGases are largely produced by bacteria in which no potential substrate for this type of enzymes was identified. Further study in this area is expected.","DOI":"10.1016/S0923-2508(99)80065-5","note":"PMID: 9765851","shortTitle":"Endo-N-acetyl-beta-D-glucosaminidases and their potential substrates","journalAbbreviation":"Res. Microbiol.","author":[{"family":"Karamanos","given":"Y"}],"issued":{"year":1997,"month":11},"accessed":{"year":2012,"month":3,"day":6},"page-first":"661"}}],"schema":"https://github.com/citation-style-language/schema/raw/master/csl-citation.json"}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(Karamanos, 1997)</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p>
    <w:p w:rsidR="007F78F1" w:rsidRDefault="007F78F1" w:rsidP="007F78F1">
      <w:pPr>
        <w:spacing w:after="12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Previous studies have characterised only a small number of peptidoglycan hydrolases in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xml:space="preserve">. The best characterised of these is Atl, the major autolysin of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xml:space="preserve">. Atl is a bifunctional amidase-glucosaminidase, involved in cell separation and peptidoglycan turnover. It has </w:t>
      </w:r>
      <w:r>
        <w:rPr>
          <w:rFonts w:ascii="Times New Roman" w:hAnsi="Times New Roman" w:cs="Times New Roman"/>
          <w:bCs/>
          <w:color w:val="000000" w:themeColor="text1"/>
          <w:sz w:val="24"/>
          <w:szCs w:val="24"/>
        </w:rPr>
        <w:t>an N-terminal amidase domain (Atl(ami)) and C-terminal glucosaminidase domain</w:t>
      </w:r>
      <w:r>
        <w:rPr>
          <w:rFonts w:ascii="Times New Roman" w:eastAsia="Calibri" w:hAnsi="Times New Roman" w:cs="Times New Roman"/>
          <w:bCs/>
          <w:color w:val="000000" w:themeColor="text1"/>
          <w:sz w:val="24"/>
          <w:szCs w:val="24"/>
        </w:rPr>
        <w:t xml:space="preserve"> (</w:t>
      </w:r>
      <w:r>
        <w:rPr>
          <w:rFonts w:ascii="Times New Roman" w:hAnsi="Times New Roman" w:cs="Times New Roman"/>
          <w:bCs/>
          <w:color w:val="000000" w:themeColor="text1"/>
          <w:sz w:val="24"/>
          <w:szCs w:val="24"/>
        </w:rPr>
        <w:t>Atl(glu))</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{"citationID":"k6ieiiq8s","properties":{"formattedCitation":"(Foster, 1995; Oshida et al., 1995)","plainCitation":"(Foster, 1995; Oshida et al., 1995)"},"citationItems":[{"id":47,"uris":["http://zotero.org/users/944474/items/47D38V2E"],"uri":["http://zotero.org/users/944474/items/47D38V2E"],"itemData":{"id":47,"type":"article-journal","title":"A Staphylococcus aureus autolysin that has an N-acetylmuramoyl-L-alanine amidase domain and an endo-beta-N-acetylglucosaminidase domain: cloning, sequence analysis, and characterization","container-title":"Proceedings of the National Academy of Sciences of the United States of America","page":"285-289","volume":"92","issue":"1","abstract":"The Tn551 insertion site of the autolysis-deficient Staphylococcus aureus mutant RUSAL2 was cloned and used to identify the autolysis gene atl in the parent strain, RN450. The open reading frame for atl was 3768 bp in length, encoding a deduced protein of 1256 amino acids and molecular size of 137,381 Da. The atl gene product is a bifunctional protein that has an amidase domain and an endo-beta-N-acetylglucosaminidase domain which must undergo proteolytic processing to generate the two extracellular lytic enzymes found in the culture broth of S. aureus.","note":"PMID: 7816834","shortTitle":"A Staphylococcus aureus autolysin that has an N-acetylmuramoyl-L-alanine amidase domain and an endo-beta-N-acetylglucosaminidase domain","journalAbbreviation":"Proc. Natl. Acad. Sci. U.S.A.","author":[{"family":"Oshida","given":"T"},{"family":"Sugai","given":"M"},{"family":"Komatsuzawa","given":"H"},{"family":"Hong","given":"Y M"},{"family":"Suginaka","given":"H"},{"family":"Tomasz","given":"A"}],"issued":{"year":1995,"month":1,"day":3},"accessed":{"year":2012,"month":3,"day":6},"page-first":"285"}},{"id":48,"uris":["http://zotero.org/users/944474/items/D8DIGEZA"],"uri":["http://zotero.org/users/944474/items/D8DIGEZA"],"itemData":{"id":48,"type":"article-journal","title":"Molecular characterization and functional analysis of the major autolysin of Staphylococcus aureus 8325/4","container-title":"Journal of Bacteriology","page":"5723-5725","volume":"177","issue":"19","abstract":"The gene encoding the major autolysin of Staphylococcus aureus 8325/4 has been cloned, sequenced, and insertionally inactivated. The three-domain, 137,384-Da protein has a C-terminal glucosaminidase active site and is involved in cell separation, generalized cell lysis, and release of wall material at the cell surface. Expression occurs throughout growth and is stimulated by low temperatures and in the presence of 1 M NaCl.","note":"PMID: 7559367","journalAbbreviation":"J. Bacteriol.","author":[{"family":"Foster","given":"S J"}],"issued":{"year":1995,"month":10},"accessed":{"year":2012,"month":3,"day":6},"page-first":"5723"}}],"schema":"https://github.com/citation-style-language/schema/raw/master/csl-citation.json"}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(Foster, 1995; Oshida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1995)</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Sle1 (also called Aaa), is an amidase with an apparent role in splitting of the septum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{"citationID":"bvp6fcccu","properties":{"formattedCitation":"(Heilmann et al., 2005; Kajimura et al., 2005)","plainCitation":"(Heilmann et al., 2005; Kajimura et al., 2005)"},"citationItems":[{"id":15,"uris":["http://zotero.org/users/944474/items/BI3RAZBN"],"uri":["http://zotero.org/users/944474/items/BI3RAZBN"],"itemData":{"id":15,"type":"article-journal","title":"Identification and molecular characterization of an N-acetylmuramyl-L-alanine amidase Sle1 involved in cell separation of Staphylococcus aureus","container-title":"Molecular Microbiology","page":"1087-1101","volume":"58","issue":"4","abstract":"We purified a peptidoglycan hydrolase involved in cell separation from a Staphylococcus aureus atl null mutant and identified its gene. Characterization of the gene product shows a 32 kDa N-acetylmuramyl-L-alanine amidase that we designated Sle1. Analysis of peptidoglycan digests showed Sle1 preferentially cleaved N-acetylmuramyl-L-Ala bonds in dimeric cross-bridges that interlink the two murein strands in the peptidoglycan. An insertion mutation of sle1 impaired cell separation and induced S. aureus to form clusters suggesting Sle1 is involved in cell separation of S. aureus. The Sle1 mutant revealed a significant decrease in pathogenesis using an acute infection mouse model. Atl is the major autolysin of S. aureus, which has been implicated in cell separation of S. aureus. Generation of an atl/sle1 double mutant revealed that the mutant cell separation was heavily impaired suggesting that S. aureus uses two peptidoglycan hydrolases, Atl and Sle1, for cell separation. Unlike Atl, Sle1 is not directly involved in autolysis of S. aureus.","DOI":"10.1111/j.1365-2958.2005.04881.x","note":"PMID: 16262792","journalAbbreviation":"Mol. Microbiol.","author":[{"family":"Kajimura","given":"Junko"},{"family":"Fujiwara","given":"Tamaki"},{"family":"Yamada","given":"Sakuo"},{"family":"Suzawa","given":"Yoshika"},{"family":"Nishida","given":"Tetsuya"},{"family":"Oyamada","given":"Yoshihiro"},{"family":"Hayashi","given":"Ikue"},{"family":"Yamagishi","given":"Jun-ichi"},{"family":"Komatsuzawa","given":"Hitoshi"},{"family":"Sugai","given":"Motoyuki"}],"issued":{"year":2005,"month":11},"accessed":{"year":2012,"month":3,"day":6},"page-first":"1087"}},{"id":12,"uris":["http://zotero.org/users/944474/items/UDWIEZ8V"],"uri":["http://zotero.org/users/944474/items/UDWIEZ8V"],"itemData":{"id":12,"type":"article-journal","title":"The multifunctional Staphylococcus aureus autolysin aaa mediates adherence to immobilized fibrinogen and fibronectin","container-title":"Infection and Immunity","page":"4793-4802","volume":"73","issue":"8","abstract":"Staphylococci can cause a wide spectrum of infections, including endocarditis, osteomyelitis, and sepsis, which is reflected by the numerous virulence factors they produce, among them a recently identified new class of adhesins, namely, the multifunctional autolysins/adhesins. Here we report the identification and molecular characterization of Aaa, a novel autolysin/adhesin from Staphylococcus aureus. The gene encoding Aaa was cloned from the clinical isolate Staphylococcus aureus 4074. DNA sequence analysis revealed that aaa encodes a deduced protein of 334 amino acids with a predicted molecular mass of 35.8 kDa. Aaa contains three N-terminal repetitive sequences that comprise features of a peptidoglycan-binding domain, the LysM domain. The expression of aaa by Escherichia coli and its subsequent characterization revealed that Aaa possesses bacteriolytic activity as well as adhesive properties, such as binding to extracellular matrix proteins. Real-time biomolecular interaction analysis demonstrated that the interaction of Aaa with fibrinogen, fibronectin, and vitronectin is dose dependent and saturable and occurs with a high affinity. Furthermore, we demonstrate that Aaa binds to the Aalpha and Bbeta chains of fragment D of fibrinogen. Immunofluorescence microscopy revealed that Aaa is located at the cell surface. Finally, an aaa knockout mutant showed reduced adherence to surface-adsorbed fibrinogen and fibronectin, strongly suggesting a role for Aaa in the colonization of host factor-coated polymer surfaces and/or host tissue.","DOI":"10.1128/IAI.73.8.4793-4802.2005","note":"PMID: 16040992","journalAbbreviation":"Infect. Immun.","author":[{"family":"Heilmann","given":"Christine"},{"family":"Hartleib","given":"Jörg"},{"family":"Hussain","given":"Muzaffar S"},{"family":"Peters","given":"Georg"}],"issued":{"year":2005,"month":8},"accessed":{"year":2012,"month":3,"day":6},"page-first":"4793"}}],"schema":"https://github.com/citation-style-language/schema/raw/master/csl-citation.json"}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(Heilmann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xml:space="preserve">., 2005; Kajimura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2005)</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Two putative lytic transglycosylases have been characterised in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xml:space="preserve">, IsaA and SceD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{"citationID":"294faulg25","properties":{"formattedCitation":"(Stapleton et al., 2007)","plainCitation":"(Stapleton et al., 2007)"},"citationItems":[{"id":164,"uris":["http://zotero.org/users/944474/items/TSCN2PPV"],"uri":["http://zotero.org/users/944474/items/TSCN2PPV"],"itemData":{"id":164,"type":"article-journal","title":"Characterization of IsaA and SceD, Two Putative Lytic Transglycosylases of Staphylococcus Aureus","container-title":"Journal of Bacteriology","page":"7316-7325","volume":"189","issue":"20","DOI":"10.1128/JB.00734-07","journalAbbreviation":"J. Bacteriol.","language":"en","author":[{"family":"Stapleton","given":"Melanie R."},{"family":"Horsburgh","given":"Malcolm J."},{"family":"Hayhurst","given":"Emma J."},{"family":"Wright","given":"Lynda"},{"family":"Jonsson","given":"Ing-Marie"},{"family":"Tarkowski","given":"Andrej"},{"family":"Kokai-Kun","given":"John F."},{"family":"Mond","given":"James J."},{"family":"Foster","given":"Simon J."}],"issued":{"year":2007,"month":10,"day":15},"accessed":{"year":2012,"month":5,"day":4},"page-first":"7316"}}],"schema":"https://github.com/citation-style-language/schema/raw/master/csl-citation.json"}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(Stapleton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2007)</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Cell separation was impaired in a </w:t>
      </w:r>
      <w:r>
        <w:rPr>
          <w:rFonts w:ascii="Times New Roman" w:hAnsi="Times New Roman" w:cs="Times New Roman"/>
          <w:i/>
          <w:color w:val="000000" w:themeColor="text1"/>
          <w:sz w:val="24"/>
          <w:szCs w:val="24"/>
        </w:rPr>
        <w:t>sceD</w:t>
      </w:r>
      <w:r>
        <w:rPr>
          <w:rFonts w:ascii="Times New Roman" w:hAnsi="Times New Roman" w:cs="Times New Roman"/>
          <w:color w:val="000000" w:themeColor="text1"/>
          <w:sz w:val="24"/>
          <w:szCs w:val="24"/>
        </w:rPr>
        <w:t xml:space="preserve"> mutant and was exacerbated in an </w:t>
      </w:r>
      <w:r>
        <w:rPr>
          <w:rFonts w:ascii="Times New Roman" w:hAnsi="Times New Roman" w:cs="Times New Roman"/>
          <w:i/>
          <w:color w:val="000000" w:themeColor="text1"/>
          <w:sz w:val="24"/>
          <w:szCs w:val="24"/>
        </w:rPr>
        <w:t>isaA sceD</w:t>
      </w:r>
      <w:r>
        <w:rPr>
          <w:rFonts w:ascii="Times New Roman" w:hAnsi="Times New Roman" w:cs="Times New Roman"/>
          <w:color w:val="000000" w:themeColor="text1"/>
          <w:sz w:val="24"/>
          <w:szCs w:val="24"/>
        </w:rPr>
        <w:t xml:space="preserve"> double mutant. Putative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xml:space="preserve"> endopeptidases include LytM, a putative Gly-Gly endopeptidase with </w:t>
      </w:r>
      <w:r>
        <w:rPr>
          <w:rFonts w:ascii="Times New Roman" w:hAnsi="Times New Roman" w:cs="Times New Roman"/>
          <w:color w:val="000000" w:themeColor="text1"/>
          <w:sz w:val="24"/>
          <w:szCs w:val="24"/>
        </w:rPr>
        <w:lastRenderedPageBreak/>
        <w:t xml:space="preserve">homology to lysostaphin,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{"citationID":"6m3j02ksr","properties":{"formattedCitation":"(Ramadurai and Jayaswal, 1997; Ramadurai et al., 1999; Singh et al., 2010)","plainCitation":"(Ramadurai and Jayaswal, 1997; Ramadurai et al., 1999; Singh et al., 2010)"},"citationItems":[{"id":49,"uris":["http://zotero.org/users/944474/items/THRTC72W"],"uri":["http://zotero.org/users/944474/items/THRTC72W"],"itemData":{"id":49,"type":"article-journal","title":"Molecular cloning, sequencing, and expression of lytM, a unique autolytic gene of Staphylococcus aureus","container-title":"Journal of Bacteriology","page":"3625-3631","volume":"179","issue":"11","abstract":"A gene encoding an autolytic activity was identified in an autolysis-deficient mutant (Lyt-) of Staphylococcus aureus which produces only a single band in autolytic-activity gels (N. Mani, P. Tobin, and R. K. Jayaswal, J. Bacteriol. 175:1493-1499, 1993). An open reading frame, designated lytM, of 948 bp that could encode a polypeptide of 316 amino acid residues was identified. The calculated molecular mass of the lytM gene product (34.4 kDa) corresponded to that of the autolytic activity detected (approximately 36 kDa) in the Lyt- mutant. Results deduced from amino acid sequence analysis and N-terminal amino acid sequencing data suggest that LytM is a secreted protein. The C-terminal region of the putative protein encoded by lytM showed 51% identity with the N-terminal region of the mature lysostaphin from Staphylococcus simulans and 50% identity with the N-terminal region of ALE-1 from Staphylococcus capitis EPK1. Northern blot analysis showed that lytM expresses a transcript of approximately 955 bp, as predicted from the DNA sequence. Escherichia coli clones carrying the lytM gene exhibited autolytic-activity bands of approximately 36 kDa as well as of 19 and 22 kDa in activity gels. The lytM gene was mapped to the SmaI-D fragment on the S. aureus chromosome. Mapping data and results of hybridization experiments with primers generated from gene sequences of known autolytic genes of S. aureus clearly indicate that the lytM gene is distinct from other staphylococcal autolytic genes reported to date.","note":"PMID: 9171409","journalAbbreviation":"J. Bacteriol.","author":[{"family":"Ramadurai","given":"L"},{"family":"Jayaswal","given":"R K"}],"issued":{"year":1997,"month":6},"accessed":{"year":2012,"month":3,"day":6},"page-first":"3625"}},{"id":50,"uris":["http://zotero.org/users/944474/items/VDESTK7M"],"uri":["http://zotero.org/users/944474/items/VDESTK7M"],"itemData":{"id":50,"type":"article-journal","title":"Characterization of a chromosomally encoded glycylglycine endopeptidase of Staphylococcus aureus","container-title":"Microbiology (Reading, England)","page":"801-808","volume":"145 ( Pt 4)","abstract":"The authors previously reported the cloning of a lytic-enzyme-encoding gene, lytM, from an autolysis-defective mutant of Staphylococcus aureus. In the present work, the lytM gene was overexpressed in Escherichia coli and the product was purified to homogeneity by affinity chromatography and HPLC. Biochemical analysis of LytM-cleaved peptidoglycan fragments indicated that LytM is a glycylglycine endopeptidase. Immunoelectron microscopic studies with anti-LytM rabbit IgG showed that LytM is expressed during the early exponential phase and is overexpressed in an autolysis-defective mutant compared with the parent strain. Also, a uniform distribution of gold particles on the surface of actively growing bacterial cells indicates that LytM plays a role in cell growth. Northern blot analyses of lytM expression in two global regulatory mutants, agr and sar, showed that expression of lytM is increased about twofold in these mutants as compared with the parents. Protein homology searches revealed that LytM could be a member of the zinc protease family, as it contained a homologous 38-amino-acid motif, Tyr-X-His-X11-Val-X12/20-Gly-X5-6-His. Atomic absorption spectrometric analysis of LytM revealed the presence of 0.9 mol zinc (mol LytM)(-1).","note":"PMID: 10220159","journalAbbreviation":"Microbiology (Reading, Engl.)","author":[{"family":"Ramadurai","given":"L"},{"family":"Lockwood","given":"K J"},{"family":"Nadakavukaren","given":"M J"},{"family":"Jayaswal","given":"R K"}],"issued":{"year":1999,"month":4},"accessed":{"year":2012,"month":3,"day":6},"page-first":"801"}},{"id":51,"uris":["http://zotero.org/users/944474/items/4DEIH48Q"],"uri":["http://zotero.org/users/944474/items/4DEIH48Q"],"itemData":{"id":51,"type":"article-journal","title":"Physiological significance of the peptidoglycan hydrolase, LytM, in Staphylococcus aureus","container-title":"FEMS Microbiology Letters","page":"167-175","volume":"311","issue":"2","abstract":"Autolysins in bacteria are peptidoglycan hydrolases with roles in growth, turnover and cell lysis. LytM was identified as the only autolysin in a previously reported autolysis-deficient (lyt(-) ) strain of Staphylococcus aureus. Purified LytM has been studied in great detail for its lytic properties and its production is elevated in vancomycin-resistant S. aureus. However, the postulated roles of LytM in S. aureus are largely speculative. Studies utilizing a reporter strain where the lytM promoter was cloned in front of a promoterless lacZ gene and fused in S. aureus strain SH1000 suggest that the expression of lytM is the highest during the early exponential phase. Additionally, lytM expression was downregulated in agr(-) mutants. The expression of lytM was not affected by the presence of cell wall inhibitors in the growth medium. To further determine the significance of LytM in staphylococcal autolysis, the gene encoding LytM was deleted by site-directed mutagenesis. The deletion of lytM, however, did not alter the rate of staphylococcal cell autolysis. Surprisingly, when the lytM mutation was combined with the lyt(-) mutant, the lytic activity band of the lyt(-) strain was still apparent in the lytM:lyt(-) double mutant. Purified full-length His-tagged LytM did not demonstrate any lytic activity against S. aureus cells. Surprisingly, cultures of S. aureus lytM deletion mutant lysed at a significantly faster rate compared with the wild-type S. aureus in the presence of oxacillin. The findings of this study raise questions about LytM as an autolysin and the significance of this protein should thus be investigated beyond its role as an autolysin.","DOI":"10.1111/j.1574-6968.2010.02087.x","note":"PMID: 20738399","journalAbbreviation":"FEMS Microbiol. Lett.","author":[{"family":"Singh","given":"Vineet K"},{"family":"Carlos","given":"Mary R"},{"family":"Singh","given":"Kuldeep"}],"issued":{"year":2010,"month":10},"accessed":{"year":2012,"month":3,"day":6},"page-first":"167"}}],"schema":"https://github.com/citation-style-language/schema/raw/master/csl-citation.json"}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(Ramadurai and Jayaswal, 1997; Ramadurai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xml:space="preserve">., 1999; Singh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2010)</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LytN is a bifunctional peptidoglycan hydrolase with both amidase and </w:t>
      </w:r>
      <w:r>
        <w:rPr>
          <w:rFonts w:ascii="Times New Roman" w:hAnsi="Times New Roman" w:cs="Times New Roman"/>
          <w:color w:val="000000" w:themeColor="text1"/>
          <w:sz w:val="16"/>
          <w:szCs w:val="16"/>
        </w:rPr>
        <w:t>D</w:t>
      </w:r>
      <w:r>
        <w:rPr>
          <w:rFonts w:ascii="Times New Roman" w:hAnsi="Times New Roman" w:cs="Times New Roman"/>
          <w:color w:val="000000" w:themeColor="text1"/>
          <w:sz w:val="24"/>
          <w:szCs w:val="24"/>
        </w:rPr>
        <w:t>-alanyl-glycine endopeptidase activity</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{"citationID":"17mp5qf1al","properties":{"formattedCitation":"(Sugai et al., 1998; Frankel et al., 2011)","plainCitation":"(Sugai et al., 1998; Frankel et al., 2011)"},"citationItems":[{"id":52,"uris":["http://zotero.org/users/944474/items/X2WBSIZ9"],"uri":["http://zotero.org/users/944474/items/X2WBSIZ9"],"itemData":{"id":52,"type":"article-journal","title":"Identification and molecular characterization of a gene homologous to epr (endopeptidase resistance gene) in Staphylococcus aureus","container-title":"Gene","page":"67-75","volume":"224","issue":"1-2","abstract":"Certain Staphylococci possess a gene called epr or lif that renders the cells resistant to lysis by glycylglycine endopeptidase. The resistance is conferred by modifying the amino acid composition of interpeptide chains in cell-wall peptidoglycan by increasing serine content and decreasing glycine content. A gene homologous to epr/lif was cloned from S. aureus RN450 genomic libraries and designated eprh. eprh was found to localize 27bp downstream of a novel cell-wall hydrolase gene lytN, which is in the same orientation with eprh. By analogy with epr/lif, eprh is suggested to be involved in the transfer of certain amino acids, possibly serine or amino acids other than glycine, to interpeptide chains of cell-wall peptidoglycan. Unlike epr/lif, overexpression of eprh in S. aureus did not result in an increased resistance to lysostaphin. Insertional inactivation of eprh or lytN by Campbell-type integration did not affect the susceptibility of the cells to lysostaphin, either. These results suggest that eprh and lytN are not essential genes for S. aureus growth. The physiological function of eprh remains unknown.","note":"PMID: 9931440","journalAbbreviation":"Gene","author":[{"family":"Sugai","given":"M"},{"family":"Fujiwara","given":"T"},{"family":"Komatsuzawa","given":"H"},{"family":"SuginakaH","given":""}],"issued":{"year":1998,"month":12,"day":11},"accessed":{"year":2012,"month":3,"day":6},"page-first":"67"}},{"id":78,"uris":["http://zotero.org/users/944474/items/WW8BWZPB"],"uri":["http://zotero.org/users/944474/items/WW8BWZPB"],"itemData":{"id":78,"type":"article-journal","title":"LytN, a murein hydrolase in the cross-wall compartment of Staphylococcus aureus, is involved in proper bacterial growth and envelope assembly","container-title":"The Journal of Biological Chemistry","page":"32593-32605","volume":"286","issue":"37","abstract":"Cell cycle progression for the spherical microbe Staphylococcus aureus requires the coordinated synthesis and remodeling of peptidoglycan. The majority of these rearrangements takes place at the mid-cell, in a compartment designated the cross-wall. Secreted polypeptides endowed with a YSIRK-G/S signal peptide are directly delivered to the cross-wall compartment. One such YSIRK-containing protein is the murein hydrolase LytN. lytN mutations precipitate structural damage to the cross-wall and interfere with staphylococcal growth. Overexpression of lytN also affects growth and triggers rupture of the cross-wall. The lytN phenotype can be reversed by the controlled expression of lytN but not by adding purified LytN to staphylococcal cultures. LytN harbors LysM and CHAP domains, the latter of which functions as both an N-acetylmuramoyl-L-alanine amidase and D-alanyl-glycine endopeptidase. Thus, LytN secretion into the cross-wall promotes peptidoglycan separation and completion of the staphylococcal cell cycle.","DOI":"10.1074/jbc.M111.258863","note":"PMID: 21784864","journalAbbreviation":"J. Biol. Chem.","author":[{"family":"Frankel","given":"Matthew B"},{"family":"Hendrickx","given":"Antoni P A"},{"family":"Missiakas","given":"Dominique M"},{"family":"Schneewind","given":"Olaf"}],"issued":{"year":2011,"month":9,"day":16},"accessed":{"year":2012,"month":3,"day":8},"page-first":"32593"}}],"schema":"https://github.com/citation-style-language/schema/raw/master/csl-citation.json"}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(Sugai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xml:space="preserve">., 1998; Frankel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2011)</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p>
    <w:p w:rsidR="007F78F1" w:rsidRDefault="007F78F1" w:rsidP="007F78F1">
      <w:pPr>
        <w:spacing w:after="12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 recent study of </w:t>
      </w:r>
      <w:r>
        <w:rPr>
          <w:rFonts w:ascii="Times New Roman" w:hAnsi="Times New Roman" w:cs="Times New Roman"/>
          <w:i/>
          <w:color w:val="000000" w:themeColor="text1"/>
          <w:sz w:val="24"/>
          <w:szCs w:val="24"/>
        </w:rPr>
        <w:t xml:space="preserve">S. aureus </w:t>
      </w:r>
      <w:r>
        <w:rPr>
          <w:rFonts w:ascii="Times New Roman" w:hAnsi="Times New Roman" w:cs="Times New Roman"/>
          <w:color w:val="000000" w:themeColor="text1"/>
          <w:sz w:val="24"/>
          <w:szCs w:val="24"/>
        </w:rPr>
        <w:t xml:space="preserve">glycan chain length using rp-HPLC identified the presence of satellite peaks in addition to the major glycan peaks. These satellite peaks were the apparent product of glucosaminidase activity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{"citationID":"6mnlenjlv","properties":{"formattedCitation":"(Boneca et al., 2000)","plainCitation":"(Boneca et al., 2000)"},"citationItems":[{"id":7,"uris":["http://zotero.org/users/944474/items/AQ75H8SX"],"uri":["http://zotero.org/users/944474/items/AQ75H8SX"],"itemData":{"id":7,"type":"article-journal","title":"Characterization of Staphylococcus aureus cell wall glycan strands, evidence for a new beta-N-acetylglucosaminidase activity","container-title":"The Journal of Biological Chemistry","page":"9910-9918","volume":"275","issue":"14","abstract":"Using sequential digestion with the glycyl-glycine endopeptidase lysostaphin followed by the pneumococcal N-acetylmuramyl-L-alanine amidase (amidase), the glycan strands of the peptidoglycan of Staphylococcus aureus were purified and analyzed by a combination of reverse-phase-high pressure liquid chromatography (HPLC) and mass spectrometry. Reverse-phase-HPLC resolved the glycan strands to a family of major peaks, which represented oligosaccharides composed of repeating disaccharide units (N-acetylglucosamine-[beta-1, 4]-N-acetylmuramic acid) with different degrees of polymerization and terminating with N-acetylmuramic acid residues at the reducing ends. The method allowed separation of strands up to 23-26 disaccharide units with a predominant length between 3 and 10 and an average degree of polymerization of approximately 6. Glycan strands with a higher degree of polymerization (&gt;26 disaccharide units) represented 10-15% of the total UV absorbing glycan material. A unique feature of the staphylococcal glycan strands was the presence of minor satellite peaks that were present throughout the HPLC elution profile eluting either just prior or shortly after the major oligosaccharide peaks. A number of observations including mass spectrometric analysis suggest that the satellites are the products of an N-acetylglucosaminidase activity that differs from the atl gene product and that appears to be involved with modification of the glycan strand structure.","note":"PMID: 10744664","journalAbbreviation":"J. Biol. Chem.","author":[{"family":"Boneca","given":"I G"},{"family":"Huang","given":"Z H"},{"family":"Gage","given":"D A"},{"family":"Tomasz","given":"A"}],"issued":{"year":2000,"month":4,"day":7},"accessed":{"year":2012,"month":3,"day":6},"page-first":"9910"}}],"schema":"https://github.com/citation-style-language/schema/raw/master/csl-citation.json"}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(Boneca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2000)</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This result suggests a critical role for glucosaminidase enzymes in processing of glycan chains of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xml:space="preserve">. We propose a model for </w:t>
      </w:r>
      <w:r>
        <w:rPr>
          <w:rFonts w:ascii="Times New Roman" w:hAnsi="Times New Roman" w:cs="Times New Roman"/>
          <w:i/>
          <w:color w:val="000000" w:themeColor="text1"/>
          <w:sz w:val="24"/>
          <w:szCs w:val="24"/>
        </w:rPr>
        <w:t xml:space="preserve">S. aureus </w:t>
      </w:r>
      <w:r>
        <w:rPr>
          <w:rFonts w:ascii="Times New Roman" w:hAnsi="Times New Roman" w:cs="Times New Roman"/>
          <w:color w:val="000000" w:themeColor="text1"/>
          <w:sz w:val="24"/>
          <w:szCs w:val="24"/>
        </w:rPr>
        <w:t xml:space="preserve">cell growth by hydrolysis through the action of glucosaminidases, which has implications for both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xml:space="preserve"> peptidoglycan architecture and cell physiology. Together our data show that glucosaminidases play a critical role in </w:t>
      </w:r>
      <w:r>
        <w:rPr>
          <w:rFonts w:ascii="Times New Roman" w:hAnsi="Times New Roman" w:cs="Times New Roman"/>
          <w:i/>
          <w:color w:val="000000" w:themeColor="text1"/>
          <w:sz w:val="24"/>
          <w:szCs w:val="24"/>
        </w:rPr>
        <w:t xml:space="preserve">S. aureus </w:t>
      </w:r>
      <w:r>
        <w:rPr>
          <w:rFonts w:ascii="Times New Roman" w:hAnsi="Times New Roman" w:cs="Times New Roman"/>
          <w:color w:val="000000" w:themeColor="text1"/>
          <w:sz w:val="24"/>
          <w:szCs w:val="24"/>
        </w:rPr>
        <w:t>morphogenesis.</w:t>
      </w:r>
    </w:p>
    <w:p w:rsidR="007F78F1" w:rsidRDefault="007F78F1" w:rsidP="007F78F1">
      <w:pPr>
        <w:spacing w:line="360" w:lineRule="auto"/>
        <w:rPr>
          <w:rFonts w:ascii="Times New Roman" w:hAnsi="Times New Roman" w:cs="Times New Roman"/>
          <w:color w:val="000000" w:themeColor="text1"/>
          <w:sz w:val="28"/>
          <w:szCs w:val="28"/>
        </w:rPr>
      </w:pPr>
    </w:p>
    <w:p w:rsidR="007F78F1" w:rsidRDefault="007F78F1" w:rsidP="007F78F1">
      <w:pPr>
        <w:spacing w:after="120" w:line="48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5.1.2</w:t>
      </w:r>
      <w:r>
        <w:rPr>
          <w:rFonts w:ascii="Times New Roman" w:hAnsi="Times New Roman" w:cs="Times New Roman"/>
          <w:color w:val="000000" w:themeColor="text1"/>
          <w:sz w:val="28"/>
          <w:szCs w:val="28"/>
        </w:rPr>
        <w:tab/>
      </w:r>
      <w:r>
        <w:rPr>
          <w:rFonts w:ascii="Times New Roman" w:hAnsi="Times New Roman" w:cs="Times New Roman"/>
          <w:color w:val="000000" w:themeColor="text1"/>
          <w:sz w:val="28"/>
          <w:szCs w:val="28"/>
        </w:rPr>
        <w:tab/>
        <w:t>Aims of this chapter</w:t>
      </w:r>
    </w:p>
    <w:p w:rsidR="007F78F1" w:rsidRDefault="007F78F1" w:rsidP="007F78F1">
      <w:pPr>
        <w:pStyle w:val="ListParagraph"/>
        <w:numPr>
          <w:ilvl w:val="0"/>
          <w:numId w:val="18"/>
        </w:numPr>
        <w:spacing w:after="12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Characterise multiple combinations of glucosaminidase mutant knock-out in </w:t>
      </w:r>
      <w:r>
        <w:rPr>
          <w:rFonts w:ascii="Times New Roman" w:hAnsi="Times New Roman" w:cs="Times New Roman"/>
          <w:i/>
          <w:color w:val="000000" w:themeColor="text1"/>
          <w:sz w:val="24"/>
          <w:szCs w:val="24"/>
        </w:rPr>
        <w:t>S. aureus</w:t>
      </w:r>
    </w:p>
    <w:p w:rsidR="007F78F1" w:rsidRDefault="007F78F1" w:rsidP="007F78F1">
      <w:pPr>
        <w:pStyle w:val="ListParagraph"/>
        <w:numPr>
          <w:ilvl w:val="0"/>
          <w:numId w:val="18"/>
        </w:numPr>
        <w:spacing w:after="12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Investigate the glycan chain distribution in glucosaminidase mutants </w:t>
      </w:r>
    </w:p>
    <w:p w:rsidR="007F78F1" w:rsidRDefault="007F78F1" w:rsidP="007F78F1">
      <w:pPr>
        <w:pStyle w:val="ListParagraph"/>
        <w:numPr>
          <w:ilvl w:val="0"/>
          <w:numId w:val="18"/>
        </w:numPr>
        <w:spacing w:after="12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Characterise the impact on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xml:space="preserve"> morphology and growth in glucosaminidase mutant backgrounds</w:t>
      </w:r>
    </w:p>
    <w:p w:rsidR="007F78F1" w:rsidRDefault="007F78F1" w:rsidP="007F78F1">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rsidR="007F78F1" w:rsidRDefault="007F78F1" w:rsidP="007F78F1">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5.2</w:t>
      </w:r>
      <w:r>
        <w:rPr>
          <w:rFonts w:ascii="Times New Roman" w:hAnsi="Times New Roman" w:cs="Times New Roman"/>
          <w:color w:val="000000" w:themeColor="text1"/>
          <w:sz w:val="28"/>
          <w:szCs w:val="28"/>
        </w:rPr>
        <w:tab/>
      </w:r>
      <w:r>
        <w:rPr>
          <w:rFonts w:ascii="Times New Roman" w:hAnsi="Times New Roman" w:cs="Times New Roman"/>
          <w:color w:val="000000" w:themeColor="text1"/>
          <w:sz w:val="28"/>
          <w:szCs w:val="28"/>
        </w:rPr>
        <w:tab/>
        <w:t>Results</w:t>
      </w:r>
    </w:p>
    <w:p w:rsidR="007F78F1" w:rsidRDefault="007F78F1" w:rsidP="007F78F1">
      <w:pPr>
        <w:tabs>
          <w:tab w:val="left" w:pos="1418"/>
        </w:tabs>
        <w:spacing w:line="480" w:lineRule="auto"/>
        <w:ind w:left="1418" w:hanging="1418"/>
        <w:jc w:val="both"/>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5.2.1</w:t>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Pr>
          <w:rFonts w:ascii="Times New Roman" w:hAnsi="Times New Roman" w:cs="Times New Roman"/>
          <w:color w:val="000000" w:themeColor="text1"/>
          <w:sz w:val="28"/>
          <w:szCs w:val="28"/>
        </w:rPr>
        <w:t xml:space="preserve">Identification of peptidoglycan hydrolases by bioinformatic analysis of the </w:t>
      </w:r>
      <w:r>
        <w:rPr>
          <w:rFonts w:ascii="Times New Roman" w:hAnsi="Times New Roman" w:cs="Times New Roman"/>
          <w:i/>
          <w:color w:val="000000" w:themeColor="text1"/>
          <w:sz w:val="28"/>
          <w:szCs w:val="28"/>
        </w:rPr>
        <w:t>S.</w:t>
      </w:r>
      <w:r>
        <w:rPr>
          <w:color w:val="000000" w:themeColor="text1"/>
        </w:rPr>
        <w:t> </w:t>
      </w:r>
      <w:r>
        <w:rPr>
          <w:rFonts w:ascii="Times New Roman" w:hAnsi="Times New Roman" w:cs="Times New Roman"/>
          <w:i/>
          <w:color w:val="000000" w:themeColor="text1"/>
          <w:sz w:val="28"/>
          <w:szCs w:val="28"/>
        </w:rPr>
        <w:t>aureus</w:t>
      </w:r>
      <w:r>
        <w:rPr>
          <w:rFonts w:ascii="Times New Roman" w:hAnsi="Times New Roman" w:cs="Times New Roman"/>
          <w:color w:val="000000" w:themeColor="text1"/>
          <w:sz w:val="28"/>
          <w:szCs w:val="28"/>
        </w:rPr>
        <w:t xml:space="preserve"> COL genome</w:t>
      </w:r>
    </w:p>
    <w:p w:rsidR="007F78F1" w:rsidRDefault="007F78F1" w:rsidP="007F78F1">
      <w:pPr>
        <w:spacing w:line="480"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A bioinformatic screen for </w:t>
      </w:r>
      <w:r>
        <w:rPr>
          <w:rFonts w:ascii="Times New Roman" w:hAnsi="Times New Roman" w:cs="Times New Roman"/>
          <w:bCs/>
          <w:i/>
          <w:color w:val="000000" w:themeColor="text1"/>
          <w:sz w:val="24"/>
          <w:szCs w:val="24"/>
        </w:rPr>
        <w:t xml:space="preserve">S. aureus </w:t>
      </w:r>
      <w:r>
        <w:rPr>
          <w:rFonts w:ascii="Times New Roman" w:hAnsi="Times New Roman" w:cs="Times New Roman"/>
          <w:bCs/>
          <w:color w:val="000000" w:themeColor="text1"/>
          <w:sz w:val="24"/>
          <w:szCs w:val="24"/>
        </w:rPr>
        <w:t xml:space="preserve">autolysins was carried out using the </w:t>
      </w:r>
      <w:r>
        <w:rPr>
          <w:rFonts w:ascii="Times New Roman" w:hAnsi="Times New Roman" w:cs="Times New Roman"/>
          <w:bCs/>
          <w:i/>
          <w:color w:val="000000" w:themeColor="text1"/>
          <w:sz w:val="24"/>
          <w:szCs w:val="24"/>
        </w:rPr>
        <w:t xml:space="preserve">S. aureus </w:t>
      </w:r>
      <w:r>
        <w:rPr>
          <w:rFonts w:ascii="Times New Roman" w:hAnsi="Times New Roman" w:cs="Times New Roman"/>
          <w:bCs/>
          <w:color w:val="000000" w:themeColor="text1"/>
          <w:sz w:val="24"/>
          <w:szCs w:val="24"/>
        </w:rPr>
        <w:t xml:space="preserve">COL genome </w:t>
      </w:r>
      <w:r>
        <w:rPr>
          <w:rFonts w:ascii="Times New Roman" w:hAnsi="Times New Roman" w:cs="Times New Roman"/>
          <w:bCs/>
          <w:color w:val="000000" w:themeColor="text1"/>
          <w:sz w:val="24"/>
          <w:szCs w:val="24"/>
        </w:rPr>
        <w:fldChar w:fldCharType="begin"/>
      </w:r>
      <w:r>
        <w:rPr>
          <w:rFonts w:ascii="Times New Roman" w:hAnsi="Times New Roman" w:cs="Times New Roman"/>
          <w:bCs/>
          <w:color w:val="000000" w:themeColor="text1"/>
          <w:sz w:val="24"/>
          <w:szCs w:val="24"/>
        </w:rPr>
        <w:instrText xml:space="preserve"> ADDIN ZOTERO_ITEM CSL_CITATION {"citationID":"2el0ii5mjc","properties":{"formattedCitation":"(Mohamad,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bCs/>
          <w:color w:val="000000" w:themeColor="text1"/>
          <w:sz w:val="24"/>
          <w:szCs w:val="24"/>
        </w:rPr>
        <w:fldChar w:fldCharType="separate"/>
      </w:r>
      <w:r>
        <w:rPr>
          <w:rFonts w:ascii="Times New Roman" w:hAnsi="Times New Roman" w:cs="Times New Roman"/>
          <w:color w:val="000000" w:themeColor="text1"/>
          <w:sz w:val="24"/>
        </w:rPr>
        <w:t>(Mohamad, 2007)</w:t>
      </w:r>
      <w:r>
        <w:rPr>
          <w:rFonts w:ascii="Times New Roman" w:hAnsi="Times New Roman" w:cs="Times New Roman"/>
          <w:bCs/>
          <w:color w:val="000000" w:themeColor="text1"/>
          <w:sz w:val="24"/>
          <w:szCs w:val="24"/>
        </w:rPr>
        <w:fldChar w:fldCharType="end"/>
      </w:r>
      <w:r>
        <w:rPr>
          <w:rFonts w:ascii="Times New Roman" w:hAnsi="Times New Roman" w:cs="Times New Roman"/>
          <w:bCs/>
          <w:color w:val="000000" w:themeColor="text1"/>
          <w:sz w:val="24"/>
          <w:szCs w:val="24"/>
        </w:rPr>
        <w:t xml:space="preserve">. The </w:t>
      </w:r>
      <w:proofErr w:type="gramStart"/>
      <w:r>
        <w:rPr>
          <w:rFonts w:ascii="Times New Roman" w:hAnsi="Times New Roman" w:cs="Times New Roman"/>
          <w:bCs/>
          <w:color w:val="000000" w:themeColor="text1"/>
          <w:sz w:val="24"/>
          <w:szCs w:val="24"/>
        </w:rPr>
        <w:t>Atl(</w:t>
      </w:r>
      <w:proofErr w:type="gramEnd"/>
      <w:r>
        <w:rPr>
          <w:rFonts w:ascii="Times New Roman" w:hAnsi="Times New Roman" w:cs="Times New Roman"/>
          <w:bCs/>
          <w:color w:val="000000" w:themeColor="text1"/>
          <w:sz w:val="24"/>
          <w:szCs w:val="24"/>
        </w:rPr>
        <w:t>glu) amino acid sequence (residues 776-1256) was used as a BLAST search against the</w:t>
      </w:r>
      <w:r>
        <w:rPr>
          <w:rFonts w:ascii="Times New Roman" w:hAnsi="Times New Roman" w:cs="Times New Roman"/>
          <w:bCs/>
          <w:i/>
          <w:color w:val="000000" w:themeColor="text1"/>
          <w:sz w:val="24"/>
          <w:szCs w:val="24"/>
        </w:rPr>
        <w:t xml:space="preserve"> S. aureus </w:t>
      </w:r>
      <w:r>
        <w:rPr>
          <w:rFonts w:ascii="Times New Roman" w:hAnsi="Times New Roman" w:cs="Times New Roman"/>
          <w:bCs/>
          <w:color w:val="000000" w:themeColor="text1"/>
          <w:sz w:val="24"/>
          <w:szCs w:val="24"/>
        </w:rPr>
        <w:t xml:space="preserve">COL genome. Three novel putative glucosaminidases were identified; SagA (SACOL2298), SagB (SACOL1825) and ScaH (SACOL2666) (Figure 5.1 and 5.2). SagA and SagB both shared ~40% identity with </w:t>
      </w:r>
      <w:r>
        <w:rPr>
          <w:rFonts w:ascii="Times New Roman" w:hAnsi="Times New Roman" w:cs="Times New Roman"/>
          <w:bCs/>
          <w:i/>
          <w:color w:val="000000" w:themeColor="text1"/>
          <w:sz w:val="24"/>
          <w:szCs w:val="24"/>
        </w:rPr>
        <w:t>S. aureus</w:t>
      </w:r>
      <w:r>
        <w:rPr>
          <w:rFonts w:ascii="Times New Roman" w:hAnsi="Times New Roman" w:cs="Times New Roman"/>
          <w:bCs/>
          <w:color w:val="000000" w:themeColor="text1"/>
          <w:sz w:val="24"/>
          <w:szCs w:val="24"/>
        </w:rPr>
        <w:t xml:space="preserve"> </w:t>
      </w:r>
      <w:proofErr w:type="gramStart"/>
      <w:r>
        <w:rPr>
          <w:rFonts w:ascii="Times New Roman" w:hAnsi="Times New Roman" w:cs="Times New Roman"/>
          <w:bCs/>
          <w:color w:val="000000" w:themeColor="text1"/>
          <w:sz w:val="24"/>
          <w:szCs w:val="24"/>
        </w:rPr>
        <w:t>Atl(</w:t>
      </w:r>
      <w:proofErr w:type="gramEnd"/>
      <w:r>
        <w:rPr>
          <w:rFonts w:ascii="Times New Roman" w:hAnsi="Times New Roman" w:cs="Times New Roman"/>
          <w:bCs/>
          <w:color w:val="000000" w:themeColor="text1"/>
          <w:sz w:val="24"/>
          <w:szCs w:val="24"/>
        </w:rPr>
        <w:t xml:space="preserve">glu). ScaH (SACOL2666) showed only slight homology to </w:t>
      </w:r>
      <w:r>
        <w:rPr>
          <w:rFonts w:ascii="Times New Roman" w:hAnsi="Times New Roman" w:cs="Times New Roman"/>
          <w:bCs/>
          <w:i/>
          <w:color w:val="000000" w:themeColor="text1"/>
          <w:sz w:val="24"/>
          <w:szCs w:val="24"/>
        </w:rPr>
        <w:t>S. aureus</w:t>
      </w:r>
      <w:r>
        <w:rPr>
          <w:rFonts w:ascii="Times New Roman" w:hAnsi="Times New Roman" w:cs="Times New Roman"/>
          <w:bCs/>
          <w:color w:val="000000" w:themeColor="text1"/>
          <w:sz w:val="24"/>
          <w:szCs w:val="24"/>
        </w:rPr>
        <w:t xml:space="preserve"> Atl (26% identity over 145 amino acids) and no significant homology to SagA or SagB, but had greater homology (39% identity over 181 amino acids) to the glucosaminidase domain</w:t>
      </w:r>
      <w:r>
        <w:rPr>
          <w:rFonts w:ascii="Times New Roman" w:hAnsi="Times New Roman" w:cs="Times New Roman"/>
          <w:bCs/>
          <w:i/>
          <w:color w:val="000000" w:themeColor="text1"/>
          <w:sz w:val="24"/>
          <w:szCs w:val="24"/>
        </w:rPr>
        <w:t xml:space="preserve"> </w:t>
      </w:r>
      <w:r>
        <w:rPr>
          <w:rFonts w:ascii="Times New Roman" w:hAnsi="Times New Roman" w:cs="Times New Roman"/>
          <w:bCs/>
          <w:color w:val="000000" w:themeColor="text1"/>
          <w:sz w:val="24"/>
          <w:szCs w:val="24"/>
        </w:rPr>
        <w:t xml:space="preserve">of </w:t>
      </w:r>
      <w:r>
        <w:rPr>
          <w:rFonts w:ascii="Times New Roman" w:hAnsi="Times New Roman" w:cs="Times New Roman"/>
          <w:bCs/>
          <w:i/>
          <w:color w:val="000000" w:themeColor="text1"/>
          <w:sz w:val="24"/>
          <w:szCs w:val="24"/>
        </w:rPr>
        <w:t xml:space="preserve">B. subtilis </w:t>
      </w:r>
      <w:r>
        <w:rPr>
          <w:rFonts w:ascii="Times New Roman" w:hAnsi="Times New Roman" w:cs="Times New Roman"/>
          <w:bCs/>
          <w:color w:val="000000" w:themeColor="text1"/>
          <w:sz w:val="24"/>
          <w:szCs w:val="24"/>
        </w:rPr>
        <w:t xml:space="preserve">LytG (Figure 5.1 and 5.2). A BLAST search of the </w:t>
      </w:r>
      <w:r>
        <w:rPr>
          <w:rFonts w:ascii="Times New Roman" w:hAnsi="Times New Roman" w:cs="Times New Roman"/>
          <w:bCs/>
          <w:i/>
          <w:color w:val="000000" w:themeColor="text1"/>
          <w:sz w:val="24"/>
          <w:szCs w:val="24"/>
        </w:rPr>
        <w:t>S. aureus</w:t>
      </w:r>
      <w:r>
        <w:rPr>
          <w:rFonts w:ascii="Times New Roman" w:hAnsi="Times New Roman" w:cs="Times New Roman"/>
          <w:bCs/>
          <w:color w:val="000000" w:themeColor="text1"/>
          <w:sz w:val="24"/>
          <w:szCs w:val="24"/>
        </w:rPr>
        <w:t xml:space="preserve"> COL genome was carried out using Atl, SagA, SagB, and ScaH amino acid sequences as a search query, as well as previously characterized proteins of </w:t>
      </w:r>
      <w:r>
        <w:rPr>
          <w:rFonts w:ascii="Times New Roman" w:hAnsi="Times New Roman" w:cs="Times New Roman"/>
          <w:bCs/>
          <w:i/>
          <w:color w:val="000000" w:themeColor="text1"/>
          <w:sz w:val="24"/>
          <w:szCs w:val="24"/>
        </w:rPr>
        <w:t xml:space="preserve">B. subtilis </w:t>
      </w:r>
      <w:r>
        <w:rPr>
          <w:rFonts w:ascii="Times New Roman" w:hAnsi="Times New Roman" w:cs="Times New Roman"/>
          <w:bCs/>
          <w:color w:val="000000" w:themeColor="text1"/>
          <w:sz w:val="24"/>
          <w:szCs w:val="24"/>
        </w:rPr>
        <w:t xml:space="preserve">with putative peptidoglycan hydrolase activity </w:t>
      </w:r>
      <w:r>
        <w:rPr>
          <w:rFonts w:ascii="Times New Roman" w:hAnsi="Times New Roman" w:cs="Times New Roman"/>
          <w:bCs/>
          <w:color w:val="000000" w:themeColor="text1"/>
          <w:sz w:val="24"/>
          <w:szCs w:val="24"/>
        </w:rPr>
        <w:fldChar w:fldCharType="begin"/>
      </w:r>
      <w:r>
        <w:rPr>
          <w:rFonts w:ascii="Times New Roman" w:hAnsi="Times New Roman" w:cs="Times New Roman"/>
          <w:bCs/>
          <w:color w:val="000000" w:themeColor="text1"/>
          <w:sz w:val="24"/>
          <w:szCs w:val="24"/>
        </w:rPr>
        <w:instrText xml:space="preserve"> ADDIN ZOTERO_ITEM CSL_CITATION {"citationID":"1n5nleq0ld","properties":{"formattedCitation":"(Smith et al., 2000)","plainCitation":"(Smith et al., 2000)"},"citationItems":[{"id":29,"uris":["http://zotero.org/users/944474/items/PW3FWR5H"],"uri":["http://zotero.org/users/944474/items/PW3FWR5H"],"itemData":{"id":29,"type":"article-journal","title":"Autolysins of Bacillus subtilis: multiple enzymes with multiple functions","container-title":"Microbiology (Reading, England)","page":"249-262","volume":"146 ( Pt 2)","note":"PMID: 10708363","shortTitle":"Autolysins of Bacillus subtilis","journalAbbreviation":"Microbiology (Reading, Engl.)","author":[{"family":"Smith","given":"T J"},{"family":"Blackman","given":"S A"},{"family":"Foster","given":"S J"}],"issued":{"year":2000,"month":2},"accessed":{"year":2012,"month":3,"day":6},"page-first":"249"}}],"schema":"https://github.com/citation-style-language/schema/raw/master/csl-citation.json"} </w:instrText>
      </w:r>
      <w:r>
        <w:rPr>
          <w:rFonts w:ascii="Times New Roman" w:hAnsi="Times New Roman" w:cs="Times New Roman"/>
          <w:bCs/>
          <w:color w:val="000000" w:themeColor="text1"/>
          <w:sz w:val="24"/>
          <w:szCs w:val="24"/>
        </w:rPr>
        <w:fldChar w:fldCharType="separate"/>
      </w:r>
      <w:r>
        <w:rPr>
          <w:rFonts w:ascii="Times New Roman" w:hAnsi="Times New Roman" w:cs="Times New Roman"/>
          <w:color w:val="000000" w:themeColor="text1"/>
          <w:sz w:val="24"/>
        </w:rPr>
        <w:t xml:space="preserve">(Smith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2000)</w:t>
      </w:r>
      <w:r>
        <w:rPr>
          <w:rFonts w:ascii="Times New Roman" w:hAnsi="Times New Roman" w:cs="Times New Roman"/>
          <w:bCs/>
          <w:color w:val="000000" w:themeColor="text1"/>
          <w:sz w:val="24"/>
          <w:szCs w:val="24"/>
        </w:rPr>
        <w:fldChar w:fldCharType="end"/>
      </w:r>
      <w:r>
        <w:rPr>
          <w:rFonts w:ascii="Times New Roman" w:hAnsi="Times New Roman" w:cs="Times New Roman"/>
          <w:bCs/>
          <w:color w:val="000000" w:themeColor="text1"/>
          <w:sz w:val="24"/>
          <w:szCs w:val="24"/>
        </w:rPr>
        <w:t xml:space="preserve"> and a selection of autolysins from other Gram-positive species, such that hydrolases targeting all known classes of bond specificity were represented </w:t>
      </w:r>
      <w:r>
        <w:rPr>
          <w:rFonts w:ascii="Times New Roman" w:hAnsi="Times New Roman" w:cs="Times New Roman"/>
          <w:bCs/>
          <w:color w:val="000000" w:themeColor="text1"/>
          <w:sz w:val="24"/>
          <w:szCs w:val="24"/>
        </w:rPr>
        <w:fldChar w:fldCharType="begin"/>
      </w:r>
      <w:r>
        <w:rPr>
          <w:rFonts w:ascii="Times New Roman" w:hAnsi="Times New Roman" w:cs="Times New Roman"/>
          <w:bCs/>
          <w:color w:val="000000" w:themeColor="text1"/>
          <w:sz w:val="24"/>
          <w:szCs w:val="24"/>
        </w:rPr>
        <w:instrText xml:space="preserve"> ADDIN ZOTERO_ITEM CSL_CITATION {"citationID":"1vknog8ft6","properties":{"formattedCitation":"(Hayhurst, 2006)","plainCitation":"(Hayhurst, 2006)"},"citationItems":[{"id":162,"uris":["http://zotero.org/users/944474/items/HJXN4FCN"],"uri":["http://zotero.org/users/944474/items/HJXN4FCN"],"itemData":{"id":162,"type":"thesis","title":"Peptidoglycan structure and dynamics in Gram positive bacteria","publisher":"University of Sheffield","author":[{"family":"Hayhurst","given":"Emma J"}],"issued":{"year":2006,"month":7}}}],"schema":"https://github.com/citation-style-language/schema/raw/master/csl-citation.json"} </w:instrText>
      </w:r>
      <w:r>
        <w:rPr>
          <w:rFonts w:ascii="Times New Roman" w:hAnsi="Times New Roman" w:cs="Times New Roman"/>
          <w:bCs/>
          <w:color w:val="000000" w:themeColor="text1"/>
          <w:sz w:val="24"/>
          <w:szCs w:val="24"/>
        </w:rPr>
        <w:fldChar w:fldCharType="separate"/>
      </w:r>
      <w:r>
        <w:rPr>
          <w:rFonts w:ascii="Times New Roman" w:hAnsi="Times New Roman" w:cs="Times New Roman"/>
          <w:color w:val="000000" w:themeColor="text1"/>
          <w:sz w:val="24"/>
        </w:rPr>
        <w:t>(Hayhurst, 2006)</w:t>
      </w:r>
      <w:r>
        <w:rPr>
          <w:rFonts w:ascii="Times New Roman" w:hAnsi="Times New Roman" w:cs="Times New Roman"/>
          <w:bCs/>
          <w:color w:val="000000" w:themeColor="text1"/>
          <w:sz w:val="24"/>
          <w:szCs w:val="24"/>
        </w:rPr>
        <w:fldChar w:fldCharType="end"/>
      </w:r>
      <w:r>
        <w:rPr>
          <w:rFonts w:ascii="Times New Roman" w:hAnsi="Times New Roman" w:cs="Times New Roman"/>
          <w:bCs/>
          <w:color w:val="000000" w:themeColor="text1"/>
          <w:sz w:val="24"/>
          <w:szCs w:val="24"/>
        </w:rPr>
        <w:t xml:space="preserve">. Any putative autolysins identified during the screen were then used to perform a repeat BLAST search. At least 20 putative peptidoglycan hydrolases were identified from the </w:t>
      </w:r>
      <w:r>
        <w:rPr>
          <w:rFonts w:ascii="Times New Roman" w:hAnsi="Times New Roman" w:cs="Times New Roman"/>
          <w:bCs/>
          <w:i/>
          <w:color w:val="000000" w:themeColor="text1"/>
          <w:sz w:val="24"/>
          <w:szCs w:val="24"/>
        </w:rPr>
        <w:t xml:space="preserve">S. aureus </w:t>
      </w:r>
      <w:r>
        <w:rPr>
          <w:rFonts w:ascii="Times New Roman" w:hAnsi="Times New Roman" w:cs="Times New Roman"/>
          <w:bCs/>
          <w:color w:val="000000" w:themeColor="text1"/>
          <w:sz w:val="24"/>
          <w:szCs w:val="24"/>
        </w:rPr>
        <w:t>COL genome (Table 5.1). No further putative glucosaminidases were indicated.</w:t>
      </w:r>
    </w:p>
    <w:p w:rsidR="007F78F1" w:rsidRDefault="007F78F1" w:rsidP="007F78F1">
      <w:pPr>
        <w:rPr>
          <w:rFonts w:ascii="Times New Roman" w:hAnsi="Times New Roman" w:cs="Times New Roman"/>
          <w:bCs/>
          <w:color w:val="000000" w:themeColor="text1"/>
          <w:sz w:val="24"/>
          <w:szCs w:val="24"/>
        </w:rPr>
      </w:pPr>
    </w:p>
    <w:p w:rsidR="007F78F1" w:rsidRDefault="007F78F1" w:rsidP="007F78F1">
      <w:pPr>
        <w:spacing w:line="480" w:lineRule="auto"/>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5.2.2</w:t>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t>Confirmation of autolysin activity</w:t>
      </w:r>
    </w:p>
    <w:p w:rsidR="007F78F1" w:rsidRDefault="007F78F1" w:rsidP="007F78F1">
      <w:pPr>
        <w:spacing w:line="480" w:lineRule="auto"/>
        <w:jc w:val="both"/>
        <w:rPr>
          <w:rFonts w:ascii="Times New Roman" w:hAnsi="Times New Roman" w:cs="Times New Roman"/>
          <w:color w:val="000000" w:themeColor="text1"/>
          <w:sz w:val="28"/>
          <w:szCs w:val="28"/>
        </w:rPr>
      </w:pPr>
      <w:r>
        <w:rPr>
          <w:rFonts w:ascii="Times New Roman" w:hAnsi="Times New Roman" w:cs="Times New Roman"/>
          <w:bCs/>
          <w:color w:val="000000" w:themeColor="text1"/>
          <w:sz w:val="24"/>
          <w:szCs w:val="24"/>
        </w:rPr>
        <w:t xml:space="preserve">Previous work in our lab demonstrated autolysin activity by zymogram </w:t>
      </w:r>
      <w:r>
        <w:rPr>
          <w:rFonts w:ascii="Times New Roman" w:hAnsi="Times New Roman" w:cs="Times New Roman"/>
          <w:color w:val="000000" w:themeColor="text1"/>
          <w:sz w:val="24"/>
          <w:szCs w:val="24"/>
        </w:rPr>
        <w:t xml:space="preserve">against purified walls of </w:t>
      </w:r>
      <w:r>
        <w:rPr>
          <w:rFonts w:ascii="Times New Roman" w:hAnsi="Times New Roman" w:cs="Times New Roman"/>
          <w:i/>
          <w:color w:val="000000" w:themeColor="text1"/>
          <w:sz w:val="24"/>
          <w:szCs w:val="24"/>
        </w:rPr>
        <w:t xml:space="preserve">B. subtilis </w:t>
      </w:r>
      <w:r>
        <w:rPr>
          <w:rFonts w:ascii="Times New Roman" w:hAnsi="Times New Roman" w:cs="Times New Roman"/>
          <w:color w:val="000000" w:themeColor="text1"/>
          <w:sz w:val="24"/>
          <w:szCs w:val="24"/>
        </w:rPr>
        <w:t>HR168</w:t>
      </w:r>
      <w:r>
        <w:rPr>
          <w:rFonts w:ascii="Times New Roman" w:hAnsi="Times New Roman" w:cs="Times New Roman"/>
          <w:i/>
          <w:color w:val="000000" w:themeColor="text1"/>
          <w:sz w:val="24"/>
          <w:szCs w:val="24"/>
        </w:rPr>
        <w:t xml:space="preserve"> </w:t>
      </w:r>
      <w:r>
        <w:rPr>
          <w:rFonts w:ascii="Times New Roman" w:hAnsi="Times New Roman" w:cs="Times New Roman"/>
          <w:color w:val="000000" w:themeColor="text1"/>
          <w:sz w:val="24"/>
          <w:szCs w:val="24"/>
        </w:rPr>
        <w:t>and</w:t>
      </w:r>
      <w:r>
        <w:rPr>
          <w:rFonts w:ascii="Times New Roman" w:hAnsi="Times New Roman" w:cs="Times New Roman"/>
          <w:i/>
          <w:color w:val="000000" w:themeColor="text1"/>
          <w:sz w:val="24"/>
          <w:szCs w:val="24"/>
        </w:rPr>
        <w:t xml:space="preserve"> S. aureus </w:t>
      </w:r>
      <w:r>
        <w:rPr>
          <w:rFonts w:ascii="Times New Roman" w:hAnsi="Times New Roman" w:cs="Times New Roman"/>
          <w:color w:val="000000" w:themeColor="text1"/>
          <w:sz w:val="24"/>
          <w:szCs w:val="24"/>
        </w:rPr>
        <w:t>SH1000, when</w:t>
      </w:r>
      <w:r>
        <w:rPr>
          <w:rFonts w:ascii="Times New Roman" w:hAnsi="Times New Roman" w:cs="Times New Roman"/>
          <w:bCs/>
          <w:color w:val="000000" w:themeColor="text1"/>
          <w:sz w:val="24"/>
          <w:szCs w:val="24"/>
        </w:rPr>
        <w:t xml:space="preserve"> the putative glucosaminidases</w:t>
      </w:r>
      <w:r>
        <w:rPr>
          <w:rFonts w:ascii="Times New Roman" w:hAnsi="Times New Roman" w:cs="Times New Roman"/>
          <w:bCs/>
          <w:sz w:val="24"/>
          <w:szCs w:val="24"/>
        </w:rPr>
        <w:t xml:space="preserve"> </w:t>
      </w:r>
      <w:r>
        <w:rPr>
          <w:rFonts w:ascii="Times New Roman" w:hAnsi="Times New Roman" w:cs="Times New Roman"/>
          <w:bCs/>
          <w:color w:val="000000" w:themeColor="text1"/>
          <w:sz w:val="24"/>
          <w:szCs w:val="24"/>
        </w:rPr>
        <w:lastRenderedPageBreak/>
        <w:t>Atl(glu), SagA, SagB and ScaH were overexpressed as recombinant C-terminal His-tagged proteins</w:t>
      </w:r>
      <w:r>
        <w:rPr>
          <w:rFonts w:ascii="Times New Roman" w:hAnsi="Times New Roman" w:cs="Times New Roman"/>
          <w:color w:val="000000" w:themeColor="text1"/>
          <w:sz w:val="24"/>
          <w:szCs w:val="24"/>
        </w:rPr>
        <w:t xml:space="preserve"> (Figure 5.3;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ZOTERO_TEMP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Murray, 2001; Hayhurst, 2006; Mohamad, 2007)</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Pr>
          <w:rFonts w:ascii="Times New Roman" w:hAnsi="Times New Roman" w:cs="Times New Roman"/>
          <w:bCs/>
          <w:color w:val="000000" w:themeColor="text1"/>
          <w:sz w:val="24"/>
          <w:szCs w:val="24"/>
        </w:rPr>
        <w:t xml:space="preserve"> </w:t>
      </w:r>
      <w:r>
        <w:rPr>
          <w:rFonts w:ascii="Times New Roman" w:hAnsi="Times New Roman" w:cs="Times New Roman"/>
          <w:color w:val="000000" w:themeColor="text1"/>
          <w:sz w:val="24"/>
          <w:szCs w:val="24"/>
        </w:rPr>
        <w:t xml:space="preserve">Amidase activity by CHAP domains has been suggested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{"citationID":"2louv0k90e","properties":{"formattedCitation":"(Bateman and Rawlings, 2003; Rigden et al., 2003)","plainCitation":"(Bateman and Rawlings, 2003; Rigden et al., 2003)"},"citationItems":[{"id":53,"uris":["http://zotero.org/users/944474/items/TDMR8WUW"],"uri":["http://zotero.org/users/944474/items/TDMR8WUW"],"itemData":{"id":53,"type":"article-journal","title":"The CHAP domain: a large family of amidases including GSP amidase and peptidoglycan hydrolases","container-title":"Trends in Biochemical Sciences","page":"234-237","volume":"28","issue":"5","abstract":"Cleavage of peptidoglycan plays an important role in bacterial cell division, cell growth and cell lysis. Here, we reveal that several known peptidoglycan amidases fall into a family, which includes many proteins of previously unknown function. The family includes two different peptidoglycan cleavage activities: L-muramoyl-L-alanine amidase and D-alanyl-glycyl endopeptidase activity. The family includes the amidase portion of the bifunctional glutathionylspermidine synthase/amidase enzyme from bacteria and pathogenic trypanosomes. The glutathionylspermidine synthase is thought to be a key component of the alternative pathway in trypanosomes for protection from oxygen-radical damage and has been proposed as a potential drug target. The CHAP (cysteine, histidine-dependent amidohydrolases/peptidases) domain is often found in association with other domains that cleave peptidoglycan. The large number of multifunctional hydrolases suggests that they might act in a cooperative manner to cleave specialized substrates.","note":"PMID: 12765834","shortTitle":"The CHAP domain","journalAbbreviation":"Trends Biochem. Sci.","author":[{"family":"Bateman","given":"Alex"},{"family":"Rawlings","given":"Neil D"}],"issued":{"year":2003,"month":5},"accessed":{"year":2012,"month":3,"day":6},"page-first":"234"}},{"id":54,"uris":["http://zotero.org/users/944474/items/WXAI2GTH"],"uri":["http://zotero.org/users/944474/items/WXAI2GTH"],"itemData":{"id":54,"type":"article-journal","title":"Amidase domains from bacterial and phage autolysins define a family of gamma-D,L-glutamate-specific amidohydrolases","container-title":"Trends in Biochemical Sciences","page":"230-234","volume":"28","issue":"5","abstract":"Several phage-encoded peptidoglycan hydrolases have been found to share a conserved amidase domain with a variety of bacterial autolysins (N-acetylmuramoyl-L-alanine amidases), bacterial and eukaryotic glutathionylspermidine amidases, gamma-D-glutamyl-L-diamino acid endopeptidase and NLP/P60 family proteins. All these proteins contain conserved cysteine and histidine residues and hydrolyze gamma-glutamyl-containing substrates. These cysteine residues have been shown to be essential for activity of several of these amidases and their thiol groups apparently function as the nucleophiles in the catalytic mechanisms of all enzymes containing this domain. The CHAP (cysteine, histidine-dependent amidohydrolases/peptidases) superfamily includes a variety of previously uncharacterized proteins, including the tail assembly protein K of phage lambda. Some members of this superfamily are important surface antigens in pathogenic bacteria and might represent drug and/or vaccine targets.","note":"PMID: 12765833","journalAbbreviation":"Trends Biochem. Sci.","author":[{"family":"Rigden","given":"Daniel J"},{"family":"Jedrzejas","given":"Mark J"},{"family":"Galperin","given":"Michael Y"}],"issued":{"year":2003,"month":5},"accessed":{"year":2012,"month":3,"day":6},"page-first":"230"}}],"schema":"https://github.com/citation-style-language/schema/raw/master/csl-citation.json"}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(Bateman and Rawlings, 2003; Rigden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2003)</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therefore the putative glucosaminidase domain of ScaH was expressed without CHAP in order to verify its activity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{"citationID":"7qgjstd9e","properties":{"formattedCitation":"(Mohamad,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(Mohamad, 2007)</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p>
    <w:p w:rsidR="007F78F1" w:rsidRDefault="007F78F1" w:rsidP="007F78F1">
      <w:pPr>
        <w:spacing w:line="480"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In the present study we aimed to investigate whether SagB is a glucosaminidase by mass spectrometry of muropeptide products following SagB treatment of sacculi. Recombinant SagB was therefore overexpressed and purified. Recombinant </w:t>
      </w:r>
      <w:proofErr w:type="gramStart"/>
      <w:r>
        <w:rPr>
          <w:rFonts w:ascii="Times New Roman" w:hAnsi="Times New Roman" w:cs="Times New Roman"/>
          <w:bCs/>
          <w:color w:val="000000" w:themeColor="text1"/>
          <w:sz w:val="24"/>
          <w:szCs w:val="24"/>
        </w:rPr>
        <w:t>Atl(</w:t>
      </w:r>
      <w:proofErr w:type="gramEnd"/>
      <w:r>
        <w:rPr>
          <w:rFonts w:ascii="Times New Roman" w:hAnsi="Times New Roman" w:cs="Times New Roman"/>
          <w:bCs/>
          <w:color w:val="000000" w:themeColor="text1"/>
          <w:sz w:val="24"/>
          <w:szCs w:val="24"/>
        </w:rPr>
        <w:t>glu) was also overexpressed and purified for inclusion as a positive control.</w:t>
      </w:r>
    </w:p>
    <w:p w:rsidR="007F78F1" w:rsidRDefault="007F78F1" w:rsidP="007F78F1">
      <w:pPr>
        <w:spacing w:line="480" w:lineRule="auto"/>
        <w:jc w:val="both"/>
        <w:rPr>
          <w:rFonts w:ascii="Times New Roman" w:hAnsi="Times New Roman" w:cs="Times New Roman"/>
          <w:bCs/>
          <w:color w:val="000000" w:themeColor="text1"/>
          <w:sz w:val="24"/>
          <w:szCs w:val="24"/>
        </w:rPr>
      </w:pPr>
    </w:p>
    <w:p w:rsidR="007F78F1" w:rsidRDefault="007F78F1" w:rsidP="007F78F1">
      <w:pPr>
        <w:spacing w:line="480" w:lineRule="auto"/>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5.2.2.1</w:t>
      </w:r>
      <w:r>
        <w:rPr>
          <w:rFonts w:ascii="Times New Roman" w:hAnsi="Times New Roman" w:cs="Times New Roman"/>
          <w:bCs/>
          <w:color w:val="000000" w:themeColor="text1"/>
          <w:sz w:val="28"/>
          <w:szCs w:val="28"/>
        </w:rPr>
        <w:tab/>
        <w:t xml:space="preserve">Overexpression of </w:t>
      </w:r>
      <w:proofErr w:type="gramStart"/>
      <w:r>
        <w:rPr>
          <w:rFonts w:ascii="Times New Roman" w:hAnsi="Times New Roman" w:cs="Times New Roman"/>
          <w:bCs/>
          <w:color w:val="000000" w:themeColor="text1"/>
          <w:sz w:val="28"/>
          <w:szCs w:val="28"/>
        </w:rPr>
        <w:t>Atl(</w:t>
      </w:r>
      <w:proofErr w:type="gramEnd"/>
      <w:r>
        <w:rPr>
          <w:rFonts w:ascii="Times New Roman" w:hAnsi="Times New Roman" w:cs="Times New Roman"/>
          <w:bCs/>
          <w:color w:val="000000" w:themeColor="text1"/>
          <w:sz w:val="28"/>
          <w:szCs w:val="28"/>
        </w:rPr>
        <w:t>glu) and SagB</w:t>
      </w:r>
    </w:p>
    <w:p w:rsidR="007F78F1" w:rsidRDefault="007F78F1" w:rsidP="007F78F1">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Recombinant </w:t>
      </w:r>
      <w:proofErr w:type="gramStart"/>
      <w:r>
        <w:rPr>
          <w:rFonts w:ascii="Times New Roman" w:hAnsi="Times New Roman" w:cs="Times New Roman"/>
          <w:color w:val="000000" w:themeColor="text1"/>
          <w:sz w:val="24"/>
          <w:szCs w:val="24"/>
        </w:rPr>
        <w:t>Atl(</w:t>
      </w:r>
      <w:proofErr w:type="gramEnd"/>
      <w:r>
        <w:rPr>
          <w:rFonts w:ascii="Times New Roman" w:hAnsi="Times New Roman" w:cs="Times New Roman"/>
          <w:color w:val="000000" w:themeColor="text1"/>
          <w:sz w:val="24"/>
          <w:szCs w:val="24"/>
        </w:rPr>
        <w:t xml:space="preserve">glu) and SagB were overexpressed by IPTG induction as described in Chapter 2.12.1. </w:t>
      </w:r>
      <w:r>
        <w:rPr>
          <w:rFonts w:ascii="Times New Roman" w:hAnsi="Times New Roman" w:cs="Times New Roman"/>
          <w:i/>
          <w:color w:val="000000" w:themeColor="text1"/>
          <w:sz w:val="24"/>
          <w:szCs w:val="24"/>
        </w:rPr>
        <w:t xml:space="preserve">E. coli </w:t>
      </w:r>
      <w:r>
        <w:rPr>
          <w:rFonts w:ascii="Times New Roman" w:hAnsi="Times New Roman" w:cs="Times New Roman"/>
          <w:color w:val="000000" w:themeColor="text1"/>
          <w:sz w:val="24"/>
          <w:szCs w:val="24"/>
        </w:rPr>
        <w:t>overexpression strains SJF3061 [</w:t>
      </w:r>
      <w:proofErr w:type="gramStart"/>
      <w:r>
        <w:rPr>
          <w:rFonts w:ascii="Times New Roman" w:hAnsi="Times New Roman" w:cs="Times New Roman"/>
          <w:color w:val="000000" w:themeColor="text1"/>
          <w:sz w:val="24"/>
          <w:szCs w:val="24"/>
        </w:rPr>
        <w:t>rAtl(</w:t>
      </w:r>
      <w:proofErr w:type="gramEnd"/>
      <w:r>
        <w:rPr>
          <w:rFonts w:ascii="Times New Roman" w:hAnsi="Times New Roman" w:cs="Times New Roman"/>
          <w:color w:val="000000" w:themeColor="text1"/>
          <w:sz w:val="24"/>
          <w:szCs w:val="24"/>
        </w:rPr>
        <w:t xml:space="preserve">glu)]and SJF3062 (rSagB) (Table 2.2; Clarke </w:t>
      </w:r>
      <w:r>
        <w:rPr>
          <w:rFonts w:ascii="Times New Roman" w:hAnsi="Times New Roman" w:cs="Times New Roman"/>
          <w:i/>
          <w:color w:val="000000" w:themeColor="text1"/>
          <w:sz w:val="24"/>
          <w:szCs w:val="24"/>
        </w:rPr>
        <w:t>et al</w:t>
      </w:r>
      <w:r>
        <w:rPr>
          <w:rFonts w:ascii="Times New Roman" w:hAnsi="Times New Roman" w:cs="Times New Roman"/>
          <w:color w:val="000000" w:themeColor="text1"/>
          <w:sz w:val="24"/>
          <w:szCs w:val="24"/>
        </w:rPr>
        <w:t xml:space="preserve">., 2006; Hayhurst, 2006) were constructed previously. Four hours post-IPTG induction, overexpression of </w:t>
      </w:r>
      <w:proofErr w:type="gramStart"/>
      <w:r>
        <w:rPr>
          <w:rFonts w:ascii="Times New Roman" w:hAnsi="Times New Roman" w:cs="Times New Roman"/>
          <w:color w:val="000000" w:themeColor="text1"/>
          <w:sz w:val="24"/>
          <w:szCs w:val="24"/>
        </w:rPr>
        <w:t>rAtl(</w:t>
      </w:r>
      <w:proofErr w:type="gramEnd"/>
      <w:r>
        <w:rPr>
          <w:rFonts w:ascii="Times New Roman" w:hAnsi="Times New Roman" w:cs="Times New Roman"/>
          <w:color w:val="000000" w:themeColor="text1"/>
          <w:sz w:val="24"/>
          <w:szCs w:val="24"/>
        </w:rPr>
        <w:t xml:space="preserve">glu) was indicated by a band at the expected size of 52 kDa (Figure 5.3A). The rSagB protein was present at the expected size of approximately 32 kDa (Figure 5.3B). These bands were absent from the pre-IPTG induction samples (Figure 5.3A and B). Protein solubility was determined by SDS-PAGE analysis as described in Chapter 2.12.2. Overexpressed </w:t>
      </w:r>
      <w:proofErr w:type="gramStart"/>
      <w:r>
        <w:rPr>
          <w:rFonts w:ascii="Times New Roman" w:hAnsi="Times New Roman" w:cs="Times New Roman"/>
          <w:color w:val="000000" w:themeColor="text1"/>
          <w:sz w:val="24"/>
          <w:szCs w:val="24"/>
        </w:rPr>
        <w:t>rAtl(</w:t>
      </w:r>
      <w:proofErr w:type="gramEnd"/>
      <w:r>
        <w:rPr>
          <w:rFonts w:ascii="Times New Roman" w:hAnsi="Times New Roman" w:cs="Times New Roman"/>
          <w:color w:val="000000" w:themeColor="text1"/>
          <w:sz w:val="24"/>
          <w:szCs w:val="24"/>
        </w:rPr>
        <w:t>glu) was present in both the soluble and insoluble fractions Although there was slightly less soluble protein, purification of the soluble fraction using the HiTrap system returned a sufficiently high yield for subsequent studies. The rSagB protein was mainly present in the insoluble fraction and was therefore purified in the presence of 8M urea.</w:t>
      </w:r>
    </w:p>
    <w:p w:rsidR="007F78F1" w:rsidRDefault="007F78F1" w:rsidP="007F78F1">
      <w:pPr>
        <w:spacing w:line="480" w:lineRule="auto"/>
        <w:jc w:val="both"/>
        <w:rPr>
          <w:rFonts w:ascii="Times New Roman" w:hAnsi="Times New Roman" w:cs="Times New Roman"/>
          <w:bCs/>
          <w:sz w:val="24"/>
          <w:szCs w:val="24"/>
        </w:rPr>
      </w:pPr>
      <w:r>
        <w:rPr>
          <w:rFonts w:ascii="Times New Roman" w:hAnsi="Times New Roman" w:cs="Times New Roman"/>
          <w:noProof/>
          <w:sz w:val="24"/>
          <w:szCs w:val="24"/>
          <w:lang w:eastAsia="en-GB"/>
        </w:rPr>
        <w:lastRenderedPageBreak/>
        <w:drawing>
          <wp:inline distT="0" distB="0" distL="0" distR="0">
            <wp:extent cx="5272405" cy="2505710"/>
            <wp:effectExtent l="19050" t="0" r="0" b="0"/>
            <wp:docPr id="105" name="Picture 5" descr="Figure 5.1 emf.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ure 5.1 emf.emf"/>
                    <pic:cNvPicPr>
                      <a:picLocks noChangeAspect="1" noChangeArrowheads="1"/>
                    </pic:cNvPicPr>
                  </pic:nvPicPr>
                  <pic:blipFill>
                    <a:blip r:embed="rId85" cstate="print"/>
                    <a:srcRect/>
                    <a:stretch>
                      <a:fillRect/>
                    </a:stretch>
                  </pic:blipFill>
                  <pic:spPr bwMode="auto">
                    <a:xfrm>
                      <a:off x="0" y="0"/>
                      <a:ext cx="5272405" cy="2505710"/>
                    </a:xfrm>
                    <a:prstGeom prst="rect">
                      <a:avLst/>
                    </a:prstGeom>
                    <a:noFill/>
                    <a:ln w="9525">
                      <a:noFill/>
                      <a:miter lim="800000"/>
                      <a:headEnd/>
                      <a:tailEnd/>
                    </a:ln>
                  </pic:spPr>
                </pic:pic>
              </a:graphicData>
            </a:graphic>
          </wp:inline>
        </w:drawing>
      </w:r>
    </w:p>
    <w:p w:rsidR="007F78F1" w:rsidRDefault="007F78F1" w:rsidP="007F78F1">
      <w:pPr>
        <w:spacing w:after="120" w:line="360" w:lineRule="auto"/>
        <w:jc w:val="both"/>
        <w:rPr>
          <w:rFonts w:ascii="Times New Roman" w:hAnsi="Times New Roman" w:cs="Times New Roman"/>
          <w:bCs/>
          <w:sz w:val="24"/>
          <w:szCs w:val="24"/>
        </w:rPr>
      </w:pPr>
      <w:proofErr w:type="gramStart"/>
      <w:r>
        <w:rPr>
          <w:rFonts w:ascii="Times New Roman" w:hAnsi="Times New Roman" w:cs="Times New Roman"/>
          <w:b/>
          <w:sz w:val="24"/>
          <w:szCs w:val="24"/>
        </w:rPr>
        <w:t>Figure 5.1.</w:t>
      </w:r>
      <w:proofErr w:type="gramEnd"/>
      <w:r>
        <w:rPr>
          <w:rFonts w:ascii="Times New Roman" w:hAnsi="Times New Roman" w:cs="Times New Roman"/>
          <w:b/>
          <w:sz w:val="24"/>
          <w:szCs w:val="24"/>
        </w:rPr>
        <w:t xml:space="preserve"> </w:t>
      </w:r>
      <w:proofErr w:type="gramStart"/>
      <w:r>
        <w:rPr>
          <w:rFonts w:ascii="Times New Roman" w:hAnsi="Times New Roman" w:cs="Times New Roman"/>
          <w:b/>
          <w:sz w:val="24"/>
          <w:szCs w:val="24"/>
        </w:rPr>
        <w:t xml:space="preserve">Domain structure of four putative </w:t>
      </w:r>
      <w:r>
        <w:rPr>
          <w:rFonts w:ascii="Times New Roman" w:hAnsi="Times New Roman" w:cs="Times New Roman"/>
          <w:b/>
          <w:i/>
          <w:sz w:val="24"/>
          <w:szCs w:val="24"/>
        </w:rPr>
        <w:t>S. aureus</w:t>
      </w:r>
      <w:r>
        <w:rPr>
          <w:rFonts w:ascii="Times New Roman" w:hAnsi="Times New Roman" w:cs="Times New Roman"/>
          <w:b/>
          <w:sz w:val="24"/>
          <w:szCs w:val="24"/>
        </w:rPr>
        <w:t xml:space="preserve"> glucosaminidases.</w:t>
      </w:r>
      <w:proofErr w:type="gramEnd"/>
      <w:r>
        <w:rPr>
          <w:rFonts w:ascii="Times New Roman" w:hAnsi="Times New Roman" w:cs="Times New Roman"/>
          <w:sz w:val="24"/>
          <w:szCs w:val="24"/>
        </w:rPr>
        <w:t xml:space="preserve"> Schematic representing the domain structures of the four putative glucosaminidases of </w:t>
      </w:r>
      <w:r>
        <w:rPr>
          <w:rFonts w:ascii="Times New Roman" w:hAnsi="Times New Roman" w:cs="Times New Roman"/>
          <w:i/>
          <w:sz w:val="24"/>
          <w:szCs w:val="24"/>
        </w:rPr>
        <w:t>S. aureus</w:t>
      </w:r>
      <w:r>
        <w:rPr>
          <w:rFonts w:ascii="Times New Roman" w:hAnsi="Times New Roman" w:cs="Times New Roman"/>
          <w:sz w:val="24"/>
          <w:szCs w:val="24"/>
        </w:rPr>
        <w:t>. (i) Atl (ii) SagA (iii) SagB (</w:t>
      </w:r>
      <w:proofErr w:type="gramStart"/>
      <w:r>
        <w:rPr>
          <w:rFonts w:ascii="Times New Roman" w:hAnsi="Times New Roman" w:cs="Times New Roman"/>
          <w:sz w:val="24"/>
          <w:szCs w:val="24"/>
        </w:rPr>
        <w:t>iv</w:t>
      </w:r>
      <w:proofErr w:type="gramEnd"/>
      <w:r>
        <w:rPr>
          <w:rFonts w:ascii="Times New Roman" w:hAnsi="Times New Roman" w:cs="Times New Roman"/>
          <w:sz w:val="24"/>
          <w:szCs w:val="24"/>
        </w:rPr>
        <w:t>) ScaH. The percentage homology to Atl over a given length of amino acids is indicated in brackets. Black; signal peptide, blue; glucosaminidase domain, green; propeptide, yellow; amidase domain, red; repeat domain, orange; CHAP domain.</w:t>
      </w:r>
    </w:p>
    <w:p w:rsidR="007F78F1" w:rsidRDefault="007F78F1" w:rsidP="007F78F1">
      <w:pPr>
        <w:rPr>
          <w:rFonts w:ascii="Times New Roman" w:hAnsi="Times New Roman" w:cs="Times New Roman"/>
          <w:bCs/>
          <w:sz w:val="24"/>
          <w:szCs w:val="24"/>
        </w:rPr>
      </w:pPr>
      <w:r>
        <w:rPr>
          <w:rFonts w:ascii="Times New Roman" w:hAnsi="Times New Roman" w:cs="Times New Roman"/>
          <w:bCs/>
          <w:sz w:val="24"/>
          <w:szCs w:val="24"/>
        </w:rPr>
        <w:br w:type="page"/>
      </w:r>
      <w:r>
        <w:rPr>
          <w:rFonts w:ascii="Times New Roman" w:hAnsi="Times New Roman" w:cs="Times New Roman"/>
          <w:noProof/>
          <w:sz w:val="24"/>
          <w:szCs w:val="24"/>
          <w:lang w:eastAsia="en-GB"/>
        </w:rPr>
        <w:lastRenderedPageBreak/>
        <w:drawing>
          <wp:inline distT="0" distB="0" distL="0" distR="0">
            <wp:extent cx="5272405" cy="2909570"/>
            <wp:effectExtent l="19050" t="0" r="4445" b="0"/>
            <wp:docPr id="104" name="Picture 60" descr="Figure 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igure 5.2.png"/>
                    <pic:cNvPicPr>
                      <a:picLocks noChangeAspect="1" noChangeArrowheads="1"/>
                    </pic:cNvPicPr>
                  </pic:nvPicPr>
                  <pic:blipFill>
                    <a:blip r:embed="rId86" cstate="print"/>
                    <a:srcRect/>
                    <a:stretch>
                      <a:fillRect/>
                    </a:stretch>
                  </pic:blipFill>
                  <pic:spPr bwMode="auto">
                    <a:xfrm>
                      <a:off x="0" y="0"/>
                      <a:ext cx="5272405" cy="2909570"/>
                    </a:xfrm>
                    <a:prstGeom prst="rect">
                      <a:avLst/>
                    </a:prstGeom>
                    <a:noFill/>
                    <a:ln w="9525">
                      <a:noFill/>
                      <a:miter lim="800000"/>
                      <a:headEnd/>
                      <a:tailEnd/>
                    </a:ln>
                  </pic:spPr>
                </pic:pic>
              </a:graphicData>
            </a:graphic>
          </wp:inline>
        </w:drawing>
      </w:r>
    </w:p>
    <w:p w:rsidR="007F78F1" w:rsidRDefault="007F78F1" w:rsidP="007F78F1">
      <w:pPr>
        <w:spacing w:after="120" w:line="360" w:lineRule="auto"/>
        <w:jc w:val="both"/>
        <w:rPr>
          <w:rFonts w:ascii="Times New Roman" w:hAnsi="Times New Roman" w:cs="Times New Roman"/>
          <w:color w:val="000000" w:themeColor="text1"/>
          <w:sz w:val="24"/>
          <w:szCs w:val="24"/>
        </w:rPr>
      </w:pPr>
      <w:proofErr w:type="gramStart"/>
      <w:r>
        <w:rPr>
          <w:rFonts w:ascii="Times New Roman" w:hAnsi="Times New Roman" w:cs="Times New Roman"/>
          <w:b/>
          <w:color w:val="000000" w:themeColor="text1"/>
          <w:sz w:val="24"/>
          <w:szCs w:val="24"/>
        </w:rPr>
        <w:t>Figure 5.2.</w:t>
      </w:r>
      <w:proofErr w:type="gramEnd"/>
      <w:r>
        <w:rPr>
          <w:rFonts w:ascii="Times New Roman" w:hAnsi="Times New Roman" w:cs="Times New Roman"/>
          <w:b/>
          <w:color w:val="000000" w:themeColor="text1"/>
          <w:sz w:val="24"/>
          <w:szCs w:val="24"/>
        </w:rPr>
        <w:t xml:space="preserve"> </w:t>
      </w:r>
      <w:proofErr w:type="gramStart"/>
      <w:r>
        <w:rPr>
          <w:rFonts w:ascii="Times New Roman" w:hAnsi="Times New Roman" w:cs="Times New Roman"/>
          <w:b/>
          <w:color w:val="000000" w:themeColor="text1"/>
          <w:sz w:val="24"/>
          <w:szCs w:val="24"/>
        </w:rPr>
        <w:t>Amino acid sequence alignment</w:t>
      </w:r>
      <w:r>
        <w:rPr>
          <w:rFonts w:ascii="Times New Roman" w:hAnsi="Times New Roman" w:cs="Times New Roman"/>
          <w:b/>
          <w:i/>
          <w:color w:val="000000" w:themeColor="text1"/>
          <w:sz w:val="24"/>
          <w:szCs w:val="24"/>
        </w:rPr>
        <w:t xml:space="preserve"> </w:t>
      </w:r>
      <w:r>
        <w:rPr>
          <w:rFonts w:ascii="Times New Roman" w:hAnsi="Times New Roman" w:cs="Times New Roman"/>
          <w:b/>
          <w:color w:val="000000" w:themeColor="text1"/>
          <w:sz w:val="24"/>
          <w:szCs w:val="24"/>
        </w:rPr>
        <w:t xml:space="preserve">of putative </w:t>
      </w:r>
      <w:r>
        <w:rPr>
          <w:rFonts w:ascii="Times New Roman" w:hAnsi="Times New Roman" w:cs="Times New Roman"/>
          <w:b/>
          <w:i/>
          <w:color w:val="000000" w:themeColor="text1"/>
          <w:sz w:val="24"/>
          <w:szCs w:val="24"/>
        </w:rPr>
        <w:t xml:space="preserve">S. aureus </w:t>
      </w:r>
      <w:r>
        <w:rPr>
          <w:rFonts w:ascii="Times New Roman" w:hAnsi="Times New Roman" w:cs="Times New Roman"/>
          <w:b/>
          <w:color w:val="000000" w:themeColor="text1"/>
          <w:sz w:val="24"/>
          <w:szCs w:val="24"/>
        </w:rPr>
        <w:t>glucosaminidases.</w:t>
      </w:r>
      <w:proofErr w:type="gramEnd"/>
      <w:r>
        <w:rPr>
          <w:rFonts w:ascii="Times New Roman" w:hAnsi="Times New Roman" w:cs="Times New Roman"/>
          <w:b/>
          <w:color w:val="000000" w:themeColor="text1"/>
          <w:sz w:val="24"/>
          <w:szCs w:val="24"/>
        </w:rPr>
        <w:t xml:space="preserve"> </w:t>
      </w:r>
      <w:r>
        <w:rPr>
          <w:rFonts w:ascii="Times New Roman" w:hAnsi="Times New Roman" w:cs="Times New Roman"/>
          <w:color w:val="000000" w:themeColor="text1"/>
          <w:sz w:val="24"/>
          <w:szCs w:val="24"/>
        </w:rPr>
        <w:t xml:space="preserve">The alignment was carried out using the T-Coffee multiple sequence alignment tool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{"citationID":"61g8vct00","properties":{"formattedCitation":"(Notredame et al., 2000)","plainCitation":"(Notredame et al., 2000)"},"citationItems":[{"id":160,"uris":["http://zotero.org/users/944474/items/ACS7KWRI"],"uri":["http://zotero.org/users/944474/items/ACS7KWRI"],"itemData":{"id":160,"type":"article-journal","title":"T-Coffee: A novel method for fast and accurate multiple sequence alignment","container-title":"Journal of molecular biology","page":"205-217","volume":"302","issue":"1","abstract":"We describe a new method (T-Coffee) for multiple sequence alignment that provides a dramatic improvement in accuracy with a modest sacrifice in speed as compared to the most commonly used alternatives. The method is broadly based on the popular progressive approach to multiple alignment but avoids the most serious pitfalls caused by the greedy nature of this algorithm. With T-Coffee we pre-process a data set of all pair-wise alignments between the sequences. This provides us with a library of alignment information that can be used to guide the progressive alignment. Intermediate alignments are then based not only on the sequences to be aligned next but also on how all of the sequences align with each other. This alignment information can be derived from heterogeneous sources such as a mixture of alignment programs and/or structure superposition. Here, we illustrate the power of the approach by using a combination of local and global pair-wise alignments to generate the library. The resulting alignments are significantly more reliable, as determined by comparison with a set of 141 test cases, than any of the popular alternatives that we tried. The improvement, especially clear with the more difficult test cases, is always visible, regardless of the phylogenetic spread of the sequences in the tests.","DOI":"10.1006/jmbi.2000.4042","note":"PMID: 10964570","shortTitle":"T-Coffee","journalAbbreviation":"J. Mol. Biol.","author":[{"family":"Notredame","given":"C"},{"family":"Higgins","given":"D G"},{"family":"Heringa","given":"J"}],"issued":{"year":2000,"month":9,"day":8},"accessed":{"year":2012,"month":5,"day":2},"page-first":"205"}}],"schema":"https://github.com/citation-style-language/schema/raw/master/csl-citation.json"}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(Notredame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2000)</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The region of homology within the Atl glucosaminidase domain is shown. Start and end amino acid positions are indicated for each of the putative glucosaminidases.</w:t>
      </w:r>
    </w:p>
    <w:p w:rsidR="007F78F1" w:rsidRDefault="007F78F1" w:rsidP="007F78F1">
      <w:pPr>
        <w:rPr>
          <w:rFonts w:ascii="Times New Roman" w:hAnsi="Times New Roman" w:cs="Times New Roman"/>
          <w:bCs/>
          <w:sz w:val="24"/>
          <w:szCs w:val="24"/>
        </w:rPr>
      </w:pPr>
    </w:p>
    <w:p w:rsidR="007F78F1" w:rsidRDefault="007F78F1" w:rsidP="007F78F1">
      <w:pPr>
        <w:rPr>
          <w:rFonts w:ascii="Times New Roman" w:hAnsi="Times New Roman" w:cs="Times New Roman"/>
          <w:bCs/>
          <w:sz w:val="24"/>
          <w:szCs w:val="24"/>
        </w:rPr>
      </w:pPr>
      <w:r>
        <w:rPr>
          <w:rFonts w:ascii="Times New Roman" w:hAnsi="Times New Roman" w:cs="Times New Roman"/>
          <w:bCs/>
          <w:sz w:val="24"/>
          <w:szCs w:val="24"/>
        </w:rPr>
        <w:br w:type="page"/>
      </w:r>
    </w:p>
    <w:tbl>
      <w:tblPr>
        <w:tblStyle w:val="TableGrid"/>
        <w:tblW w:w="5000" w:type="pct"/>
        <w:tblLook w:val="04A0"/>
      </w:tblPr>
      <w:tblGrid>
        <w:gridCol w:w="1414"/>
        <w:gridCol w:w="3190"/>
        <w:gridCol w:w="1449"/>
        <w:gridCol w:w="2667"/>
      </w:tblGrid>
      <w:tr w:rsidR="007F78F1" w:rsidTr="007F78F1">
        <w:tc>
          <w:tcPr>
            <w:tcW w:w="81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b/>
                <w:sz w:val="24"/>
                <w:szCs w:val="24"/>
              </w:rPr>
            </w:pPr>
            <w:r>
              <w:rPr>
                <w:b/>
                <w:sz w:val="24"/>
                <w:szCs w:val="24"/>
              </w:rPr>
              <w:lastRenderedPageBreak/>
              <w:t>Protein</w:t>
            </w:r>
          </w:p>
        </w:tc>
        <w:tc>
          <w:tcPr>
            <w:tcW w:w="18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b/>
                <w:sz w:val="24"/>
                <w:szCs w:val="24"/>
              </w:rPr>
            </w:pPr>
            <w:r>
              <w:rPr>
                <w:b/>
                <w:sz w:val="24"/>
                <w:szCs w:val="24"/>
              </w:rPr>
              <w:t>Activity</w:t>
            </w:r>
          </w:p>
        </w:tc>
        <w:tc>
          <w:tcPr>
            <w:tcW w:w="83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b/>
                <w:sz w:val="24"/>
                <w:szCs w:val="24"/>
              </w:rPr>
            </w:pPr>
            <w:r>
              <w:rPr>
                <w:b/>
                <w:sz w:val="24"/>
                <w:szCs w:val="24"/>
              </w:rPr>
              <w:t>Locus</w:t>
            </w:r>
          </w:p>
          <w:p w:rsidR="007F78F1" w:rsidRDefault="007F78F1">
            <w:pPr>
              <w:spacing w:before="60" w:after="60"/>
              <w:jc w:val="center"/>
              <w:rPr>
                <w:b/>
                <w:sz w:val="24"/>
                <w:szCs w:val="24"/>
              </w:rPr>
            </w:pPr>
            <w:r>
              <w:rPr>
                <w:b/>
                <w:sz w:val="24"/>
                <w:szCs w:val="24"/>
              </w:rPr>
              <w:t>(SACOL)</w:t>
            </w:r>
          </w:p>
        </w:tc>
        <w:tc>
          <w:tcPr>
            <w:tcW w:w="15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b/>
                <w:sz w:val="24"/>
                <w:szCs w:val="24"/>
              </w:rPr>
            </w:pPr>
            <w:r>
              <w:rPr>
                <w:b/>
                <w:sz w:val="24"/>
                <w:szCs w:val="24"/>
              </w:rPr>
              <w:t>Reference</w:t>
            </w:r>
          </w:p>
        </w:tc>
      </w:tr>
      <w:tr w:rsidR="007F78F1" w:rsidTr="007F78F1">
        <w:tc>
          <w:tcPr>
            <w:tcW w:w="81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rPr>
                <w:sz w:val="24"/>
                <w:szCs w:val="24"/>
              </w:rPr>
            </w:pPr>
            <w:r>
              <w:rPr>
                <w:sz w:val="24"/>
                <w:szCs w:val="24"/>
              </w:rPr>
              <w:t>Atl</w:t>
            </w:r>
          </w:p>
        </w:tc>
        <w:tc>
          <w:tcPr>
            <w:tcW w:w="18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Amidase/glucosaminidase</w:t>
            </w:r>
          </w:p>
        </w:tc>
        <w:tc>
          <w:tcPr>
            <w:tcW w:w="83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1062</w:t>
            </w:r>
          </w:p>
        </w:tc>
        <w:tc>
          <w:tcPr>
            <w:tcW w:w="15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fldChar w:fldCharType="begin"/>
            </w:r>
            <w:r>
              <w:rPr>
                <w:sz w:val="24"/>
                <w:szCs w:val="24"/>
              </w:rPr>
              <w:instrText xml:space="preserve"> ADDIN ZOTERO_ITEM CSL_CITATION {"citationID":"188dmagm2","properties":{"formattedCitation":"(Oshida et al., 1995)","plainCitation":"(Oshida et al., 1995)"},"citationItems":[{"id":47,"uris":["http://zotero.org/users/944474/items/47D38V2E"],"uri":["http://zotero.org/users/944474/items/47D38V2E"],"itemData":{"id":47,"type":"article-journal","title":"A Staphylococcus aureus autolysin that has an N-acetylmuramoyl-L-alanine amidase domain and an endo-beta-N-acetylglucosaminidase domain: cloning, sequence analysis, and characterization","container-title":"Proceedings of the National Academy of Sciences of the United States of America","page":"285-289","volume":"92","issue":"1","abstract":"The Tn551 insertion site of the autolysis-deficient Staphylococcus aureus mutant RUSAL2 was cloned and used to identify the autolysis gene atl in the parent strain, RN450. The open reading frame for atl was 3768 bp in length, encoding a deduced protein of 1256 amino acids and molecular size of 137,381 Da. The atl gene product is a bifunctional protein that has an amidase domain and an endo-beta-N-acetylglucosaminidase domain which must undergo proteolytic processing to generate the two extracellular lytic enzymes found in the culture broth of S. aureus.","note":"PMID: 7816834","shortTitle":"A Staphylococcus aureus autolysin that has an N-acetylmuramoyl-L-alanine amidase domain and an endo-beta-N-acetylglucosaminidase domain","journalAbbreviation":"Proc. Natl. Acad. Sci. U.S.A.","author":[{"family":"Oshida","given":"T"},{"family":"Sugai","given":"M"},{"family":"Komatsuzawa","given":"H"},{"family":"Hong","given":"Y M"},{"family":"Suginaka","given":"H"},{"family":"Tomasz","given":"A"}],"issued":{"year":1995,"month":1,"day":3},"accessed":{"year":2012,"month":3,"day":6},"page-first":"285"}}],"schema":"https://github.com/citation-style-language/schema/raw/master/csl-citation.json"} </w:instrText>
            </w:r>
            <w:r>
              <w:rPr>
                <w:sz w:val="24"/>
                <w:szCs w:val="24"/>
              </w:rPr>
              <w:fldChar w:fldCharType="separate"/>
            </w:r>
            <w:r>
              <w:rPr>
                <w:sz w:val="24"/>
                <w:szCs w:val="24"/>
              </w:rPr>
              <w:t xml:space="preserve">(Oshida </w:t>
            </w:r>
            <w:r>
              <w:rPr>
                <w:i/>
                <w:sz w:val="24"/>
                <w:szCs w:val="24"/>
              </w:rPr>
              <w:t>et al</w:t>
            </w:r>
            <w:r>
              <w:rPr>
                <w:sz w:val="24"/>
                <w:szCs w:val="24"/>
              </w:rPr>
              <w:t>., 1995)</w:t>
            </w:r>
            <w:r>
              <w:rPr>
                <w:sz w:val="24"/>
                <w:szCs w:val="24"/>
              </w:rPr>
              <w:fldChar w:fldCharType="end"/>
            </w:r>
          </w:p>
        </w:tc>
      </w:tr>
      <w:tr w:rsidR="007F78F1" w:rsidTr="007F78F1">
        <w:tc>
          <w:tcPr>
            <w:tcW w:w="81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rPr>
                <w:sz w:val="24"/>
                <w:szCs w:val="24"/>
              </w:rPr>
            </w:pPr>
            <w:r>
              <w:rPr>
                <w:sz w:val="24"/>
                <w:szCs w:val="24"/>
              </w:rPr>
              <w:t>SagA</w:t>
            </w:r>
          </w:p>
        </w:tc>
        <w:tc>
          <w:tcPr>
            <w:tcW w:w="18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Putative glucosaminidase</w:t>
            </w:r>
          </w:p>
        </w:tc>
        <w:tc>
          <w:tcPr>
            <w:tcW w:w="83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2298</w:t>
            </w:r>
          </w:p>
        </w:tc>
        <w:tc>
          <w:tcPr>
            <w:tcW w:w="15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fldChar w:fldCharType="begin"/>
            </w:r>
            <w:r>
              <w:rPr>
                <w:sz w:val="24"/>
                <w:szCs w:val="24"/>
              </w:rPr>
              <w:instrText xml:space="preserve"> ADDIN ZOTERO_ITEM CSL_CITATION {"citationID":"1loj7k0vud","properties":{"formattedCitation":"(Murray, 2001)","plainCitation":"(Murray, 2001)"},"citationItems":[{"id":161,"uris":["http://zotero.org/users/944474/items/ZGZ2CX4V"],"uri":["http://zotero.org/users/944474/items/ZGZ2CX4V"],"itemData":{"id":161,"type":"thesis","title":"Molecular analysis of the role and regulation of the autolysins of Staphylococcus aureus","publisher":"University of Sheffield","author":[{"family":"Murray","given":"John"}],"issued":{"year":2001,"month":1}}}],"schema":"https://github.com/citation-style-language/schema/raw/master/csl-citation.json"} </w:instrText>
            </w:r>
            <w:r>
              <w:rPr>
                <w:sz w:val="24"/>
                <w:szCs w:val="24"/>
              </w:rPr>
              <w:fldChar w:fldCharType="separate"/>
            </w:r>
            <w:r>
              <w:rPr>
                <w:sz w:val="24"/>
                <w:szCs w:val="24"/>
              </w:rPr>
              <w:t>(Murray, 2001)</w:t>
            </w:r>
            <w:r>
              <w:rPr>
                <w:sz w:val="24"/>
                <w:szCs w:val="24"/>
              </w:rPr>
              <w:fldChar w:fldCharType="end"/>
            </w:r>
          </w:p>
        </w:tc>
      </w:tr>
      <w:tr w:rsidR="007F78F1" w:rsidTr="007F78F1">
        <w:tc>
          <w:tcPr>
            <w:tcW w:w="81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rPr>
                <w:sz w:val="24"/>
                <w:szCs w:val="24"/>
              </w:rPr>
            </w:pPr>
            <w:r>
              <w:rPr>
                <w:sz w:val="24"/>
                <w:szCs w:val="24"/>
              </w:rPr>
              <w:t>SagB</w:t>
            </w:r>
          </w:p>
        </w:tc>
        <w:tc>
          <w:tcPr>
            <w:tcW w:w="18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Putative glucosaminidase</w:t>
            </w:r>
          </w:p>
        </w:tc>
        <w:tc>
          <w:tcPr>
            <w:tcW w:w="83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1825</w:t>
            </w:r>
          </w:p>
        </w:tc>
        <w:tc>
          <w:tcPr>
            <w:tcW w:w="15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fldChar w:fldCharType="begin"/>
            </w:r>
            <w:r>
              <w:rPr>
                <w:sz w:val="24"/>
                <w:szCs w:val="24"/>
              </w:rPr>
              <w:instrText xml:space="preserve"> ADDIN ZOTERO_ITEM CSL_CITATION {"citationID":"3bsdnrifp","properties":{"formattedCitation":"(Mohamad,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sz w:val="24"/>
                <w:szCs w:val="24"/>
              </w:rPr>
              <w:fldChar w:fldCharType="separate"/>
            </w:r>
            <w:r>
              <w:rPr>
                <w:sz w:val="24"/>
                <w:szCs w:val="24"/>
              </w:rPr>
              <w:t>(Mohamad, 2007)</w:t>
            </w:r>
            <w:r>
              <w:rPr>
                <w:sz w:val="24"/>
                <w:szCs w:val="24"/>
              </w:rPr>
              <w:fldChar w:fldCharType="end"/>
            </w:r>
          </w:p>
        </w:tc>
      </w:tr>
      <w:tr w:rsidR="007F78F1" w:rsidRPr="007F78F1" w:rsidTr="007F78F1">
        <w:tc>
          <w:tcPr>
            <w:tcW w:w="81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rPr>
                <w:sz w:val="24"/>
                <w:szCs w:val="24"/>
              </w:rPr>
            </w:pPr>
            <w:r>
              <w:rPr>
                <w:sz w:val="24"/>
                <w:szCs w:val="24"/>
              </w:rPr>
              <w:t>ScaA</w:t>
            </w:r>
          </w:p>
          <w:p w:rsidR="007F78F1" w:rsidRDefault="007F78F1">
            <w:pPr>
              <w:spacing w:before="60" w:after="60"/>
              <w:rPr>
                <w:sz w:val="24"/>
                <w:szCs w:val="24"/>
              </w:rPr>
            </w:pPr>
            <w:r>
              <w:rPr>
                <w:sz w:val="24"/>
                <w:szCs w:val="24"/>
              </w:rPr>
              <w:t>(Sle1/Aaa)</w:t>
            </w:r>
          </w:p>
        </w:tc>
        <w:tc>
          <w:tcPr>
            <w:tcW w:w="18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Amidase</w:t>
            </w:r>
          </w:p>
        </w:tc>
        <w:tc>
          <w:tcPr>
            <w:tcW w:w="83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0507</w:t>
            </w:r>
          </w:p>
        </w:tc>
        <w:tc>
          <w:tcPr>
            <w:tcW w:w="15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lang w:val="de-DE"/>
              </w:rPr>
            </w:pPr>
            <w:r>
              <w:rPr>
                <w:sz w:val="24"/>
                <w:szCs w:val="24"/>
              </w:rPr>
              <w:fldChar w:fldCharType="begin"/>
            </w:r>
            <w:r>
              <w:rPr>
                <w:sz w:val="24"/>
                <w:szCs w:val="24"/>
                <w:lang w:val="de-DE"/>
              </w:rPr>
              <w:instrText xml:space="preserve"> ADDIN ZOTERO_ITEM CSL_CITATION {"citationID":"1744s1s49p","properties":{"formattedCitation":"(Heilmann et al., 2005)","plainCitation":"(Heilmann et al., 2005)"},"citationItems":[{"id":12,"uris":["http://zotero.org/users/944474/items/UDWIEZ8V"],"uri":["http://zotero.org/users/944474/items/UDWIEZ8V"],"itemData":{"id":12,"type":"article-journal","title":"The multifunctional Staphylococcus aureus autolysin aaa mediates adherence to immobilized fibrinogen and fibronectin","container-title":"Infection and Immunity","page":"4793-4802","volume":"73","issue":"8","abstract":"Staphylococci can cause a wide spectrum of infections, including endocarditis, osteomyelitis, and sepsis, which is reflected by the numerous virulence factors they produce, among them a recently identified new class of adhesins, namely, the multifunctional autolysins/adhesins. Here we report the identification and molecular characterization of Aaa, a novel autolysin/adhesin from Staphylococcus aureus. The gene encoding Aaa was cloned from the clinical isolate Staphylococcus aureus 4074. DNA sequence analysis revealed that aaa encodes a deduced protein of 334 amino acids with a predicted molecular mass of 35.8 kDa. Aaa contains three N-terminal repetitive sequences that comprise features of a peptidoglycan-binding domain, the LysM domain. The expression of aaa by Escherichia coli and its subsequent characterization revealed that Aaa possesses bacteriolytic activity as well as adhesive properties, such as binding to extracellular matrix proteins. Real-time biomolecular interaction analysis demonstrated that the interaction of Aaa with fibrinogen, fibronectin, and vitronectin is dose dependent and saturable and occurs with a high affinity. Furthermore, we demonstrate that Aaa binds to the Aalpha and Bbeta chains of fragment D of fibrinogen. Immunofluorescence microscopy revealed that Aaa is located at the cell surface. Finally, an aaa knockout mutant showed reduced adherence to surface-adsorbed fibrinogen and fibronectin, strongly suggesting a role for Aaa in the colonization of host factor-coated polymer surfaces and/or host tissue.","DOI":"10.1128/IAI.73.8.4793-4802.2005","note":"PMID: 16040992","journalAbbreviation":"Infect. Immun.","author":[{"family":"Heilmann","given":"Christine"},{"family":"Hartleib","given":"Jörg"},{"family":"Hussain","given":"Muzaffar S"},{"family":"Peters","given":"Georg"}],"issued":{"year":2005,"month":8},"accessed":{"year":2012,"month":3,"day":6},"page-first":"4793"}}],"schema":"https://github.com/citation-style-language/schema/raw/master/csl-citation.json"} </w:instrText>
            </w:r>
            <w:r>
              <w:rPr>
                <w:sz w:val="24"/>
                <w:szCs w:val="24"/>
              </w:rPr>
              <w:fldChar w:fldCharType="separate"/>
            </w:r>
            <w:r>
              <w:rPr>
                <w:sz w:val="24"/>
                <w:szCs w:val="24"/>
                <w:lang w:val="de-DE"/>
              </w:rPr>
              <w:t xml:space="preserve">(Heilmann </w:t>
            </w:r>
            <w:r>
              <w:rPr>
                <w:i/>
                <w:sz w:val="24"/>
                <w:szCs w:val="24"/>
                <w:lang w:val="de-DE"/>
              </w:rPr>
              <w:t>et al</w:t>
            </w:r>
            <w:r>
              <w:rPr>
                <w:sz w:val="24"/>
                <w:szCs w:val="24"/>
                <w:lang w:val="de-DE"/>
              </w:rPr>
              <w:t>., 2005)</w:t>
            </w:r>
            <w:r>
              <w:rPr>
                <w:sz w:val="24"/>
                <w:szCs w:val="24"/>
              </w:rPr>
              <w:fldChar w:fldCharType="end"/>
            </w:r>
          </w:p>
          <w:p w:rsidR="007F78F1" w:rsidRDefault="007F78F1">
            <w:pPr>
              <w:spacing w:before="60" w:after="60"/>
              <w:jc w:val="center"/>
              <w:rPr>
                <w:sz w:val="24"/>
                <w:szCs w:val="24"/>
                <w:lang w:val="de-DE"/>
              </w:rPr>
            </w:pPr>
            <w:r>
              <w:rPr>
                <w:sz w:val="24"/>
                <w:szCs w:val="24"/>
                <w:lang w:val="de-DE"/>
              </w:rPr>
              <w:fldChar w:fldCharType="begin"/>
            </w:r>
            <w:r>
              <w:rPr>
                <w:sz w:val="24"/>
                <w:szCs w:val="24"/>
                <w:lang w:val="de-DE"/>
              </w:rPr>
              <w:instrText xml:space="preserve"> ADDIN ZOTERO_ITEM CSL_CITATION {"citationID":"qtt0eo86k","properties":{"formattedCitation":"(Pourmand et al., 2006)","plainCitation":"(Pourmand et al., 2006)"},"citationItems":[{"id":23,"uris":["http://zotero.org/users/944474/items/GTXGXSTI"],"uri":["http://zotero.org/users/944474/items/GTXGXSTI"],"itemData":{"id":23,"type":"article-journal","title":"Identification of antigenic components of Staphylococcus epidermidis expressed during human infection","container-title":"Infection and Immunity","page":"4644-4654","volume":"74","issue":"8","abstract":"A spectrum of in vivo-expressed Staphylococcus epidermidis antigens was identified by probing a bacteriophage lambda library of S. epidermidis genomic DNA with human serum from infected and uninfected individuals. This analysis resulted in identification of 53 antigen-encoding loci. Six antigenic polypeptides were expressed from these loci and purified. These polypeptides were the propeptide, mature amidase, and repeat sequence domains of the major autolysin AtlE, GehD (lipase), and two members of a conserved family of surface proteins (ScaA [AaE] and ScaB). AtlE, ScaA, and ScaB all exhibit human ligand binding capacity. Screening a bank of human serum samples revealed that there were significant increases in the amounts of reactive immunoglobulin G in infected individuals compared to the amounts in healthy individuals for the repeat sequence and mature amidase domains of AtlE, ScaB, and GehD. Vaccination of mice with recombinant antigens stimulated an immune response which in vitro opsonized S. epidermidis. In this study we identified prospective candidate antigens for prophylaxis or immunotherapy to control disease.","DOI":"10.1128/IAI.00521-06","note":"PMID: 16861652","journalAbbreviation":"Infect. Immun.","author":[{"family":"Pourmand","given":"Mohammad R"},{"family":"Clarke","given":"Simon R"},{"family":"Schuman","given":"Richard F"},{"family":"Mond","given":"James J"},{"family":"Foster","given":"Simon J"}],"issued":{"year":2006,"month":8},"accessed":{"year":2012,"month":3,"day":6},"page-first":"4644"}}],"schema":"https://github.com/citation-style-language/schema/raw/master/csl-citation.json"} </w:instrText>
            </w:r>
            <w:r>
              <w:rPr>
                <w:sz w:val="24"/>
                <w:szCs w:val="24"/>
                <w:lang w:val="de-DE"/>
              </w:rPr>
              <w:fldChar w:fldCharType="separate"/>
            </w:r>
            <w:r>
              <w:rPr>
                <w:sz w:val="24"/>
                <w:szCs w:val="24"/>
                <w:lang w:val="de-DE"/>
              </w:rPr>
              <w:t xml:space="preserve">(Pourmand </w:t>
            </w:r>
            <w:r>
              <w:rPr>
                <w:i/>
                <w:sz w:val="24"/>
                <w:szCs w:val="24"/>
                <w:lang w:val="de-DE"/>
              </w:rPr>
              <w:t>et al</w:t>
            </w:r>
            <w:r>
              <w:rPr>
                <w:sz w:val="24"/>
                <w:szCs w:val="24"/>
                <w:lang w:val="de-DE"/>
              </w:rPr>
              <w:t>., 2006)</w:t>
            </w:r>
            <w:r>
              <w:rPr>
                <w:sz w:val="24"/>
                <w:szCs w:val="24"/>
                <w:lang w:val="de-DE"/>
              </w:rPr>
              <w:fldChar w:fldCharType="end"/>
            </w:r>
          </w:p>
        </w:tc>
      </w:tr>
      <w:tr w:rsidR="007F78F1" w:rsidTr="007F78F1">
        <w:tc>
          <w:tcPr>
            <w:tcW w:w="81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rPr>
                <w:sz w:val="24"/>
                <w:szCs w:val="24"/>
              </w:rPr>
            </w:pPr>
            <w:r>
              <w:rPr>
                <w:sz w:val="24"/>
                <w:szCs w:val="24"/>
              </w:rPr>
              <w:t>ScaB</w:t>
            </w:r>
          </w:p>
        </w:tc>
        <w:tc>
          <w:tcPr>
            <w:tcW w:w="18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Putative amidase</w:t>
            </w:r>
          </w:p>
        </w:tc>
        <w:tc>
          <w:tcPr>
            <w:tcW w:w="83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0723</w:t>
            </w:r>
          </w:p>
        </w:tc>
        <w:tc>
          <w:tcPr>
            <w:tcW w:w="15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fldChar w:fldCharType="begin"/>
            </w:r>
            <w:r>
              <w:rPr>
                <w:sz w:val="24"/>
                <w:szCs w:val="24"/>
              </w:rPr>
              <w:instrText xml:space="preserve"> ADDIN ZOTERO_ITEM CSL_CITATION {"citationID":"13pt87acgr","properties":{"formattedCitation":"(Pourmand et al., 2006)","plainCitation":"(Pourmand et al., 2006)"},"citationItems":[{"id":23,"uris":["http://zotero.org/users/944474/items/GTXGXSTI"],"uri":["http://zotero.org/users/944474/items/GTXGXSTI"],"itemData":{"id":23,"type":"article-journal","title":"Identification of antigenic components of Staphylococcus epidermidis expressed during human infection","container-title":"Infection and Immunity","page":"4644-4654","volume":"74","issue":"8","abstract":"A spectrum of in vivo-expressed Staphylococcus epidermidis antigens was identified by probing a bacteriophage lambda library of S. epidermidis genomic DNA with human serum from infected and uninfected individuals. This analysis resulted in identification of 53 antigen-encoding loci. Six antigenic polypeptides were expressed from these loci and purified. These polypeptides were the propeptide, mature amidase, and repeat sequence domains of the major autolysin AtlE, GehD (lipase), and two members of a conserved family of surface proteins (ScaA [AaE] and ScaB). AtlE, ScaA, and ScaB all exhibit human ligand binding capacity. Screening a bank of human serum samples revealed that there were significant increases in the amounts of reactive immunoglobulin G in infected individuals compared to the amounts in healthy individuals for the repeat sequence and mature amidase domains of AtlE, ScaB, and GehD. Vaccination of mice with recombinant antigens stimulated an immune response which in vitro opsonized S. epidermidis. In this study we identified prospective candidate antigens for prophylaxis or immunotherapy to control disease.","DOI":"10.1128/IAI.00521-06","note":"PMID: 16861652","journalAbbreviation":"Infect. Immun.","author":[{"family":"Pourmand","given":"Mohammad R"},{"family":"Clarke","given":"Simon R"},{"family":"Schuman","given":"Richard F"},{"family":"Mond","given":"James J"},{"family":"Foster","given":"Simon J"}],"issued":{"year":2006,"month":8},"accessed":{"year":2012,"month":3,"day":6},"page-first":"4644"}}],"schema":"https://github.com/citation-style-language/schema/raw/master/csl-citation.json"} </w:instrText>
            </w:r>
            <w:r>
              <w:rPr>
                <w:sz w:val="24"/>
                <w:szCs w:val="24"/>
              </w:rPr>
              <w:fldChar w:fldCharType="separate"/>
            </w:r>
            <w:r>
              <w:rPr>
                <w:sz w:val="24"/>
                <w:szCs w:val="24"/>
              </w:rPr>
              <w:t xml:space="preserve">(Pourmand </w:t>
            </w:r>
            <w:r>
              <w:rPr>
                <w:i/>
                <w:sz w:val="24"/>
                <w:szCs w:val="24"/>
              </w:rPr>
              <w:t>et al</w:t>
            </w:r>
            <w:r>
              <w:rPr>
                <w:sz w:val="24"/>
                <w:szCs w:val="24"/>
              </w:rPr>
              <w:t>., 2006)</w:t>
            </w:r>
            <w:r>
              <w:rPr>
                <w:sz w:val="24"/>
                <w:szCs w:val="24"/>
              </w:rPr>
              <w:fldChar w:fldCharType="end"/>
            </w:r>
          </w:p>
        </w:tc>
      </w:tr>
      <w:tr w:rsidR="007F78F1" w:rsidTr="007F78F1">
        <w:tc>
          <w:tcPr>
            <w:tcW w:w="81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rPr>
                <w:sz w:val="24"/>
                <w:szCs w:val="24"/>
              </w:rPr>
            </w:pPr>
            <w:r>
              <w:rPr>
                <w:sz w:val="24"/>
                <w:szCs w:val="24"/>
              </w:rPr>
              <w:t>ScaC</w:t>
            </w:r>
          </w:p>
        </w:tc>
        <w:tc>
          <w:tcPr>
            <w:tcW w:w="18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Putative amidase</w:t>
            </w:r>
          </w:p>
        </w:tc>
        <w:tc>
          <w:tcPr>
            <w:tcW w:w="83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2581</w:t>
            </w:r>
          </w:p>
        </w:tc>
        <w:tc>
          <w:tcPr>
            <w:tcW w:w="15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fldChar w:fldCharType="begin"/>
            </w:r>
            <w:r>
              <w:rPr>
                <w:sz w:val="24"/>
                <w:szCs w:val="24"/>
              </w:rPr>
              <w:instrText xml:space="preserve"> ADDIN ZOTERO_ITEM CSL_CITATION {"citationID":"npOhBSR6","properties":{"formattedCitation":"(Pourmand et al., 2006)","plainCitation":"(Pourmand et al., 2006)"},"citationItems":[{"id":23,"uris":["http://zotero.org/users/944474/items/GTXGXSTI"],"uri":["http://zotero.org/users/944474/items/GTXGXSTI"],"itemData":{"id":23,"type":"article-journal","title":"Identification of antigenic components of Staphylococcus epidermidis expressed during human infection","container-title":"Infection and Immunity","page":"4644-4654","volume":"74","issue":"8","abstract":"A spectrum of in vivo-expressed Staphylococcus epidermidis antigens was identified by probing a bacteriophage lambda library of S. epidermidis genomic DNA with human serum from infected and uninfected individuals. This analysis resulted in identification of 53 antigen-encoding loci. Six antigenic polypeptides were expressed from these loci and purified. These polypeptides were the propeptide, mature amidase, and repeat sequence domains of the major autolysin AtlE, GehD (lipase), and two members of a conserved family of surface proteins (ScaA [AaE] and ScaB). AtlE, ScaA, and ScaB all exhibit human ligand binding capacity. Screening a bank of human serum samples revealed that there were significant increases in the amounts of reactive immunoglobulin G in infected individuals compared to the amounts in healthy individuals for the repeat sequence and mature amidase domains of AtlE, ScaB, and GehD. Vaccination of mice with recombinant antigens stimulated an immune response which in vitro opsonized S. epidermidis. In this study we identified prospective candidate antigens for prophylaxis or immunotherapy to control disease.","DOI":"10.1128/IAI.00521-06","note":"PMID: 16861652","journalAbbreviation":"Infect. Immun.","author":[{"family":"Pourmand","given":"Mohammad R"},{"family":"Clarke","given":"Simon R"},{"family":"Schuman","given":"Richard F"},{"family":"Mond","given":"James J"},{"family":"Foster","given":"Simon J"}],"issued":{"year":2006,"month":8},"accessed":{"year":2012,"month":3,"day":6},"page-first":"4644"}}],"schema":"https://github.com/citation-style-language/schema/raw/master/csl-citation.json"} </w:instrText>
            </w:r>
            <w:r>
              <w:rPr>
                <w:sz w:val="24"/>
                <w:szCs w:val="24"/>
              </w:rPr>
              <w:fldChar w:fldCharType="separate"/>
            </w:r>
            <w:r>
              <w:rPr>
                <w:sz w:val="24"/>
                <w:szCs w:val="24"/>
              </w:rPr>
              <w:t xml:space="preserve">(Pourmand </w:t>
            </w:r>
            <w:r>
              <w:rPr>
                <w:i/>
                <w:sz w:val="24"/>
                <w:szCs w:val="24"/>
              </w:rPr>
              <w:t>et al</w:t>
            </w:r>
            <w:r>
              <w:rPr>
                <w:sz w:val="24"/>
                <w:szCs w:val="24"/>
              </w:rPr>
              <w:t>., 2006)</w:t>
            </w:r>
            <w:r>
              <w:rPr>
                <w:sz w:val="24"/>
                <w:szCs w:val="24"/>
              </w:rPr>
              <w:fldChar w:fldCharType="end"/>
            </w:r>
          </w:p>
        </w:tc>
      </w:tr>
      <w:tr w:rsidR="007F78F1" w:rsidTr="007F78F1">
        <w:tc>
          <w:tcPr>
            <w:tcW w:w="81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rPr>
                <w:sz w:val="24"/>
                <w:szCs w:val="24"/>
              </w:rPr>
            </w:pPr>
            <w:r>
              <w:rPr>
                <w:sz w:val="24"/>
                <w:szCs w:val="24"/>
              </w:rPr>
              <w:t>ScaD</w:t>
            </w:r>
          </w:p>
        </w:tc>
        <w:tc>
          <w:tcPr>
            <w:tcW w:w="18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Putative amidase</w:t>
            </w:r>
          </w:p>
        </w:tc>
        <w:tc>
          <w:tcPr>
            <w:tcW w:w="83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2291</w:t>
            </w:r>
          </w:p>
        </w:tc>
        <w:tc>
          <w:tcPr>
            <w:tcW w:w="15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fldChar w:fldCharType="begin"/>
            </w:r>
            <w:r>
              <w:rPr>
                <w:sz w:val="24"/>
                <w:szCs w:val="24"/>
              </w:rPr>
              <w:instrText xml:space="preserve"> ADDIN ZOTERO_ITEM CSL_CITATION {"citationID":"TZwnM1tQ","properties":{"formattedCitation":"(Pourmand et al., 2006)","plainCitation":"(Pourmand et al., 2006)"},"citationItems":[{"id":23,"uris":["http://zotero.org/users/944474/items/GTXGXSTI"],"uri":["http://zotero.org/users/944474/items/GTXGXSTI"],"itemData":{"id":23,"type":"article-journal","title":"Identification of antigenic components of Staphylococcus epidermidis expressed during human infection","container-title":"Infection and Immunity","page":"4644-4654","volume":"74","issue":"8","abstract":"A spectrum of in vivo-expressed Staphylococcus epidermidis antigens was identified by probing a bacteriophage lambda library of S. epidermidis genomic DNA with human serum from infected and uninfected individuals. This analysis resulted in identification of 53 antigen-encoding loci. Six antigenic polypeptides were expressed from these loci and purified. These polypeptides were the propeptide, mature amidase, and repeat sequence domains of the major autolysin AtlE, GehD (lipase), and two members of a conserved family of surface proteins (ScaA [AaE] and ScaB). AtlE, ScaA, and ScaB all exhibit human ligand binding capacity. Screening a bank of human serum samples revealed that there were significant increases in the amounts of reactive immunoglobulin G in infected individuals compared to the amounts in healthy individuals for the repeat sequence and mature amidase domains of AtlE, ScaB, and GehD. Vaccination of mice with recombinant antigens stimulated an immune response which in vitro opsonized S. epidermidis. In this study we identified prospective candidate antigens for prophylaxis or immunotherapy to control disease.","DOI":"10.1128/IAI.00521-06","note":"PMID: 16861652","journalAbbreviation":"Infect. Immun.","author":[{"family":"Pourmand","given":"Mohammad R"},{"family":"Clarke","given":"Simon R"},{"family":"Schuman","given":"Richard F"},{"family":"Mond","given":"James J"},{"family":"Foster","given":"Simon J"}],"issued":{"year":2006,"month":8},"accessed":{"year":2012,"month":3,"day":6},"page-first":"4644"}}],"schema":"https://github.com/citation-style-language/schema/raw/master/csl-citation.json"} </w:instrText>
            </w:r>
            <w:r>
              <w:rPr>
                <w:sz w:val="24"/>
                <w:szCs w:val="24"/>
              </w:rPr>
              <w:fldChar w:fldCharType="separate"/>
            </w:r>
            <w:r>
              <w:rPr>
                <w:sz w:val="24"/>
                <w:szCs w:val="24"/>
              </w:rPr>
              <w:t xml:space="preserve">(Pourmand </w:t>
            </w:r>
            <w:r>
              <w:rPr>
                <w:i/>
                <w:sz w:val="24"/>
                <w:szCs w:val="24"/>
              </w:rPr>
              <w:t>et al</w:t>
            </w:r>
            <w:r>
              <w:rPr>
                <w:sz w:val="24"/>
                <w:szCs w:val="24"/>
              </w:rPr>
              <w:t>., 2006)</w:t>
            </w:r>
            <w:r>
              <w:rPr>
                <w:sz w:val="24"/>
                <w:szCs w:val="24"/>
              </w:rPr>
              <w:fldChar w:fldCharType="end"/>
            </w:r>
          </w:p>
        </w:tc>
      </w:tr>
      <w:tr w:rsidR="007F78F1" w:rsidTr="007F78F1">
        <w:tc>
          <w:tcPr>
            <w:tcW w:w="81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rPr>
                <w:sz w:val="24"/>
                <w:szCs w:val="24"/>
              </w:rPr>
            </w:pPr>
            <w:r>
              <w:rPr>
                <w:sz w:val="24"/>
                <w:szCs w:val="24"/>
              </w:rPr>
              <w:t>ScaE</w:t>
            </w:r>
          </w:p>
        </w:tc>
        <w:tc>
          <w:tcPr>
            <w:tcW w:w="18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Putative amidase</w:t>
            </w:r>
          </w:p>
        </w:tc>
        <w:tc>
          <w:tcPr>
            <w:tcW w:w="83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0820</w:t>
            </w:r>
          </w:p>
        </w:tc>
        <w:tc>
          <w:tcPr>
            <w:tcW w:w="15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fldChar w:fldCharType="begin"/>
            </w:r>
            <w:r>
              <w:rPr>
                <w:sz w:val="24"/>
                <w:szCs w:val="24"/>
              </w:rPr>
              <w:instrText xml:space="preserve"> ADDIN ZOTERO_ITEM CSL_CITATION {"citationID":"g4xq95P8","properties":{"formattedCitation":"(Pourmand et al., 2006)","plainCitation":"(Pourmand et al., 2006)"},"citationItems":[{"id":23,"uris":["http://zotero.org/users/944474/items/GTXGXSTI"],"uri":["http://zotero.org/users/944474/items/GTXGXSTI"],"itemData":{"id":23,"type":"article-journal","title":"Identification of antigenic components of Staphylococcus epidermidis expressed during human infection","container-title":"Infection and Immunity","page":"4644-4654","volume":"74","issue":"8","abstract":"A spectrum of in vivo-expressed Staphylococcus epidermidis antigens was identified by probing a bacteriophage lambda library of S. epidermidis genomic DNA with human serum from infected and uninfected individuals. This analysis resulted in identification of 53 antigen-encoding loci. Six antigenic polypeptides were expressed from these loci and purified. These polypeptides were the propeptide, mature amidase, and repeat sequence domains of the major autolysin AtlE, GehD (lipase), and two members of a conserved family of surface proteins (ScaA [AaE] and ScaB). AtlE, ScaA, and ScaB all exhibit human ligand binding capacity. Screening a bank of human serum samples revealed that there were significant increases in the amounts of reactive immunoglobulin G in infected individuals compared to the amounts in healthy individuals for the repeat sequence and mature amidase domains of AtlE, ScaB, and GehD. Vaccination of mice with recombinant antigens stimulated an immune response which in vitro opsonized S. epidermidis. In this study we identified prospective candidate antigens for prophylaxis or immunotherapy to control disease.","DOI":"10.1128/IAI.00521-06","note":"PMID: 16861652","journalAbbreviation":"Infect. Immun.","author":[{"family":"Pourmand","given":"Mohammad R"},{"family":"Clarke","given":"Simon R"},{"family":"Schuman","given":"Richard F"},{"family":"Mond","given":"James J"},{"family":"Foster","given":"Simon J"}],"issued":{"year":2006,"month":8},"accessed":{"year":2012,"month":3,"day":6},"page-first":"4644"}}],"schema":"https://github.com/citation-style-language/schema/raw/master/csl-citation.json"} </w:instrText>
            </w:r>
            <w:r>
              <w:rPr>
                <w:sz w:val="24"/>
                <w:szCs w:val="24"/>
              </w:rPr>
              <w:fldChar w:fldCharType="separate"/>
            </w:r>
            <w:r>
              <w:rPr>
                <w:sz w:val="24"/>
                <w:szCs w:val="24"/>
              </w:rPr>
              <w:t xml:space="preserve">(Pourmand </w:t>
            </w:r>
            <w:r>
              <w:rPr>
                <w:i/>
                <w:sz w:val="24"/>
                <w:szCs w:val="24"/>
              </w:rPr>
              <w:t>et al</w:t>
            </w:r>
            <w:r>
              <w:rPr>
                <w:sz w:val="24"/>
                <w:szCs w:val="24"/>
              </w:rPr>
              <w:t>., 2006)</w:t>
            </w:r>
            <w:r>
              <w:rPr>
                <w:sz w:val="24"/>
                <w:szCs w:val="24"/>
              </w:rPr>
              <w:fldChar w:fldCharType="end"/>
            </w:r>
          </w:p>
        </w:tc>
      </w:tr>
      <w:tr w:rsidR="007F78F1" w:rsidTr="007F78F1">
        <w:tc>
          <w:tcPr>
            <w:tcW w:w="81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rPr>
                <w:sz w:val="24"/>
                <w:szCs w:val="24"/>
              </w:rPr>
            </w:pPr>
            <w:r>
              <w:rPr>
                <w:sz w:val="24"/>
                <w:szCs w:val="24"/>
              </w:rPr>
              <w:t>ScaF</w:t>
            </w:r>
          </w:p>
        </w:tc>
        <w:tc>
          <w:tcPr>
            <w:tcW w:w="18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Putative amidase</w:t>
            </w:r>
          </w:p>
        </w:tc>
        <w:tc>
          <w:tcPr>
            <w:tcW w:w="83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0270</w:t>
            </w:r>
          </w:p>
        </w:tc>
        <w:tc>
          <w:tcPr>
            <w:tcW w:w="15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fldChar w:fldCharType="begin"/>
            </w:r>
            <w:r>
              <w:rPr>
                <w:sz w:val="24"/>
                <w:szCs w:val="24"/>
              </w:rPr>
              <w:instrText xml:space="preserve"> ADDIN ZOTERO_ITEM CSL_CITATION {"citationID":"u7zsRNWK","properties":{"formattedCitation":"(Pourmand et al., 2006)","plainCitation":"(Pourmand et al., 2006)"},"citationItems":[{"id":23,"uris":["http://zotero.org/users/944474/items/GTXGXSTI"],"uri":["http://zotero.org/users/944474/items/GTXGXSTI"],"itemData":{"id":23,"type":"article-journal","title":"Identification of antigenic components of Staphylococcus epidermidis expressed during human infection","container-title":"Infection and Immunity","page":"4644-4654","volume":"74","issue":"8","abstract":"A spectrum of in vivo-expressed Staphylococcus epidermidis antigens was identified by probing a bacteriophage lambda library of S. epidermidis genomic DNA with human serum from infected and uninfected individuals. This analysis resulted in identification of 53 antigen-encoding loci. Six antigenic polypeptides were expressed from these loci and purified. These polypeptides were the propeptide, mature amidase, and repeat sequence domains of the major autolysin AtlE, GehD (lipase), and two members of a conserved family of surface proteins (ScaA [AaE] and ScaB). AtlE, ScaA, and ScaB all exhibit human ligand binding capacity. Screening a bank of human serum samples revealed that there were significant increases in the amounts of reactive immunoglobulin G in infected individuals compared to the amounts in healthy individuals for the repeat sequence and mature amidase domains of AtlE, ScaB, and GehD. Vaccination of mice with recombinant antigens stimulated an immune response which in vitro opsonized S. epidermidis. In this study we identified prospective candidate antigens for prophylaxis or immunotherapy to control disease.","DOI":"10.1128/IAI.00521-06","note":"PMID: 16861652","journalAbbreviation":"Infect. Immun.","author":[{"family":"Pourmand","given":"Mohammad R"},{"family":"Clarke","given":"Simon R"},{"family":"Schuman","given":"Richard F"},{"family":"Mond","given":"James J"},{"family":"Foster","given":"Simon J"}],"issued":{"year":2006,"month":8},"accessed":{"year":2012,"month":3,"day":6},"page-first":"4644"}}],"schema":"https://github.com/citation-style-language/schema/raw/master/csl-citation.json"} </w:instrText>
            </w:r>
            <w:r>
              <w:rPr>
                <w:sz w:val="24"/>
                <w:szCs w:val="24"/>
              </w:rPr>
              <w:fldChar w:fldCharType="separate"/>
            </w:r>
            <w:r>
              <w:rPr>
                <w:sz w:val="24"/>
                <w:szCs w:val="24"/>
              </w:rPr>
              <w:t xml:space="preserve">(Pourmand </w:t>
            </w:r>
            <w:r>
              <w:rPr>
                <w:i/>
                <w:sz w:val="24"/>
                <w:szCs w:val="24"/>
              </w:rPr>
              <w:t>et al</w:t>
            </w:r>
            <w:r>
              <w:rPr>
                <w:sz w:val="24"/>
                <w:szCs w:val="24"/>
              </w:rPr>
              <w:t>., 2006)</w:t>
            </w:r>
            <w:r>
              <w:rPr>
                <w:sz w:val="24"/>
                <w:szCs w:val="24"/>
              </w:rPr>
              <w:fldChar w:fldCharType="end"/>
            </w:r>
          </w:p>
        </w:tc>
      </w:tr>
      <w:tr w:rsidR="007F78F1" w:rsidTr="007F78F1">
        <w:tc>
          <w:tcPr>
            <w:tcW w:w="81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rPr>
                <w:sz w:val="24"/>
                <w:szCs w:val="24"/>
              </w:rPr>
            </w:pPr>
            <w:r>
              <w:rPr>
                <w:sz w:val="24"/>
                <w:szCs w:val="24"/>
              </w:rPr>
              <w:t>ScaG</w:t>
            </w:r>
          </w:p>
        </w:tc>
        <w:tc>
          <w:tcPr>
            <w:tcW w:w="18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Putative amidase</w:t>
            </w:r>
          </w:p>
        </w:tc>
        <w:tc>
          <w:tcPr>
            <w:tcW w:w="83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2557</w:t>
            </w:r>
          </w:p>
        </w:tc>
        <w:tc>
          <w:tcPr>
            <w:tcW w:w="15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fldChar w:fldCharType="begin"/>
            </w:r>
            <w:r>
              <w:rPr>
                <w:sz w:val="24"/>
                <w:szCs w:val="24"/>
              </w:rPr>
              <w:instrText xml:space="preserve"> ADDIN ZOTERO_ITEM CSL_CITATION {"citationID":"4H0chkmJ","properties":{"formattedCitation":"(Pourmand et al., 2006)","plainCitation":"(Pourmand et al., 2006)"},"citationItems":[{"id":23,"uris":["http://zotero.org/users/944474/items/GTXGXSTI"],"uri":["http://zotero.org/users/944474/items/GTXGXSTI"],"itemData":{"id":23,"type":"article-journal","title":"Identification of antigenic components of Staphylococcus epidermidis expressed during human infection","container-title":"Infection and Immunity","page":"4644-4654","volume":"74","issue":"8","abstract":"A spectrum of in vivo-expressed Staphylococcus epidermidis antigens was identified by probing a bacteriophage lambda library of S. epidermidis genomic DNA with human serum from infected and uninfected individuals. This analysis resulted in identification of 53 antigen-encoding loci. Six antigenic polypeptides were expressed from these loci and purified. These polypeptides were the propeptide, mature amidase, and repeat sequence domains of the major autolysin AtlE, GehD (lipase), and two members of a conserved family of surface proteins (ScaA [AaE] and ScaB). AtlE, ScaA, and ScaB all exhibit human ligand binding capacity. Screening a bank of human serum samples revealed that there were significant increases in the amounts of reactive immunoglobulin G in infected individuals compared to the amounts in healthy individuals for the repeat sequence and mature amidase domains of AtlE, ScaB, and GehD. Vaccination of mice with recombinant antigens stimulated an immune response which in vitro opsonized S. epidermidis. In this study we identified prospective candidate antigens for prophylaxis or immunotherapy to control disease.","DOI":"10.1128/IAI.00521-06","note":"PMID: 16861652","journalAbbreviation":"Infect. Immun.","author":[{"family":"Pourmand","given":"Mohammad R"},{"family":"Clarke","given":"Simon R"},{"family":"Schuman","given":"Richard F"},{"family":"Mond","given":"James J"},{"family":"Foster","given":"Simon J"}],"issued":{"year":2006,"month":8},"accessed":{"year":2012,"month":3,"day":6},"page-first":"4644"}}],"schema":"https://github.com/citation-style-language/schema/raw/master/csl-citation.json"} </w:instrText>
            </w:r>
            <w:r>
              <w:rPr>
                <w:sz w:val="24"/>
                <w:szCs w:val="24"/>
              </w:rPr>
              <w:fldChar w:fldCharType="separate"/>
            </w:r>
            <w:r>
              <w:rPr>
                <w:sz w:val="24"/>
                <w:szCs w:val="24"/>
              </w:rPr>
              <w:t xml:space="preserve">(Pourmand </w:t>
            </w:r>
            <w:r>
              <w:rPr>
                <w:i/>
                <w:sz w:val="24"/>
                <w:szCs w:val="24"/>
              </w:rPr>
              <w:t>et al</w:t>
            </w:r>
            <w:r>
              <w:rPr>
                <w:sz w:val="24"/>
                <w:szCs w:val="24"/>
              </w:rPr>
              <w:t>., 2006)</w:t>
            </w:r>
            <w:r>
              <w:rPr>
                <w:sz w:val="24"/>
                <w:szCs w:val="24"/>
              </w:rPr>
              <w:fldChar w:fldCharType="end"/>
            </w:r>
          </w:p>
        </w:tc>
      </w:tr>
      <w:tr w:rsidR="007F78F1" w:rsidTr="007F78F1">
        <w:tc>
          <w:tcPr>
            <w:tcW w:w="81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rPr>
                <w:sz w:val="24"/>
                <w:szCs w:val="24"/>
              </w:rPr>
            </w:pPr>
            <w:r>
              <w:rPr>
                <w:sz w:val="24"/>
                <w:szCs w:val="24"/>
              </w:rPr>
              <w:t>ScaH</w:t>
            </w:r>
          </w:p>
        </w:tc>
        <w:tc>
          <w:tcPr>
            <w:tcW w:w="18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Putative glucosaminidase</w:t>
            </w:r>
          </w:p>
        </w:tc>
        <w:tc>
          <w:tcPr>
            <w:tcW w:w="83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2666</w:t>
            </w:r>
          </w:p>
        </w:tc>
        <w:tc>
          <w:tcPr>
            <w:tcW w:w="15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fldChar w:fldCharType="begin"/>
            </w:r>
            <w:r>
              <w:rPr>
                <w:sz w:val="24"/>
                <w:szCs w:val="24"/>
              </w:rPr>
              <w:instrText xml:space="preserve"> ADDIN ZOTERO_ITEM CSL_CITATION {"citationID":"20k2t6m6ap","properties":{"formattedCitation":"(Pourmand et al., 2006; Mohamad, 2007)","plainCitation":"(Pourmand et al., 2006; Mohamad, 2007)"},"citationItems":[{"id":23,"uris":["http://zotero.org/users/944474/items/GTXGXSTI"],"uri":["http://zotero.org/users/944474/items/GTXGXSTI"],"itemData":{"id":23,"type":"article-journal","title":"Identification of antigenic components of Staphylococcus epidermidis expressed during human infection","container-title":"Infection and Immunity","page":"4644-4654","volume":"74","issue":"8","abstract":"A spectrum of in vivo-expressed Staphylococcus epidermidis antigens was identified by probing a bacteriophage lambda library of S. epidermidis genomic DNA with human serum from infected and uninfected individuals. This analysis resulted in identification of 53 antigen-encoding loci. Six antigenic polypeptides were expressed from these loci and purified. These polypeptides were the propeptide, mature amidase, and repeat sequence domains of the major autolysin AtlE, GehD (lipase), and two members of a conserved family of surface proteins (ScaA [AaE] and ScaB). AtlE, ScaA, and ScaB all exhibit human ligand binding capacity. Screening a bank of human serum samples revealed that there were significant increases in the amounts of reactive immunoglobulin G in infected individuals compared to the amounts in healthy individuals for the repeat sequence and mature amidase domains of AtlE, ScaB, and GehD. Vaccination of mice with recombinant antigens stimulated an immune response which in vitro opsonized S. epidermidis. In this study we identified prospective candidate antigens for prophylaxis or immunotherapy to control disease.","DOI":"10.1128/IAI.00521-06","note":"PMID: 16861652","journalAbbreviation":"Infect. Immun.","author":[{"family":"Pourmand","given":"Mohammad R"},{"family":"Clarke","given":"Simon R"},{"family":"Schuman","given":"Richard F"},{"family":"Mond","given":"James J"},{"family":"Foster","given":"Simon J"}],"issued":{"year":2006,"month":8},"accessed":{"year":2012,"month":3,"day":6},"page-first":"4644"}},{"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sz w:val="24"/>
                <w:szCs w:val="24"/>
              </w:rPr>
              <w:fldChar w:fldCharType="separate"/>
            </w:r>
            <w:r>
              <w:rPr>
                <w:sz w:val="24"/>
                <w:szCs w:val="24"/>
              </w:rPr>
              <w:t xml:space="preserve">(Pourmand </w:t>
            </w:r>
            <w:r>
              <w:rPr>
                <w:i/>
                <w:sz w:val="24"/>
                <w:szCs w:val="24"/>
              </w:rPr>
              <w:t>et al</w:t>
            </w:r>
            <w:r>
              <w:rPr>
                <w:sz w:val="24"/>
                <w:szCs w:val="24"/>
              </w:rPr>
              <w:t>., 2006; Mohamad, 2007)</w:t>
            </w:r>
            <w:r>
              <w:rPr>
                <w:sz w:val="24"/>
                <w:szCs w:val="24"/>
              </w:rPr>
              <w:fldChar w:fldCharType="end"/>
            </w:r>
            <w:r>
              <w:rPr>
                <w:sz w:val="24"/>
                <w:szCs w:val="24"/>
              </w:rPr>
              <w:t xml:space="preserve"> </w:t>
            </w:r>
          </w:p>
        </w:tc>
      </w:tr>
      <w:tr w:rsidR="007F78F1" w:rsidTr="007F78F1">
        <w:tc>
          <w:tcPr>
            <w:tcW w:w="81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rPr>
                <w:sz w:val="24"/>
                <w:szCs w:val="24"/>
              </w:rPr>
            </w:pPr>
            <w:r>
              <w:rPr>
                <w:sz w:val="24"/>
                <w:szCs w:val="24"/>
              </w:rPr>
              <w:t>ScaI</w:t>
            </w:r>
          </w:p>
        </w:tc>
        <w:tc>
          <w:tcPr>
            <w:tcW w:w="18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Putative amidase</w:t>
            </w:r>
          </w:p>
        </w:tc>
        <w:tc>
          <w:tcPr>
            <w:tcW w:w="83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1576</w:t>
            </w:r>
          </w:p>
        </w:tc>
        <w:tc>
          <w:tcPr>
            <w:tcW w:w="15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fldChar w:fldCharType="begin"/>
            </w:r>
            <w:r>
              <w:rPr>
                <w:sz w:val="24"/>
                <w:szCs w:val="24"/>
              </w:rPr>
              <w:instrText xml:space="preserve"> ADDIN ZOTERO_ITEM CSL_CITATION {"citationID":"1jf1qt9o0u","properties":{"formattedCitation":"(Pourmand et al., 2006)","plainCitation":"(Pourmand et al., 2006)"},"citationItems":[{"id":23,"uris":["http://zotero.org/users/944474/items/GTXGXSTI"],"uri":["http://zotero.org/users/944474/items/GTXGXSTI"],"itemData":{"id":23,"type":"article-journal","title":"Identification of antigenic components of Staphylococcus epidermidis expressed during human infection","container-title":"Infection and Immunity","page":"4644-4654","volume":"74","issue":"8","abstract":"A spectrum of in vivo-expressed Staphylococcus epidermidis antigens was identified by probing a bacteriophage lambda library of S. epidermidis genomic DNA with human serum from infected and uninfected individuals. This analysis resulted in identification of 53 antigen-encoding loci. Six antigenic polypeptides were expressed from these loci and purified. These polypeptides were the propeptide, mature amidase, and repeat sequence domains of the major autolysin AtlE, GehD (lipase), and two members of a conserved family of surface proteins (ScaA [AaE] and ScaB). AtlE, ScaA, and ScaB all exhibit human ligand binding capacity. Screening a bank of human serum samples revealed that there were significant increases in the amounts of reactive immunoglobulin G in infected individuals compared to the amounts in healthy individuals for the repeat sequence and mature amidase domains of AtlE, ScaB, and GehD. Vaccination of mice with recombinant antigens stimulated an immune response which in vitro opsonized S. epidermidis. In this study we identified prospective candidate antigens for prophylaxis or immunotherapy to control disease.","DOI":"10.1128/IAI.00521-06","note":"PMID: 16861652","journalAbbreviation":"Infect. Immun.","author":[{"family":"Pourmand","given":"Mohammad R"},{"family":"Clarke","given":"Simon R"},{"family":"Schuman","given":"Richard F"},{"family":"Mond","given":"James J"},{"family":"Foster","given":"Simon J"}],"issued":{"year":2006,"month":8},"accessed":{"year":2012,"month":3,"day":6},"page-first":"4644"}}],"schema":"https://github.com/citation-style-language/schema/raw/master/csl-citation.json"} </w:instrText>
            </w:r>
            <w:r>
              <w:rPr>
                <w:sz w:val="24"/>
                <w:szCs w:val="24"/>
              </w:rPr>
              <w:fldChar w:fldCharType="separate"/>
            </w:r>
            <w:r>
              <w:rPr>
                <w:sz w:val="24"/>
                <w:szCs w:val="24"/>
              </w:rPr>
              <w:t xml:space="preserve">(Pourmand </w:t>
            </w:r>
            <w:r>
              <w:rPr>
                <w:i/>
                <w:sz w:val="24"/>
                <w:szCs w:val="24"/>
              </w:rPr>
              <w:t>et al</w:t>
            </w:r>
            <w:r>
              <w:rPr>
                <w:sz w:val="24"/>
                <w:szCs w:val="24"/>
              </w:rPr>
              <w:t>., 2006)</w:t>
            </w:r>
            <w:r>
              <w:rPr>
                <w:sz w:val="24"/>
                <w:szCs w:val="24"/>
              </w:rPr>
              <w:fldChar w:fldCharType="end"/>
            </w:r>
          </w:p>
        </w:tc>
      </w:tr>
      <w:tr w:rsidR="007F78F1" w:rsidTr="007F78F1">
        <w:tc>
          <w:tcPr>
            <w:tcW w:w="81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rPr>
                <w:sz w:val="24"/>
                <w:szCs w:val="24"/>
              </w:rPr>
            </w:pPr>
            <w:r>
              <w:rPr>
                <w:sz w:val="24"/>
                <w:szCs w:val="24"/>
              </w:rPr>
              <w:t>ScaJ</w:t>
            </w:r>
          </w:p>
        </w:tc>
        <w:tc>
          <w:tcPr>
            <w:tcW w:w="18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Putative amidase</w:t>
            </w:r>
          </w:p>
        </w:tc>
        <w:tc>
          <w:tcPr>
            <w:tcW w:w="83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2295</w:t>
            </w:r>
          </w:p>
        </w:tc>
        <w:tc>
          <w:tcPr>
            <w:tcW w:w="15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fldChar w:fldCharType="begin"/>
            </w:r>
            <w:r>
              <w:rPr>
                <w:sz w:val="24"/>
                <w:szCs w:val="24"/>
              </w:rPr>
              <w:instrText xml:space="preserve"> ADDIN ZOTERO_ITEM CSL_CITATION {"citationID":"1s8hgt5838","properties":{"formattedCitation":"(Pourmand et al., 2006)","plainCitation":"(Pourmand et al., 2006)"},"citationItems":[{"id":23,"uris":["http://zotero.org/users/944474/items/GTXGXSTI"],"uri":["http://zotero.org/users/944474/items/GTXGXSTI"],"itemData":{"id":23,"type":"article-journal","title":"Identification of antigenic components of Staphylococcus epidermidis expressed during human infection","container-title":"Infection and Immunity","page":"4644-4654","volume":"74","issue":"8","abstract":"A spectrum of in vivo-expressed Staphylococcus epidermidis antigens was identified by probing a bacteriophage lambda library of S. epidermidis genomic DNA with human serum from infected and uninfected individuals. This analysis resulted in identification of 53 antigen-encoding loci. Six antigenic polypeptides were expressed from these loci and purified. These polypeptides were the propeptide, mature amidase, and repeat sequence domains of the major autolysin AtlE, GehD (lipase), and two members of a conserved family of surface proteins (ScaA [AaE] and ScaB). AtlE, ScaA, and ScaB all exhibit human ligand binding capacity. Screening a bank of human serum samples revealed that there were significant increases in the amounts of reactive immunoglobulin G in infected individuals compared to the amounts in healthy individuals for the repeat sequence and mature amidase domains of AtlE, ScaB, and GehD. Vaccination of mice with recombinant antigens stimulated an immune response which in vitro opsonized S. epidermidis. In this study we identified prospective candidate antigens for prophylaxis or immunotherapy to control disease.","DOI":"10.1128/IAI.00521-06","note":"PMID: 16861652","journalAbbreviation":"Infect. Immun.","author":[{"family":"Pourmand","given":"Mohammad R"},{"family":"Clarke","given":"Simon R"},{"family":"Schuman","given":"Richard F"},{"family":"Mond","given":"James J"},{"family":"Foster","given":"Simon J"}],"issued":{"year":2006,"month":8},"accessed":{"year":2012,"month":3,"day":6},"page-first":"4644"}}],"schema":"https://github.com/citation-style-language/schema/raw/master/csl-citation.json"} </w:instrText>
            </w:r>
            <w:r>
              <w:rPr>
                <w:sz w:val="24"/>
                <w:szCs w:val="24"/>
              </w:rPr>
              <w:fldChar w:fldCharType="separate"/>
            </w:r>
            <w:r>
              <w:rPr>
                <w:sz w:val="24"/>
                <w:szCs w:val="24"/>
              </w:rPr>
              <w:t xml:space="preserve">(Pourmand </w:t>
            </w:r>
            <w:r>
              <w:rPr>
                <w:i/>
                <w:sz w:val="24"/>
                <w:szCs w:val="24"/>
              </w:rPr>
              <w:t>et al</w:t>
            </w:r>
            <w:r>
              <w:rPr>
                <w:sz w:val="24"/>
                <w:szCs w:val="24"/>
              </w:rPr>
              <w:t>., 2006)</w:t>
            </w:r>
            <w:r>
              <w:rPr>
                <w:sz w:val="24"/>
                <w:szCs w:val="24"/>
              </w:rPr>
              <w:fldChar w:fldCharType="end"/>
            </w:r>
          </w:p>
        </w:tc>
      </w:tr>
      <w:tr w:rsidR="007F78F1" w:rsidTr="007F78F1">
        <w:tc>
          <w:tcPr>
            <w:tcW w:w="81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rPr>
                <w:sz w:val="24"/>
                <w:szCs w:val="24"/>
              </w:rPr>
            </w:pPr>
            <w:r>
              <w:rPr>
                <w:sz w:val="24"/>
                <w:szCs w:val="24"/>
              </w:rPr>
              <w:t>IsaA</w:t>
            </w:r>
          </w:p>
        </w:tc>
        <w:tc>
          <w:tcPr>
            <w:tcW w:w="18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Putative lytic transglycosylase</w:t>
            </w:r>
          </w:p>
        </w:tc>
        <w:tc>
          <w:tcPr>
            <w:tcW w:w="83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2584</w:t>
            </w:r>
          </w:p>
        </w:tc>
        <w:tc>
          <w:tcPr>
            <w:tcW w:w="15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fldChar w:fldCharType="begin"/>
            </w:r>
            <w:r>
              <w:rPr>
                <w:sz w:val="24"/>
                <w:szCs w:val="24"/>
              </w:rPr>
              <w:instrText xml:space="preserve"> ADDIN ZOTERO_ITEM CSL_CITATION {"citationID":"109elqkhue","properties":{"formattedCitation":"(Stapleton et al., 2007)","plainCitation":"(Stapleton et al., 2007)"},"citationItems":[{"id":164,"uris":["http://zotero.org/users/944474/items/TSCN2PPV"],"uri":["http://zotero.org/users/944474/items/TSCN2PPV"],"itemData":{"id":164,"type":"article-journal","title":"Characterization of IsaA and SceD, Two Putative Lytic Transglycosylases of Staphylococcus Aureus","container-title":"Journal of Bacteriology","page":"7316-7325","volume":"189","issue":"20","DOI":"10.1128/JB.00734-07","journalAbbreviation":"J. Bacteriol.","language":"en","author":[{"family":"Stapleton","given":"Melanie R."},{"family":"Horsburgh","given":"Malcolm J."},{"family":"Hayhurst","given":"Emma J."},{"family":"Wright","given":"Lynda"},{"family":"Jonsson","given":"Ing-Marie"},{"family":"Tarkowski","given":"Andrej"},{"family":"Kokai-Kun","given":"John F."},{"family":"Mond","given":"James J."},{"family":"Foster","given":"Simon J."}],"issued":{"year":2007,"month":10,"day":15},"accessed":{"year":2012,"month":5,"day":4},"page-first":"7316"}}],"schema":"https://github.com/citation-style-language/schema/raw/master/csl-citation.json"} </w:instrText>
            </w:r>
            <w:r>
              <w:rPr>
                <w:sz w:val="24"/>
                <w:szCs w:val="24"/>
              </w:rPr>
              <w:fldChar w:fldCharType="separate"/>
            </w:r>
            <w:r>
              <w:rPr>
                <w:sz w:val="24"/>
                <w:szCs w:val="24"/>
              </w:rPr>
              <w:t xml:space="preserve">(Stapleton </w:t>
            </w:r>
            <w:r>
              <w:rPr>
                <w:i/>
                <w:sz w:val="24"/>
                <w:szCs w:val="24"/>
              </w:rPr>
              <w:t>et al</w:t>
            </w:r>
            <w:r>
              <w:rPr>
                <w:sz w:val="24"/>
                <w:szCs w:val="24"/>
              </w:rPr>
              <w:t>., 2007)</w:t>
            </w:r>
            <w:r>
              <w:rPr>
                <w:sz w:val="24"/>
                <w:szCs w:val="24"/>
              </w:rPr>
              <w:fldChar w:fldCharType="end"/>
            </w:r>
            <w:r>
              <w:rPr>
                <w:sz w:val="24"/>
                <w:szCs w:val="24"/>
              </w:rPr>
              <w:fldChar w:fldCharType="begin"/>
            </w:r>
            <w:r>
              <w:rPr>
                <w:sz w:val="24"/>
                <w:szCs w:val="24"/>
              </w:rPr>
              <w:instrText xml:space="preserve"> ADDIN ZOTERO_ITEM CSL_CITATION {"citationID":"27aqhdlcug","properties":{"formattedCitation":"(Clarke et al., 2006)","plainCitation":"(Clarke et al., 2006)"},"citationItems":[{"id":75,"uris":["http://zotero.org/users/944474/items/T2I9UKF5"],"uri":["http://zotero.org/users/944474/items/T2I9UKF5"],"itemData":{"id":75,"type":"article-journal","title":"Identification of in vivo-expressed antigens of Staphylococcus aureus and their use in vaccinations for protection against nasal carriage","container-title":"The Journal of Infectious Diseases","page":"1098-1108","volume":"193","issue":"8","abstract":"A spectrum of in vivo-expressed Staphylococcus aureus antigens was identified by probing bacteriophage expression libraries of S. aureus with serum samples from infected and uninfected individuals. Eleven recombinant antigenic proteins were produced, and specific antibody titers in a large collection of human serum samples were determined. Significantly increased concentrations of reactive immunoglobulin G (IgG) to 7 antigens were found in serum samples from ill individuals, compared with those in healthy individuals. Significantly higher concentrations of reactive IgG to 4 antigens, including iron-responsive surface determinant (Isd) A and IsdH, were found in serum samples from healthy individuals who were not nasal carriers of S. aureus, compared with those in healthy carriers. Vaccination of cotton rats with IsdA or IsdH protected against nasal carriage. Also, IsdA is involved in adherence of S. aureus to human desquamated nasal epithelial cells and is required for nasal colonization in the cotton rat model. Thus, vaccination with these antigens may prevent S. aureus carriage and reduce the prevalence of human disease.","DOI":"10.1086/501471","note":"PMID: 16544250","journalAbbreviation":"J. Infect. Dis.","author":[{"family":"Clarke","given":"Simon R"},{"family":"Brummell","given":"Kirsten J"},{"family":"Horsburgh","given":"Malcolm J"},{"family":"McDowell","given":"Philip W"},{"family":"Mohamad","given":"Sharifah A Syed"},{"family":"Stapleton","given":"Melanie R"},{"family":"Acevedo","given":"Jorge"},{"family":"Read","given":"Robert C"},{"family":"Day","given":"Nicholas P J"},{"family":"Peacock","given":"Sharon J"},{"family":"Mond","given":"James J"},{"family":"Kokai-Kun","given":"John F"},{"family":"Foster","given":"Simon J"}],"issued":{"year":2006,"month":4,"day":15},"accessed":{"year":2012,"month":3,"day":7},"page-first":"1098"}}],"schema":"https://github.com/citation-style-language/schema/raw/master/csl-citation.json"} </w:instrText>
            </w:r>
            <w:r>
              <w:rPr>
                <w:sz w:val="24"/>
                <w:szCs w:val="24"/>
              </w:rPr>
              <w:fldChar w:fldCharType="end"/>
            </w:r>
          </w:p>
        </w:tc>
      </w:tr>
      <w:tr w:rsidR="007F78F1" w:rsidTr="007F78F1">
        <w:tc>
          <w:tcPr>
            <w:tcW w:w="81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rPr>
                <w:sz w:val="24"/>
                <w:szCs w:val="24"/>
              </w:rPr>
            </w:pPr>
            <w:r>
              <w:rPr>
                <w:sz w:val="24"/>
                <w:szCs w:val="24"/>
              </w:rPr>
              <w:t>LytM</w:t>
            </w:r>
          </w:p>
        </w:tc>
        <w:tc>
          <w:tcPr>
            <w:tcW w:w="18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Lysostaphin</w:t>
            </w:r>
          </w:p>
        </w:tc>
        <w:tc>
          <w:tcPr>
            <w:tcW w:w="83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0263</w:t>
            </w:r>
          </w:p>
        </w:tc>
        <w:tc>
          <w:tcPr>
            <w:tcW w:w="15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fldChar w:fldCharType="begin"/>
            </w:r>
            <w:r>
              <w:rPr>
                <w:sz w:val="24"/>
                <w:szCs w:val="24"/>
              </w:rPr>
              <w:instrText xml:space="preserve"> ADDIN ZOTERO_ITEM CSL_CITATION {"citationID":"26g1dq302j","properties":{"formattedCitation":"(Ramadurai and Jayaswal, 1997)","plainCitation":"(Ramadurai and Jayaswal, 1997)"},"citationItems":[{"id":49,"uris":["http://zotero.org/users/944474/items/THRTC72W"],"uri":["http://zotero.org/users/944474/items/THRTC72W"],"itemData":{"id":49,"type":"article-journal","title":"Molecular cloning, sequencing, and expression of lytM, a unique autolytic gene of Staphylococcus aureus","container-title":"Journal of Bacteriology","page":"3625-3631","volume":"179","issue":"11","abstract":"A gene encoding an autolytic activity was identified in an autolysis-deficient mutant (Lyt-) of Staphylococcus aureus which produces only a single band in autolytic-activity gels (N. Mani, P. Tobin, and R. K. Jayaswal, J. Bacteriol. 175:1493-1499, 1993). An open reading frame, designated lytM, of 948 bp that could encode a polypeptide of 316 amino acid residues was identified. The calculated molecular mass of the lytM gene product (34.4 kDa) corresponded to that of the autolytic activity detected (approximately 36 kDa) in the Lyt- mutant. Results deduced from amino acid sequence analysis and N-terminal amino acid sequencing data suggest that LytM is a secreted protein. The C-terminal region of the putative protein encoded by lytM showed 51% identity with the N-terminal region of the mature lysostaphin from Staphylococcus simulans and 50% identity with the N-terminal region of ALE-1 from Staphylococcus capitis EPK1. Northern blot analysis showed that lytM expresses a transcript of approximately 955 bp, as predicted from the DNA sequence. Escherichia coli clones carrying the lytM gene exhibited autolytic-activity bands of approximately 36 kDa as well as of 19 and 22 kDa in activity gels. The lytM gene was mapped to the SmaI-D fragment on the S. aureus chromosome. Mapping data and results of hybridization experiments with primers generated from gene sequences of known autolytic genes of S. aureus clearly indicate that the lytM gene is distinct from other staphylococcal autolytic genes reported to date.","note":"PMID: 9171409","journalAbbreviation":"J. Bacteriol.","author":[{"family":"Ramadurai","given":"L"},{"family":"Jayaswal","given":"R K"}],"issued":{"year":1997,"month":6},"accessed":{"year":2012,"month":3,"day":6},"page-first":"3625"}}],"schema":"https://github.com/citation-style-language/schema/raw/master/csl-citation.json"} </w:instrText>
            </w:r>
            <w:r>
              <w:rPr>
                <w:sz w:val="24"/>
                <w:szCs w:val="24"/>
              </w:rPr>
              <w:fldChar w:fldCharType="separate"/>
            </w:r>
            <w:r>
              <w:rPr>
                <w:sz w:val="24"/>
                <w:szCs w:val="24"/>
              </w:rPr>
              <w:t>(Ramadurai and Jayaswal, 1997)</w:t>
            </w:r>
            <w:r>
              <w:rPr>
                <w:sz w:val="24"/>
                <w:szCs w:val="24"/>
              </w:rPr>
              <w:fldChar w:fldCharType="end"/>
            </w:r>
          </w:p>
        </w:tc>
      </w:tr>
      <w:tr w:rsidR="007F78F1" w:rsidTr="007F78F1">
        <w:tc>
          <w:tcPr>
            <w:tcW w:w="81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rPr>
                <w:sz w:val="24"/>
                <w:szCs w:val="24"/>
              </w:rPr>
            </w:pPr>
            <w:r>
              <w:rPr>
                <w:sz w:val="24"/>
                <w:szCs w:val="24"/>
              </w:rPr>
              <w:t>LytN</w:t>
            </w:r>
          </w:p>
        </w:tc>
        <w:tc>
          <w:tcPr>
            <w:tcW w:w="18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Amidase/Endopeptidase</w:t>
            </w:r>
          </w:p>
        </w:tc>
        <w:tc>
          <w:tcPr>
            <w:tcW w:w="83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1264</w:t>
            </w:r>
          </w:p>
        </w:tc>
        <w:tc>
          <w:tcPr>
            <w:tcW w:w="15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fldChar w:fldCharType="begin"/>
            </w:r>
            <w:r>
              <w:rPr>
                <w:sz w:val="24"/>
                <w:szCs w:val="24"/>
              </w:rPr>
              <w:instrText xml:space="preserve"> ADDIN ZOTERO_ITEM CSL_CITATION {"citationID":"270s05h6vm","properties":{"formattedCitation":"(Sugai et al., 1998)","plainCitation":"(Sugai et al., 1998)"},"citationItems":[{"id":52,"uris":["http://zotero.org/users/944474/items/X2WBSIZ9"],"uri":["http://zotero.org/users/944474/items/X2WBSIZ9"],"itemData":{"id":52,"type":"article-journal","title":"Identification and molecular characterization of a gene homologous to epr (endopeptidase resistance gene) in Staphylococcus aureus","container-title":"Gene","page":"67-75","volume":"224","issue":"1-2","abstract":"Certain Staphylococci possess a gene called epr or lif that renders the cells resistant to lysis by glycylglycine endopeptidase. The resistance is conferred by modifying the amino acid composition of interpeptide chains in cell-wall peptidoglycan by increasing serine content and decreasing glycine content. A gene homologous to epr/lif was cloned from S. aureus RN450 genomic libraries and designated eprh. eprh was found to localize 27bp downstream of a novel cell-wall hydrolase gene lytN, which is in the same orientation with eprh. By analogy with epr/lif, eprh is suggested to be involved in the transfer of certain amino acids, possibly serine or amino acids other than glycine, to interpeptide chains of cell-wall peptidoglycan. Unlike epr/lif, overexpression of eprh in S. aureus did not result in an increased resistance to lysostaphin. Insertional inactivation of eprh or lytN by Campbell-type integration did not affect the susceptibility of the cells to lysostaphin, either. These results suggest that eprh and lytN are not essential genes for S. aureus growth. The physiological function of eprh remains unknown.","note":"PMID: 9931440","journalAbbreviation":"Gene","author":[{"family":"Sugai","given":"M"},{"family":"Fujiwara","given":"T"},{"family":"Komatsuzawa","given":"H"},{"family":"SuginakaH","given":""}],"issued":{"year":1998,"month":12,"day":11},"accessed":{"year":2012,"month":3,"day":6},"page-first":"67"}}],"schema":"https://github.com/citation-style-language/schema/raw/master/csl-citation.json"} </w:instrText>
            </w:r>
            <w:r>
              <w:rPr>
                <w:sz w:val="24"/>
                <w:szCs w:val="24"/>
              </w:rPr>
              <w:fldChar w:fldCharType="end"/>
            </w:r>
            <w:r>
              <w:rPr>
                <w:sz w:val="24"/>
                <w:szCs w:val="24"/>
              </w:rPr>
              <w:fldChar w:fldCharType="begin"/>
            </w:r>
            <w:r>
              <w:rPr>
                <w:sz w:val="24"/>
                <w:szCs w:val="24"/>
              </w:rPr>
              <w:instrText xml:space="preserve"> ADDIN ZOTERO_ITEM CSL_CITATION {"citationID":"2hg8d65ts5","properties":{"formattedCitation":"(Sugai et al., 1998; Frankel et al., 2011)","plainCitation":"(Sugai et al., 1998; Frankel et al., 2011)"},"citationItems":[{"id":52,"uris":["http://zotero.org/users/944474/items/X2WBSIZ9"],"uri":["http://zotero.org/users/944474/items/X2WBSIZ9"],"itemData":{"id":52,"type":"article-journal","title":"Identification and molecular characterization of a gene homologous to epr (endopeptidase resistance gene) in Staphylococcus aureus","container-title":"Gene","page":"67-75","volume":"224","issue":"1-2","abstract":"Certain Staphylococci possess a gene called epr or lif that renders the cells resistant to lysis by glycylglycine endopeptidase. The resistance is conferred by modifying the amino acid composition of interpeptide chains in cell-wall peptidoglycan by increasing serine content and decreasing glycine content. A gene homologous to epr/lif was cloned from S. aureus RN450 genomic libraries and designated eprh. eprh was found to localize 27bp downstream of a novel cell-wall hydrolase gene lytN, which is in the same orientation with eprh. By analogy with epr/lif, eprh is suggested to be involved in the transfer of certain amino acids, possibly serine or amino acids other than glycine, to interpeptide chains of cell-wall peptidoglycan. Unlike epr/lif, overexpression of eprh in S. aureus did not result in an increased resistance to lysostaphin. Insertional inactivation of eprh or lytN by Campbell-type integration did not affect the susceptibility of the cells to lysostaphin, either. These results suggest that eprh and lytN are not essential genes for S. aureus growth. The physiological function of eprh remains unknown.","note":"PMID: 9931440","journalAbbreviation":"Gene","author":[{"family":"Sugai","given":"M"},{"family":"Fujiwara","given":"T"},{"family":"Komatsuzawa","given":"H"},{"family":"SuginakaH","given":""}],"issued":{"year":1998,"month":12,"day":11},"accessed":{"year":2012,"month":3,"day":6},"page-first":"67"}},{"id":78,"uris":["http://zotero.org/users/944474/items/WW8BWZPB"],"uri":["http://zotero.org/users/944474/items/WW8BWZPB"],"itemData":{"id":78,"type":"article-journal","title":"LytN, a murein hydrolase in the cross-wall compartment of Staphylococcus aureus, is involved in proper bacterial growth and envelope assembly","container-title":"The Journal of Biological Chemistry","page":"32593-32605","volume":"286","issue":"37","abstract":"Cell cycle progression for the spherical microbe Staphylococcus aureus requires the coordinated synthesis and remodeling of peptidoglycan. The majority of these rearrangements takes place at the mid-cell, in a compartment designated the cross-wall. Secreted polypeptides endowed with a YSIRK-G/S signal peptide are directly delivered to the cross-wall compartment. One such YSIRK-containing protein is the murein hydrolase LytN. lytN mutations precipitate structural damage to the cross-wall and interfere with staphylococcal growth. Overexpression of lytN also affects growth and triggers rupture of the cross-wall. The lytN phenotype can be reversed by the controlled expression of lytN but not by adding purified LytN to staphylococcal cultures. LytN harbors LysM and CHAP domains, the latter of which functions as both an N-acetylmuramoyl-L-alanine amidase and D-alanyl-glycine endopeptidase. Thus, LytN secretion into the cross-wall promotes peptidoglycan separation and completion of the staphylococcal cell cycle.","DOI":"10.1074/jbc.M111.258863","note":"PMID: 21784864","journalAbbreviation":"J. Biol. Chem.","author":[{"family":"Frankel","given":"Matthew B"},{"family":"Hendrickx","given":"Antoni P A"},{"family":"Missiakas","given":"Dominique M"},{"family":"Schneewind","given":"Olaf"}],"issued":{"year":2011,"month":9,"day":16},"accessed":{"year":2012,"month":3,"day":8},"page-first":"32593"}}],"schema":"https://github.com/citation-style-language/schema/raw/master/csl-citation.json"} </w:instrText>
            </w:r>
            <w:r>
              <w:rPr>
                <w:sz w:val="24"/>
                <w:szCs w:val="24"/>
              </w:rPr>
              <w:fldChar w:fldCharType="separate"/>
            </w:r>
            <w:r>
              <w:rPr>
                <w:sz w:val="24"/>
                <w:szCs w:val="24"/>
              </w:rPr>
              <w:t xml:space="preserve">(Sugai </w:t>
            </w:r>
            <w:r>
              <w:rPr>
                <w:i/>
                <w:sz w:val="24"/>
                <w:szCs w:val="24"/>
              </w:rPr>
              <w:t>et al</w:t>
            </w:r>
            <w:r>
              <w:rPr>
                <w:sz w:val="24"/>
                <w:szCs w:val="24"/>
              </w:rPr>
              <w:t xml:space="preserve">., 1998; Frankel </w:t>
            </w:r>
            <w:r>
              <w:rPr>
                <w:i/>
                <w:sz w:val="24"/>
                <w:szCs w:val="24"/>
              </w:rPr>
              <w:t>et al</w:t>
            </w:r>
            <w:r>
              <w:rPr>
                <w:sz w:val="24"/>
                <w:szCs w:val="24"/>
              </w:rPr>
              <w:t>., 2011)</w:t>
            </w:r>
            <w:r>
              <w:rPr>
                <w:sz w:val="24"/>
                <w:szCs w:val="24"/>
              </w:rPr>
              <w:fldChar w:fldCharType="end"/>
            </w:r>
            <w:r>
              <w:rPr>
                <w:sz w:val="24"/>
                <w:szCs w:val="24"/>
              </w:rPr>
              <w:t xml:space="preserve"> </w:t>
            </w:r>
          </w:p>
        </w:tc>
      </w:tr>
      <w:tr w:rsidR="007F78F1" w:rsidTr="007F78F1">
        <w:tc>
          <w:tcPr>
            <w:tcW w:w="81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rPr>
                <w:sz w:val="24"/>
                <w:szCs w:val="24"/>
              </w:rPr>
            </w:pPr>
            <w:r>
              <w:rPr>
                <w:sz w:val="24"/>
                <w:szCs w:val="24"/>
              </w:rPr>
              <w:t>SceD</w:t>
            </w:r>
          </w:p>
        </w:tc>
        <w:tc>
          <w:tcPr>
            <w:tcW w:w="18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Putative lytic transglycosylase</w:t>
            </w:r>
          </w:p>
        </w:tc>
        <w:tc>
          <w:tcPr>
            <w:tcW w:w="83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2088</w:t>
            </w:r>
          </w:p>
        </w:tc>
        <w:tc>
          <w:tcPr>
            <w:tcW w:w="15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fldChar w:fldCharType="begin"/>
            </w:r>
            <w:r>
              <w:rPr>
                <w:sz w:val="24"/>
                <w:szCs w:val="24"/>
              </w:rPr>
              <w:instrText xml:space="preserve"> ADDIN ZOTERO_ITEM CSL_CITATION {"citationID":"1ifk28ams7","properties":{"formattedCitation":"(Stapleton et al., 2007)","plainCitation":"(Stapleton et al., 2007)"},"citationItems":[{"id":164,"uris":["http://zotero.org/users/944474/items/TSCN2PPV"],"uri":["http://zotero.org/users/944474/items/TSCN2PPV"],"itemData":{"id":164,"type":"article-journal","title":"Characterization of IsaA and SceD, Two Putative Lytic Transglycosylases of Staphylococcus Aureus","container-title":"Journal of Bacteriology","page":"7316-7325","volume":"189","issue":"20","DOI":"10.1128/JB.00734-07","journalAbbreviation":"J. Bacteriol.","language":"en","author":[{"family":"Stapleton","given":"Melanie R."},{"family":"Horsburgh","given":"Malcolm J."},{"family":"Hayhurst","given":"Emma J."},{"family":"Wright","given":"Lynda"},{"family":"Jonsson","given":"Ing-Marie"},{"family":"Tarkowski","given":"Andrej"},{"family":"Kokai-Kun","given":"John F."},{"family":"Mond","given":"James J."},{"family":"Foster","given":"Simon J."}],"issued":{"year":2007,"month":10,"day":15},"accessed":{"year":2012,"month":5,"day":4},"page-first":"7316"}}],"schema":"https://github.com/citation-style-language/schema/raw/master/csl-citation.json"} </w:instrText>
            </w:r>
            <w:r>
              <w:rPr>
                <w:sz w:val="24"/>
                <w:szCs w:val="24"/>
              </w:rPr>
              <w:fldChar w:fldCharType="separate"/>
            </w:r>
            <w:r>
              <w:rPr>
                <w:sz w:val="24"/>
                <w:szCs w:val="24"/>
              </w:rPr>
              <w:t xml:space="preserve">(Stapleton </w:t>
            </w:r>
            <w:r>
              <w:rPr>
                <w:i/>
                <w:sz w:val="24"/>
                <w:szCs w:val="24"/>
              </w:rPr>
              <w:t>et al</w:t>
            </w:r>
            <w:r>
              <w:rPr>
                <w:sz w:val="24"/>
                <w:szCs w:val="24"/>
              </w:rPr>
              <w:t>., 2007)</w:t>
            </w:r>
            <w:r>
              <w:rPr>
                <w:sz w:val="24"/>
                <w:szCs w:val="24"/>
              </w:rPr>
              <w:fldChar w:fldCharType="end"/>
            </w:r>
          </w:p>
        </w:tc>
      </w:tr>
      <w:tr w:rsidR="007F78F1" w:rsidTr="007F78F1">
        <w:tc>
          <w:tcPr>
            <w:tcW w:w="81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rPr>
                <w:sz w:val="24"/>
                <w:szCs w:val="24"/>
              </w:rPr>
            </w:pPr>
            <w:r>
              <w:rPr>
                <w:sz w:val="24"/>
                <w:szCs w:val="24"/>
              </w:rPr>
              <w:t>SA0191</w:t>
            </w:r>
          </w:p>
        </w:tc>
        <w:tc>
          <w:tcPr>
            <w:tcW w:w="18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Putative lysostaphin</w:t>
            </w:r>
          </w:p>
          <w:p w:rsidR="007F78F1" w:rsidRDefault="007F78F1">
            <w:pPr>
              <w:spacing w:before="60" w:after="60"/>
              <w:jc w:val="center"/>
              <w:rPr>
                <w:sz w:val="24"/>
                <w:szCs w:val="24"/>
              </w:rPr>
            </w:pPr>
            <w:r>
              <w:rPr>
                <w:sz w:val="24"/>
                <w:szCs w:val="24"/>
              </w:rPr>
              <w:t>LytM (46%, 102 aa)†</w:t>
            </w:r>
          </w:p>
        </w:tc>
        <w:tc>
          <w:tcPr>
            <w:tcW w:w="83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0191</w:t>
            </w:r>
          </w:p>
        </w:tc>
        <w:tc>
          <w:tcPr>
            <w:tcW w:w="1529" w:type="pct"/>
            <w:tcBorders>
              <w:top w:val="single" w:sz="4" w:space="0" w:color="auto"/>
              <w:left w:val="single" w:sz="4" w:space="0" w:color="auto"/>
              <w:bottom w:val="single" w:sz="4" w:space="0" w:color="auto"/>
              <w:right w:val="single" w:sz="4" w:space="0" w:color="auto"/>
            </w:tcBorders>
          </w:tcPr>
          <w:p w:rsidR="007F78F1" w:rsidRDefault="007F78F1">
            <w:pPr>
              <w:spacing w:before="60" w:after="60"/>
              <w:rPr>
                <w:sz w:val="24"/>
                <w:szCs w:val="24"/>
              </w:rPr>
            </w:pPr>
          </w:p>
        </w:tc>
      </w:tr>
      <w:tr w:rsidR="007F78F1" w:rsidTr="007F78F1">
        <w:tc>
          <w:tcPr>
            <w:tcW w:w="81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rPr>
                <w:sz w:val="24"/>
                <w:szCs w:val="24"/>
              </w:rPr>
            </w:pPr>
            <w:r>
              <w:rPr>
                <w:sz w:val="24"/>
                <w:szCs w:val="24"/>
              </w:rPr>
              <w:t>SA1687</w:t>
            </w:r>
          </w:p>
        </w:tc>
        <w:tc>
          <w:tcPr>
            <w:tcW w:w="18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Putative amidase</w:t>
            </w:r>
          </w:p>
          <w:p w:rsidR="007F78F1" w:rsidRDefault="007F78F1">
            <w:pPr>
              <w:spacing w:before="60" w:after="60"/>
              <w:jc w:val="center"/>
              <w:rPr>
                <w:sz w:val="24"/>
                <w:szCs w:val="24"/>
              </w:rPr>
            </w:pPr>
            <w:r>
              <w:rPr>
                <w:sz w:val="24"/>
                <w:szCs w:val="24"/>
              </w:rPr>
              <w:t>LytC (</w:t>
            </w:r>
            <w:r>
              <w:rPr>
                <w:i/>
                <w:sz w:val="24"/>
                <w:szCs w:val="24"/>
              </w:rPr>
              <w:t>B.subtilis</w:t>
            </w:r>
            <w:r>
              <w:rPr>
                <w:sz w:val="24"/>
                <w:szCs w:val="24"/>
              </w:rPr>
              <w:t>)†</w:t>
            </w:r>
          </w:p>
        </w:tc>
        <w:tc>
          <w:tcPr>
            <w:tcW w:w="83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1687</w:t>
            </w:r>
          </w:p>
        </w:tc>
        <w:tc>
          <w:tcPr>
            <w:tcW w:w="1529" w:type="pct"/>
            <w:tcBorders>
              <w:top w:val="single" w:sz="4" w:space="0" w:color="auto"/>
              <w:left w:val="single" w:sz="4" w:space="0" w:color="auto"/>
              <w:bottom w:val="single" w:sz="4" w:space="0" w:color="auto"/>
              <w:right w:val="single" w:sz="4" w:space="0" w:color="auto"/>
            </w:tcBorders>
          </w:tcPr>
          <w:p w:rsidR="007F78F1" w:rsidRDefault="007F78F1">
            <w:pPr>
              <w:spacing w:before="60" w:after="60"/>
              <w:rPr>
                <w:sz w:val="24"/>
                <w:szCs w:val="24"/>
              </w:rPr>
            </w:pPr>
          </w:p>
        </w:tc>
      </w:tr>
      <w:tr w:rsidR="007F78F1" w:rsidTr="007F78F1">
        <w:tc>
          <w:tcPr>
            <w:tcW w:w="81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rPr>
                <w:sz w:val="24"/>
                <w:szCs w:val="24"/>
              </w:rPr>
            </w:pPr>
            <w:r>
              <w:rPr>
                <w:sz w:val="24"/>
                <w:szCs w:val="24"/>
              </w:rPr>
              <w:t>SA2195</w:t>
            </w:r>
          </w:p>
        </w:tc>
        <w:tc>
          <w:tcPr>
            <w:tcW w:w="1829"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 xml:space="preserve">Putative lysostaphin </w:t>
            </w:r>
          </w:p>
          <w:p w:rsidR="007F78F1" w:rsidRDefault="007F78F1">
            <w:pPr>
              <w:spacing w:before="60" w:after="60"/>
              <w:jc w:val="center"/>
              <w:rPr>
                <w:sz w:val="24"/>
                <w:szCs w:val="24"/>
              </w:rPr>
            </w:pPr>
            <w:r>
              <w:rPr>
                <w:sz w:val="24"/>
                <w:szCs w:val="24"/>
              </w:rPr>
              <w:t>LytM (36%, 90 aa)†</w:t>
            </w:r>
          </w:p>
        </w:tc>
        <w:tc>
          <w:tcPr>
            <w:tcW w:w="831" w:type="pct"/>
            <w:tcBorders>
              <w:top w:val="single" w:sz="4" w:space="0" w:color="auto"/>
              <w:left w:val="single" w:sz="4" w:space="0" w:color="auto"/>
              <w:bottom w:val="single" w:sz="4" w:space="0" w:color="auto"/>
              <w:right w:val="single" w:sz="4" w:space="0" w:color="auto"/>
            </w:tcBorders>
            <w:hideMark/>
          </w:tcPr>
          <w:p w:rsidR="007F78F1" w:rsidRDefault="007F78F1">
            <w:pPr>
              <w:spacing w:before="60" w:after="60"/>
              <w:jc w:val="center"/>
              <w:rPr>
                <w:sz w:val="24"/>
                <w:szCs w:val="24"/>
              </w:rPr>
            </w:pPr>
            <w:r>
              <w:rPr>
                <w:sz w:val="24"/>
                <w:szCs w:val="24"/>
              </w:rPr>
              <w:t>2195</w:t>
            </w:r>
          </w:p>
        </w:tc>
        <w:tc>
          <w:tcPr>
            <w:tcW w:w="1529" w:type="pct"/>
            <w:tcBorders>
              <w:top w:val="single" w:sz="4" w:space="0" w:color="auto"/>
              <w:left w:val="single" w:sz="4" w:space="0" w:color="auto"/>
              <w:bottom w:val="single" w:sz="4" w:space="0" w:color="auto"/>
              <w:right w:val="single" w:sz="4" w:space="0" w:color="auto"/>
            </w:tcBorders>
          </w:tcPr>
          <w:p w:rsidR="007F78F1" w:rsidRDefault="007F78F1">
            <w:pPr>
              <w:spacing w:before="60" w:after="60"/>
              <w:rPr>
                <w:sz w:val="24"/>
                <w:szCs w:val="24"/>
              </w:rPr>
            </w:pPr>
          </w:p>
        </w:tc>
      </w:tr>
    </w:tbl>
    <w:p w:rsidR="007F78F1" w:rsidRDefault="007F78F1" w:rsidP="007F78F1">
      <w:pPr>
        <w:spacing w:after="120" w:line="360" w:lineRule="auto"/>
        <w:jc w:val="both"/>
        <w:rPr>
          <w:rFonts w:ascii="Times New Roman" w:hAnsi="Times New Roman" w:cs="Times New Roman"/>
          <w:b/>
          <w:bCs/>
          <w:sz w:val="24"/>
          <w:szCs w:val="24"/>
        </w:rPr>
      </w:pPr>
    </w:p>
    <w:p w:rsidR="007F78F1" w:rsidRDefault="007F78F1" w:rsidP="007F78F1">
      <w:pPr>
        <w:spacing w:after="120" w:line="360" w:lineRule="auto"/>
        <w:jc w:val="both"/>
        <w:rPr>
          <w:rFonts w:ascii="Times New Roman" w:hAnsi="Times New Roman" w:cs="Times New Roman"/>
          <w:bCs/>
          <w:sz w:val="24"/>
          <w:szCs w:val="24"/>
        </w:rPr>
      </w:pPr>
      <w:proofErr w:type="gramStart"/>
      <w:r>
        <w:rPr>
          <w:rFonts w:ascii="Times New Roman" w:hAnsi="Times New Roman" w:cs="Times New Roman"/>
          <w:b/>
          <w:bCs/>
          <w:sz w:val="24"/>
          <w:szCs w:val="24"/>
        </w:rPr>
        <w:t>Table 5.1.</w:t>
      </w:r>
      <w:proofErr w:type="gramEnd"/>
      <w:r>
        <w:rPr>
          <w:rFonts w:ascii="Times New Roman" w:hAnsi="Times New Roman" w:cs="Times New Roman"/>
          <w:b/>
          <w:bCs/>
          <w:sz w:val="24"/>
          <w:szCs w:val="24"/>
        </w:rPr>
        <w:t xml:space="preserve"> </w:t>
      </w:r>
      <w:r>
        <w:rPr>
          <w:rFonts w:ascii="Times New Roman" w:hAnsi="Times New Roman" w:cs="Times New Roman"/>
          <w:b/>
          <w:sz w:val="24"/>
          <w:szCs w:val="24"/>
        </w:rPr>
        <w:t xml:space="preserve">Putative autolysins identified by an </w:t>
      </w:r>
      <w:r>
        <w:rPr>
          <w:rFonts w:ascii="Times New Roman" w:hAnsi="Times New Roman" w:cs="Times New Roman"/>
          <w:b/>
          <w:i/>
          <w:sz w:val="24"/>
          <w:szCs w:val="24"/>
        </w:rPr>
        <w:t>in silico</w:t>
      </w:r>
      <w:r>
        <w:rPr>
          <w:rFonts w:ascii="Times New Roman" w:hAnsi="Times New Roman" w:cs="Times New Roman"/>
          <w:b/>
          <w:sz w:val="24"/>
          <w:szCs w:val="24"/>
        </w:rPr>
        <w:t xml:space="preserve"> screen of the </w:t>
      </w:r>
      <w:r>
        <w:rPr>
          <w:rFonts w:ascii="Times New Roman" w:hAnsi="Times New Roman" w:cs="Times New Roman"/>
          <w:b/>
          <w:i/>
          <w:sz w:val="24"/>
          <w:szCs w:val="24"/>
        </w:rPr>
        <w:t xml:space="preserve">S. aureus </w:t>
      </w:r>
      <w:r>
        <w:rPr>
          <w:rFonts w:ascii="Times New Roman" w:hAnsi="Times New Roman" w:cs="Times New Roman"/>
          <w:b/>
          <w:sz w:val="24"/>
          <w:szCs w:val="24"/>
        </w:rPr>
        <w:t>COL genome</w:t>
      </w:r>
      <w:r>
        <w:rPr>
          <w:rFonts w:ascii="Times New Roman" w:hAnsi="Times New Roman" w:cs="Times New Roman"/>
          <w:sz w:val="24"/>
          <w:szCs w:val="24"/>
        </w:rPr>
        <w:t xml:space="preserve">. Putative hydrolase class is indicated based on highest homology scores to characterised autolysins. (†) Putative activity based on homology to the stated autolysin of known activity. Table </w:t>
      </w:r>
      <w:r>
        <w:rPr>
          <w:rFonts w:ascii="Times New Roman" w:hAnsi="Times New Roman" w:cs="Times New Roman"/>
          <w:color w:val="000000" w:themeColor="text1"/>
          <w:sz w:val="24"/>
          <w:szCs w:val="24"/>
        </w:rPr>
        <w:t xml:space="preserve">adapted from: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{"citationID":"2av07s1lp0","properties":{"formattedCitation":"(Hayhurst, 2006; Mohamad, 2007)","plainCitation":"(Hayhurst, 2006; Mohamad, 2007)"},"citationItems":[{"id":162,"uris":["http://zotero.org/users/944474/items/HJXN4FCN"],"uri":["http://zotero.org/users/944474/items/HJXN4FCN"],"itemData":{"id":162,"type":"thesis","title":"Peptidoglycan structure and dynamics in Gram positive bacteria","publisher":"University of Sheffield","author":[{"family":"Hayhurst","given":"Emma J"}],"issued":{"year":2006,"month":7}}},{"id":163,"uris":["http://zotero.org/users/944474/items/4H9DMNJK"],"uri":["http://zotero.org/users/944474/items/4H9DMNJK"],"itemData":{"id":163,"type":"thesis","title":"Analysis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(Hayhurst, 2006; Mohamad, 2007)</w:t>
      </w:r>
      <w:r>
        <w:rPr>
          <w:rFonts w:ascii="Times New Roman" w:hAnsi="Times New Roman" w:cs="Times New Roman"/>
          <w:color w:val="000000" w:themeColor="text1"/>
          <w:sz w:val="24"/>
          <w:szCs w:val="24"/>
        </w:rPr>
        <w:fldChar w:fldCharType="end"/>
      </w:r>
      <w:r>
        <w:rPr>
          <w:rFonts w:ascii="Times New Roman" w:hAnsi="Times New Roman" w:cs="Times New Roman"/>
          <w:sz w:val="24"/>
          <w:szCs w:val="24"/>
        </w:rPr>
        <w:t>.</w:t>
      </w:r>
      <w:r>
        <w:rPr>
          <w:rFonts w:ascii="Times New Roman" w:hAnsi="Times New Roman" w:cs="Times New Roman"/>
          <w:bCs/>
          <w:sz w:val="24"/>
          <w:szCs w:val="24"/>
        </w:rPr>
        <w:br w:type="page"/>
      </w:r>
    </w:p>
    <w:p w:rsidR="007F78F1" w:rsidRDefault="007F78F1" w:rsidP="007F78F1">
      <w:pPr>
        <w:rPr>
          <w:rFonts w:ascii="Times New Roman" w:hAnsi="Times New Roman" w:cs="Times New Roman"/>
          <w:bCs/>
          <w:sz w:val="28"/>
          <w:szCs w:val="28"/>
        </w:rPr>
      </w:pPr>
      <w:r>
        <w:rPr>
          <w:rFonts w:ascii="Times New Roman" w:hAnsi="Times New Roman" w:cs="Times New Roman"/>
          <w:noProof/>
          <w:sz w:val="28"/>
          <w:szCs w:val="28"/>
          <w:lang w:eastAsia="en-GB"/>
        </w:rPr>
        <w:lastRenderedPageBreak/>
        <w:drawing>
          <wp:inline distT="0" distB="0" distL="0" distR="0">
            <wp:extent cx="5272405" cy="3087370"/>
            <wp:effectExtent l="0" t="0" r="4445" b="0"/>
            <wp:docPr id="103" name="Picture 11" descr="Figure 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ure 5.3.png"/>
                    <pic:cNvPicPr>
                      <a:picLocks noChangeAspect="1" noChangeArrowheads="1"/>
                    </pic:cNvPicPr>
                  </pic:nvPicPr>
                  <pic:blipFill>
                    <a:blip r:embed="rId87" cstate="print"/>
                    <a:srcRect/>
                    <a:stretch>
                      <a:fillRect/>
                    </a:stretch>
                  </pic:blipFill>
                  <pic:spPr bwMode="auto">
                    <a:xfrm>
                      <a:off x="0" y="0"/>
                      <a:ext cx="5272405" cy="3087370"/>
                    </a:xfrm>
                    <a:prstGeom prst="rect">
                      <a:avLst/>
                    </a:prstGeom>
                    <a:noFill/>
                    <a:ln w="9525">
                      <a:noFill/>
                      <a:miter lim="800000"/>
                      <a:headEnd/>
                      <a:tailEnd/>
                    </a:ln>
                  </pic:spPr>
                </pic:pic>
              </a:graphicData>
            </a:graphic>
          </wp:inline>
        </w:drawing>
      </w:r>
    </w:p>
    <w:p w:rsidR="007F78F1" w:rsidRDefault="007F78F1" w:rsidP="007F78F1">
      <w:pPr>
        <w:rPr>
          <w:rFonts w:ascii="Times New Roman" w:hAnsi="Times New Roman" w:cs="Times New Roman"/>
          <w:bCs/>
          <w:sz w:val="24"/>
          <w:szCs w:val="24"/>
        </w:rPr>
      </w:pPr>
    </w:p>
    <w:p w:rsidR="007F78F1" w:rsidRDefault="007F78F1" w:rsidP="007F78F1">
      <w:pPr>
        <w:spacing w:line="360" w:lineRule="auto"/>
        <w:jc w:val="both"/>
        <w:rPr>
          <w:rFonts w:ascii="Times New Roman" w:hAnsi="Times New Roman" w:cs="Times New Roman"/>
          <w:bCs/>
          <w:sz w:val="24"/>
          <w:szCs w:val="24"/>
        </w:rPr>
      </w:pPr>
      <w:proofErr w:type="gramStart"/>
      <w:r>
        <w:rPr>
          <w:rFonts w:ascii="Times New Roman" w:hAnsi="Times New Roman" w:cs="Times New Roman"/>
          <w:b/>
          <w:bCs/>
          <w:sz w:val="24"/>
          <w:szCs w:val="24"/>
        </w:rPr>
        <w:t>Figure 5.3.</w:t>
      </w:r>
      <w:proofErr w:type="gramEnd"/>
      <w:r>
        <w:rPr>
          <w:rFonts w:ascii="Times New Roman" w:hAnsi="Times New Roman" w:cs="Times New Roman"/>
          <w:b/>
          <w:bCs/>
          <w:sz w:val="24"/>
          <w:szCs w:val="24"/>
        </w:rPr>
        <w:t xml:space="preserve"> Overexpression of recombinant </w:t>
      </w:r>
      <w:proofErr w:type="gramStart"/>
      <w:r>
        <w:rPr>
          <w:rFonts w:ascii="Times New Roman" w:hAnsi="Times New Roman" w:cs="Times New Roman"/>
          <w:b/>
          <w:bCs/>
          <w:sz w:val="24"/>
          <w:szCs w:val="24"/>
        </w:rPr>
        <w:t>Atl(</w:t>
      </w:r>
      <w:proofErr w:type="gramEnd"/>
      <w:r>
        <w:rPr>
          <w:rFonts w:ascii="Times New Roman" w:hAnsi="Times New Roman" w:cs="Times New Roman"/>
          <w:b/>
          <w:bCs/>
          <w:sz w:val="24"/>
          <w:szCs w:val="24"/>
        </w:rPr>
        <w:t xml:space="preserve">glu) and SagB proteins. </w:t>
      </w:r>
      <w:r>
        <w:rPr>
          <w:rFonts w:ascii="Times New Roman" w:hAnsi="Times New Roman" w:cs="Times New Roman"/>
          <w:bCs/>
          <w:sz w:val="24"/>
          <w:szCs w:val="24"/>
        </w:rPr>
        <w:t xml:space="preserve">(A) Left; SDS-PAGE analysis of total protein from whole cell lysates showing overexpression and solubility of </w:t>
      </w:r>
      <w:proofErr w:type="gramStart"/>
      <w:r>
        <w:rPr>
          <w:rFonts w:ascii="Times New Roman" w:hAnsi="Times New Roman" w:cs="Times New Roman"/>
          <w:bCs/>
          <w:sz w:val="24"/>
          <w:szCs w:val="24"/>
        </w:rPr>
        <w:t>rAtl(</w:t>
      </w:r>
      <w:proofErr w:type="gramEnd"/>
      <w:r>
        <w:rPr>
          <w:rFonts w:ascii="Times New Roman" w:hAnsi="Times New Roman" w:cs="Times New Roman"/>
          <w:bCs/>
          <w:sz w:val="24"/>
          <w:szCs w:val="24"/>
        </w:rPr>
        <w:t xml:space="preserve">glu) protein. Right; SDS-PAGE analysis of HiTrap purified </w:t>
      </w:r>
      <w:proofErr w:type="gramStart"/>
      <w:r>
        <w:rPr>
          <w:rFonts w:ascii="Times New Roman" w:hAnsi="Times New Roman" w:cs="Times New Roman"/>
          <w:bCs/>
          <w:sz w:val="24"/>
          <w:szCs w:val="24"/>
        </w:rPr>
        <w:t>rAtl(</w:t>
      </w:r>
      <w:proofErr w:type="gramEnd"/>
      <w:r>
        <w:rPr>
          <w:rFonts w:ascii="Times New Roman" w:hAnsi="Times New Roman" w:cs="Times New Roman"/>
          <w:bCs/>
          <w:sz w:val="24"/>
          <w:szCs w:val="24"/>
        </w:rPr>
        <w:t xml:space="preserve">glu). A 5 ml HiTrap Chelating HP column (GE Healthcare) was used. Numbered lanes are fractions of purified material collected as they eluted from the HiTrap column. Purification of soluble </w:t>
      </w:r>
      <w:proofErr w:type="gramStart"/>
      <w:r>
        <w:rPr>
          <w:rFonts w:ascii="Times New Roman" w:hAnsi="Times New Roman" w:cs="Times New Roman"/>
          <w:bCs/>
          <w:sz w:val="24"/>
          <w:szCs w:val="24"/>
        </w:rPr>
        <w:t>rAtl(</w:t>
      </w:r>
      <w:proofErr w:type="gramEnd"/>
      <w:r>
        <w:rPr>
          <w:rFonts w:ascii="Times New Roman" w:hAnsi="Times New Roman" w:cs="Times New Roman"/>
          <w:bCs/>
          <w:sz w:val="24"/>
          <w:szCs w:val="24"/>
        </w:rPr>
        <w:t>glu) protein was evidenced by a high-yield band of 52 kDa. (B) Left; SDS-PAGE analysis of total protein from whole cell lysates, showing overexpression and solubility of rSagB. Right; SDS-PAGE analysis of rSagB fractions eluted from a HiTrap column. Purification of rSagB from the insoluble fraction was evidenced by a high-yield band of 32 kDa. Pre, total protein expression pre-IPTG induction; Post, total protein expression 4 hours post IPTG induction; Sol, soluble fraction; Insol, insoluble fraction. Protein bands were visualised using coomassie blue stain.</w:t>
      </w:r>
    </w:p>
    <w:p w:rsidR="007F78F1" w:rsidRDefault="007F78F1" w:rsidP="007F78F1">
      <w:pPr>
        <w:rPr>
          <w:rFonts w:ascii="Times New Roman" w:hAnsi="Times New Roman" w:cs="Times New Roman"/>
          <w:b/>
          <w:sz w:val="24"/>
          <w:szCs w:val="24"/>
        </w:rPr>
      </w:pPr>
      <w:r>
        <w:rPr>
          <w:rFonts w:ascii="Times New Roman" w:hAnsi="Times New Roman" w:cs="Times New Roman"/>
          <w:b/>
          <w:sz w:val="24"/>
          <w:szCs w:val="24"/>
        </w:rPr>
        <w:br w:type="page"/>
      </w:r>
    </w:p>
    <w:p w:rsidR="007F78F1" w:rsidRDefault="007F78F1" w:rsidP="007F78F1">
      <w:pPr>
        <w:spacing w:line="480" w:lineRule="auto"/>
        <w:jc w:val="both"/>
        <w:rPr>
          <w:rFonts w:ascii="Times New Roman" w:hAnsi="Times New Roman" w:cs="Times New Roman"/>
          <w:bCs/>
          <w:color w:val="000000" w:themeColor="text1"/>
          <w:sz w:val="28"/>
          <w:szCs w:val="28"/>
        </w:rPr>
      </w:pPr>
      <w:r>
        <w:rPr>
          <w:rFonts w:ascii="Times New Roman" w:hAnsi="Times New Roman" w:cs="Times New Roman"/>
          <w:bCs/>
          <w:sz w:val="28"/>
          <w:szCs w:val="28"/>
        </w:rPr>
        <w:lastRenderedPageBreak/>
        <w:t>5.2.2.2</w:t>
      </w:r>
      <w:r>
        <w:rPr>
          <w:rFonts w:ascii="Times New Roman" w:hAnsi="Times New Roman" w:cs="Times New Roman"/>
          <w:bCs/>
          <w:color w:val="000000" w:themeColor="text1"/>
          <w:sz w:val="28"/>
          <w:szCs w:val="28"/>
        </w:rPr>
        <w:tab/>
        <w:t xml:space="preserve">Purification of </w:t>
      </w:r>
      <w:proofErr w:type="gramStart"/>
      <w:r>
        <w:rPr>
          <w:rFonts w:ascii="Times New Roman" w:hAnsi="Times New Roman" w:cs="Times New Roman"/>
          <w:bCs/>
          <w:color w:val="000000" w:themeColor="text1"/>
          <w:sz w:val="28"/>
          <w:szCs w:val="28"/>
        </w:rPr>
        <w:t>Atl(</w:t>
      </w:r>
      <w:proofErr w:type="gramEnd"/>
      <w:r>
        <w:rPr>
          <w:rFonts w:ascii="Times New Roman" w:hAnsi="Times New Roman" w:cs="Times New Roman"/>
          <w:bCs/>
          <w:color w:val="000000" w:themeColor="text1"/>
          <w:sz w:val="28"/>
          <w:szCs w:val="28"/>
        </w:rPr>
        <w:t>glu) and SagB</w:t>
      </w:r>
    </w:p>
    <w:p w:rsidR="007F78F1" w:rsidRDefault="007F78F1" w:rsidP="007F78F1">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Both the recombinant Atl(glu) and SagB overexpression constructs contain a C-terminal His-tag, allowing purification from cell lysates by nickel-affinity chromatography using a 5 ml HiTrap Chelating HP column (Chapter 2.12.4). Both proteins were purified using the HiTrap system and eluted with an imidazole gradient (Chapter 2.12.4). The rSagB protein was purified in the presence of 8 M urea. Maximal elution of both recombinant proteins occurred when the imidazole concentration of the buffer reached approximately 150 mM, as indicated by UV detection at 280 nm. Appropriate fractions of eluate were collected and analysed by SDS-PAGE (Figure 5.3). Some smaller bands present in the overloaded lanes of the </w:t>
      </w:r>
      <w:proofErr w:type="gramStart"/>
      <w:r>
        <w:rPr>
          <w:rFonts w:ascii="Times New Roman" w:hAnsi="Times New Roman" w:cs="Times New Roman"/>
          <w:color w:val="000000" w:themeColor="text1"/>
          <w:sz w:val="24"/>
          <w:szCs w:val="24"/>
        </w:rPr>
        <w:t>rAtl(</w:t>
      </w:r>
      <w:proofErr w:type="gramEnd"/>
      <w:r>
        <w:rPr>
          <w:rFonts w:ascii="Times New Roman" w:hAnsi="Times New Roman" w:cs="Times New Roman"/>
          <w:color w:val="000000" w:themeColor="text1"/>
          <w:sz w:val="24"/>
          <w:szCs w:val="24"/>
        </w:rPr>
        <w:t>glu) sample were most likely degradation products.</w:t>
      </w:r>
    </w:p>
    <w:p w:rsidR="007F78F1" w:rsidRDefault="007F78F1" w:rsidP="007F78F1">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Appropriate fractions were pooled and salt removed by dialysis in 1 l PBS, with stepwise decreases in urea concentration for the rSagB protein to prevent precipitation of the protein, as described in Chapter 2.12.5. Buffer was changed four times for </w:t>
      </w:r>
      <w:proofErr w:type="gramStart"/>
      <w:r>
        <w:rPr>
          <w:rFonts w:ascii="Times New Roman" w:hAnsi="Times New Roman" w:cs="Times New Roman"/>
          <w:color w:val="000000" w:themeColor="text1"/>
          <w:sz w:val="24"/>
          <w:szCs w:val="24"/>
        </w:rPr>
        <w:t>rAtl(</w:t>
      </w:r>
      <w:proofErr w:type="gramEnd"/>
      <w:r>
        <w:rPr>
          <w:rFonts w:ascii="Times New Roman" w:hAnsi="Times New Roman" w:cs="Times New Roman"/>
          <w:color w:val="000000" w:themeColor="text1"/>
          <w:sz w:val="24"/>
          <w:szCs w:val="24"/>
        </w:rPr>
        <w:t>glu) and six times for rSagB over a 24 hour period. Final protein concentration determined by Bio-Rad protein concentration assay (Chapter 2.12.5) was 1.3 mg ml</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for </w:t>
      </w:r>
      <w:proofErr w:type="gramStart"/>
      <w:r>
        <w:rPr>
          <w:rFonts w:ascii="Times New Roman" w:hAnsi="Times New Roman" w:cs="Times New Roman"/>
          <w:color w:val="000000" w:themeColor="text1"/>
          <w:sz w:val="24"/>
          <w:szCs w:val="24"/>
        </w:rPr>
        <w:t>rAtl(</w:t>
      </w:r>
      <w:proofErr w:type="gramEnd"/>
      <w:r>
        <w:rPr>
          <w:rFonts w:ascii="Times New Roman" w:hAnsi="Times New Roman" w:cs="Times New Roman"/>
          <w:color w:val="000000" w:themeColor="text1"/>
          <w:sz w:val="24"/>
          <w:szCs w:val="24"/>
        </w:rPr>
        <w:t>glu) and 1.8 mg ml</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for rSagB.</w:t>
      </w:r>
    </w:p>
    <w:p w:rsidR="007F78F1" w:rsidRDefault="007F78F1" w:rsidP="007F78F1">
      <w:pPr>
        <w:spacing w:line="480" w:lineRule="auto"/>
        <w:jc w:val="both"/>
        <w:rPr>
          <w:rFonts w:ascii="Times New Roman" w:hAnsi="Times New Roman" w:cs="Times New Roman"/>
          <w:color w:val="000000" w:themeColor="text1"/>
          <w:sz w:val="24"/>
          <w:szCs w:val="24"/>
        </w:rPr>
      </w:pPr>
    </w:p>
    <w:p w:rsidR="007F78F1" w:rsidRDefault="007F78F1" w:rsidP="007F78F1">
      <w:pPr>
        <w:spacing w:line="480" w:lineRule="auto"/>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5.2.2.3</w:t>
      </w:r>
      <w:r>
        <w:rPr>
          <w:rFonts w:ascii="Times New Roman" w:hAnsi="Times New Roman" w:cs="Times New Roman"/>
          <w:bCs/>
          <w:color w:val="000000" w:themeColor="text1"/>
          <w:sz w:val="28"/>
          <w:szCs w:val="28"/>
        </w:rPr>
        <w:tab/>
        <w:t xml:space="preserve">Renaturing gel electrophoresis of </w:t>
      </w:r>
      <w:proofErr w:type="gramStart"/>
      <w:r>
        <w:rPr>
          <w:rFonts w:ascii="Times New Roman" w:hAnsi="Times New Roman" w:cs="Times New Roman"/>
          <w:bCs/>
          <w:color w:val="000000" w:themeColor="text1"/>
          <w:sz w:val="28"/>
          <w:szCs w:val="28"/>
        </w:rPr>
        <w:t>Atl(</w:t>
      </w:r>
      <w:proofErr w:type="gramEnd"/>
      <w:r>
        <w:rPr>
          <w:rFonts w:ascii="Times New Roman" w:hAnsi="Times New Roman" w:cs="Times New Roman"/>
          <w:bCs/>
          <w:color w:val="000000" w:themeColor="text1"/>
          <w:sz w:val="28"/>
          <w:szCs w:val="28"/>
        </w:rPr>
        <w:t>glu) and SagB</w:t>
      </w:r>
    </w:p>
    <w:p w:rsidR="007F78F1" w:rsidRDefault="007F78F1" w:rsidP="007F78F1">
      <w:pPr>
        <w:spacing w:line="480"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Zymograms were prepared as described in Chapter 2.11.1. Briefly, </w:t>
      </w:r>
      <w:proofErr w:type="gramStart"/>
      <w:r>
        <w:rPr>
          <w:rFonts w:ascii="Times New Roman" w:hAnsi="Times New Roman" w:cs="Times New Roman"/>
          <w:bCs/>
          <w:color w:val="000000" w:themeColor="text1"/>
          <w:sz w:val="24"/>
          <w:szCs w:val="24"/>
        </w:rPr>
        <w:t>rAtl(</w:t>
      </w:r>
      <w:proofErr w:type="gramEnd"/>
      <w:r>
        <w:rPr>
          <w:rFonts w:ascii="Times New Roman" w:hAnsi="Times New Roman" w:cs="Times New Roman"/>
          <w:bCs/>
          <w:color w:val="000000" w:themeColor="text1"/>
          <w:sz w:val="24"/>
          <w:szCs w:val="24"/>
        </w:rPr>
        <w:t>glu) and rSagB were subjected to SDS-PAGE analysis. The SDS-PAGE gels were supplemented with 0.05% (</w:t>
      </w:r>
      <w:r>
        <w:rPr>
          <w:rFonts w:ascii="Times New Roman" w:hAnsi="Times New Roman" w:cs="Times New Roman"/>
          <w:bCs/>
          <w:i/>
          <w:color w:val="000000" w:themeColor="text1"/>
          <w:sz w:val="24"/>
          <w:szCs w:val="24"/>
        </w:rPr>
        <w:t>w/v</w:t>
      </w:r>
      <w:r>
        <w:rPr>
          <w:rFonts w:ascii="Times New Roman" w:hAnsi="Times New Roman" w:cs="Times New Roman"/>
          <w:bCs/>
          <w:color w:val="000000" w:themeColor="text1"/>
          <w:sz w:val="24"/>
          <w:szCs w:val="24"/>
        </w:rPr>
        <w:t xml:space="preserve">) </w:t>
      </w:r>
      <w:r>
        <w:rPr>
          <w:rFonts w:ascii="Times New Roman" w:hAnsi="Times New Roman" w:cs="Times New Roman"/>
          <w:bCs/>
          <w:i/>
          <w:color w:val="000000" w:themeColor="text1"/>
          <w:sz w:val="24"/>
          <w:szCs w:val="24"/>
        </w:rPr>
        <w:t xml:space="preserve">B. subtilis </w:t>
      </w:r>
      <w:r>
        <w:rPr>
          <w:rFonts w:ascii="Times New Roman" w:hAnsi="Times New Roman" w:cs="Times New Roman"/>
          <w:bCs/>
          <w:color w:val="000000" w:themeColor="text1"/>
          <w:sz w:val="24"/>
          <w:szCs w:val="24"/>
        </w:rPr>
        <w:t xml:space="preserve">purified sacculi. </w:t>
      </w:r>
      <w:proofErr w:type="gramStart"/>
      <w:r>
        <w:rPr>
          <w:rFonts w:ascii="Times New Roman" w:hAnsi="Times New Roman" w:cs="Times New Roman"/>
          <w:bCs/>
          <w:color w:val="000000" w:themeColor="text1"/>
          <w:sz w:val="24"/>
          <w:szCs w:val="24"/>
        </w:rPr>
        <w:t xml:space="preserve">Recombinant YdiE (YgjD), which has a role in tRNA modification and no hydrolase activity (Srinivasan </w:t>
      </w:r>
      <w:r>
        <w:rPr>
          <w:rFonts w:ascii="Times New Roman" w:hAnsi="Times New Roman" w:cs="Times New Roman"/>
          <w:bCs/>
          <w:i/>
          <w:color w:val="000000" w:themeColor="text1"/>
          <w:sz w:val="24"/>
          <w:szCs w:val="24"/>
        </w:rPr>
        <w:t>et al</w:t>
      </w:r>
      <w:r>
        <w:rPr>
          <w:rFonts w:ascii="Times New Roman" w:hAnsi="Times New Roman" w:cs="Times New Roman"/>
          <w:bCs/>
          <w:color w:val="000000" w:themeColor="text1"/>
          <w:sz w:val="24"/>
          <w:szCs w:val="24"/>
        </w:rPr>
        <w:t>., 2011), was included as a negative control (kindly provided by A. Bottomley).</w:t>
      </w:r>
      <w:proofErr w:type="gramEnd"/>
      <w:r>
        <w:rPr>
          <w:rFonts w:ascii="Times New Roman" w:hAnsi="Times New Roman" w:cs="Times New Roman"/>
          <w:bCs/>
          <w:color w:val="000000" w:themeColor="text1"/>
          <w:sz w:val="24"/>
          <w:szCs w:val="24"/>
        </w:rPr>
        <w:t xml:space="preserve"> The gels were washed briefly </w:t>
      </w:r>
      <w:r>
        <w:rPr>
          <w:rFonts w:ascii="Times New Roman" w:hAnsi="Times New Roman" w:cs="Times New Roman"/>
          <w:bCs/>
          <w:color w:val="000000" w:themeColor="text1"/>
          <w:sz w:val="24"/>
          <w:szCs w:val="24"/>
        </w:rPr>
        <w:lastRenderedPageBreak/>
        <w:t>with water, then transferred to renaturing solution (Chapter 2.3.6.5) containing</w:t>
      </w:r>
      <w:r>
        <w:rPr>
          <w:rFonts w:ascii="Times New Roman" w:hAnsi="Times New Roman" w:cs="Times New Roman"/>
          <w:bCs/>
          <w:sz w:val="24"/>
          <w:szCs w:val="24"/>
        </w:rPr>
        <w:t xml:space="preserve"> either 25 mM </w:t>
      </w:r>
      <w:r>
        <w:rPr>
          <w:rFonts w:ascii="Times New Roman" w:hAnsi="Times New Roman" w:cs="Times New Roman"/>
          <w:bCs/>
          <w:color w:val="000000" w:themeColor="text1"/>
          <w:sz w:val="24"/>
          <w:szCs w:val="24"/>
        </w:rPr>
        <w:t xml:space="preserve">Tris-HCl buffer pH 7.5, or  50 mM sodium citrate buffer pH 5.0. Gels were incubated in renaturing solution for a minimum of 16 hours, with one buffer change after 30 min. The gels were then incubated in renaturing gel staining solution (Chapter 2.3.6.7) for 4 hours, </w:t>
      </w:r>
      <w:proofErr w:type="gramStart"/>
      <w:r>
        <w:rPr>
          <w:rFonts w:ascii="Times New Roman" w:hAnsi="Times New Roman" w:cs="Times New Roman"/>
          <w:bCs/>
          <w:color w:val="000000" w:themeColor="text1"/>
          <w:sz w:val="24"/>
          <w:szCs w:val="24"/>
        </w:rPr>
        <w:t>then</w:t>
      </w:r>
      <w:proofErr w:type="gramEnd"/>
      <w:r>
        <w:rPr>
          <w:rFonts w:ascii="Times New Roman" w:hAnsi="Times New Roman" w:cs="Times New Roman"/>
          <w:bCs/>
          <w:color w:val="000000" w:themeColor="text1"/>
          <w:sz w:val="24"/>
          <w:szCs w:val="24"/>
        </w:rPr>
        <w:t xml:space="preserve"> destained in dH</w:t>
      </w:r>
      <w:r>
        <w:rPr>
          <w:rFonts w:ascii="Times New Roman" w:hAnsi="Times New Roman" w:cs="Times New Roman"/>
          <w:bCs/>
          <w:color w:val="000000" w:themeColor="text1"/>
          <w:sz w:val="24"/>
          <w:szCs w:val="24"/>
          <w:vertAlign w:val="subscript"/>
        </w:rPr>
        <w:t>2</w:t>
      </w:r>
      <w:r>
        <w:rPr>
          <w:rFonts w:ascii="Times New Roman" w:hAnsi="Times New Roman" w:cs="Times New Roman"/>
          <w:bCs/>
          <w:color w:val="000000" w:themeColor="text1"/>
          <w:sz w:val="24"/>
          <w:szCs w:val="24"/>
        </w:rPr>
        <w:t>O.</w:t>
      </w:r>
    </w:p>
    <w:p w:rsidR="007F78F1" w:rsidRDefault="007F78F1" w:rsidP="007F78F1">
      <w:pPr>
        <w:spacing w:line="480"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When proteins were renatured at pH 7.5 a clear zone of hydrolysis was present for </w:t>
      </w:r>
      <w:proofErr w:type="gramStart"/>
      <w:r>
        <w:rPr>
          <w:rFonts w:ascii="Times New Roman" w:hAnsi="Times New Roman" w:cs="Times New Roman"/>
          <w:bCs/>
          <w:color w:val="000000" w:themeColor="text1"/>
          <w:sz w:val="24"/>
          <w:szCs w:val="24"/>
        </w:rPr>
        <w:t>rAtl(</w:t>
      </w:r>
      <w:proofErr w:type="gramEnd"/>
      <w:r>
        <w:rPr>
          <w:rFonts w:ascii="Times New Roman" w:hAnsi="Times New Roman" w:cs="Times New Roman"/>
          <w:bCs/>
          <w:color w:val="000000" w:themeColor="text1"/>
          <w:sz w:val="24"/>
          <w:szCs w:val="24"/>
        </w:rPr>
        <w:t>glu). A faint band of clearing in the YdiE control indicated that the presence of inert protein is able to block the peptidoglycan stain to a limited extent, and should not be confused with hydrolysis (Figure 5.4). For this reason, it is important always to include such a negative control in zymograms. A faint band corresponding to rSagB was similar to the YdiE band, indicating that rSagB had failed to hydrolyse the cell wall (Figure 5.4B). When proteins were renatured in pH 5.0 buffer, rAtl(glu) and rSagB both showed distinct zones of hydrolysis, suggesting that rSagB activity is more sensitive to pH than Atl(glu), or that correct renaturing of rSagB occurs at pH 5.0 (Figure 5.4B). The faint YdiE band was unaffected by the change in pH.</w:t>
      </w:r>
    </w:p>
    <w:p w:rsidR="007F78F1" w:rsidRDefault="007F78F1" w:rsidP="007F78F1">
      <w:pPr>
        <w:spacing w:before="600" w:after="120" w:line="48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5.2.2.4</w:t>
      </w:r>
      <w:r>
        <w:rPr>
          <w:rFonts w:ascii="Times New Roman" w:hAnsi="Times New Roman" w:cs="Times New Roman"/>
          <w:color w:val="000000" w:themeColor="text1"/>
          <w:sz w:val="28"/>
          <w:szCs w:val="28"/>
        </w:rPr>
        <w:tab/>
        <w:t>Glucosaminidase activity of SagB</w:t>
      </w:r>
    </w:p>
    <w:p w:rsidR="007F78F1" w:rsidRDefault="007F78F1" w:rsidP="007F78F1">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Repeated attempts to analyse the muropeptide products released by incubation of purified </w:t>
      </w:r>
      <w:r>
        <w:rPr>
          <w:rFonts w:ascii="Times New Roman" w:hAnsi="Times New Roman" w:cs="Times New Roman"/>
          <w:i/>
          <w:color w:val="000000" w:themeColor="text1"/>
          <w:sz w:val="24"/>
          <w:szCs w:val="24"/>
        </w:rPr>
        <w:t>B. subtilis</w:t>
      </w:r>
      <w:r>
        <w:rPr>
          <w:rFonts w:ascii="Times New Roman" w:hAnsi="Times New Roman" w:cs="Times New Roman"/>
          <w:color w:val="000000" w:themeColor="text1"/>
          <w:sz w:val="24"/>
          <w:szCs w:val="24"/>
        </w:rPr>
        <w:t xml:space="preserve"> or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xml:space="preserve"> peptidoglycan with rSagB were unsuccessful due to the poor </w:t>
      </w:r>
      <w:r>
        <w:rPr>
          <w:rFonts w:ascii="Times New Roman" w:hAnsi="Times New Roman" w:cs="Times New Roman"/>
          <w:i/>
          <w:color w:val="000000" w:themeColor="text1"/>
          <w:sz w:val="24"/>
          <w:szCs w:val="24"/>
        </w:rPr>
        <w:t>in vitro</w:t>
      </w:r>
      <w:r>
        <w:rPr>
          <w:rFonts w:ascii="Times New Roman" w:hAnsi="Times New Roman" w:cs="Times New Roman"/>
          <w:color w:val="000000" w:themeColor="text1"/>
          <w:sz w:val="24"/>
          <w:szCs w:val="24"/>
        </w:rPr>
        <w:t xml:space="preserve"> activity of the recombinant enzyme (data not shown). This issue could not be resolved due to time constraints.</w:t>
      </w:r>
    </w:p>
    <w:p w:rsidR="007F78F1" w:rsidRDefault="007F78F1" w:rsidP="007F78F1">
      <w:pPr>
        <w:spacing w:before="600" w:after="120" w:line="480" w:lineRule="auto"/>
        <w:jc w:val="both"/>
        <w:rPr>
          <w:rFonts w:ascii="Times New Roman" w:hAnsi="Times New Roman" w:cs="Times New Roman"/>
          <w:i/>
          <w:color w:val="000000" w:themeColor="text1"/>
          <w:sz w:val="28"/>
          <w:szCs w:val="28"/>
        </w:rPr>
      </w:pPr>
      <w:r>
        <w:rPr>
          <w:rFonts w:ascii="Times New Roman" w:hAnsi="Times New Roman" w:cs="Times New Roman"/>
          <w:color w:val="000000" w:themeColor="text1"/>
          <w:sz w:val="28"/>
          <w:szCs w:val="28"/>
        </w:rPr>
        <w:t>5.2.3</w:t>
      </w:r>
      <w:r>
        <w:rPr>
          <w:rFonts w:ascii="Times New Roman" w:hAnsi="Times New Roman" w:cs="Times New Roman"/>
          <w:color w:val="000000" w:themeColor="text1"/>
          <w:sz w:val="28"/>
          <w:szCs w:val="28"/>
        </w:rPr>
        <w:tab/>
      </w:r>
      <w:r>
        <w:rPr>
          <w:rFonts w:ascii="Times New Roman" w:hAnsi="Times New Roman" w:cs="Times New Roman"/>
          <w:color w:val="000000" w:themeColor="text1"/>
          <w:sz w:val="28"/>
          <w:szCs w:val="28"/>
        </w:rPr>
        <w:tab/>
        <w:t>Construction of glucosaminidase mutants.</w:t>
      </w:r>
    </w:p>
    <w:p w:rsidR="007F78F1" w:rsidRDefault="007F78F1" w:rsidP="007F78F1">
      <w:pPr>
        <w:spacing w:line="48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To determine the physiological role of glucosaminidases in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xml:space="preserve"> SH1000</w:t>
      </w:r>
      <w:r>
        <w:rPr>
          <w:rFonts w:ascii="Times New Roman" w:hAnsi="Times New Roman" w:cs="Times New Roman"/>
          <w:sz w:val="24"/>
          <w:szCs w:val="24"/>
        </w:rPr>
        <w:t xml:space="preserve">, </w:t>
      </w:r>
      <w:r>
        <w:rPr>
          <w:rFonts w:ascii="Times New Roman" w:hAnsi="Times New Roman" w:cs="Times New Roman"/>
          <w:i/>
          <w:sz w:val="24"/>
          <w:szCs w:val="24"/>
        </w:rPr>
        <w:t>atl</w:t>
      </w:r>
      <w:r>
        <w:rPr>
          <w:rFonts w:ascii="Times New Roman" w:hAnsi="Times New Roman" w:cs="Times New Roman"/>
          <w:sz w:val="24"/>
          <w:szCs w:val="24"/>
        </w:rPr>
        <w:t xml:space="preserve">, </w:t>
      </w:r>
      <w:r>
        <w:rPr>
          <w:rFonts w:ascii="Times New Roman" w:hAnsi="Times New Roman" w:cs="Times New Roman"/>
          <w:i/>
          <w:sz w:val="24"/>
          <w:szCs w:val="24"/>
        </w:rPr>
        <w:t>sagB</w:t>
      </w:r>
      <w:r>
        <w:rPr>
          <w:rFonts w:ascii="Times New Roman" w:hAnsi="Times New Roman" w:cs="Times New Roman"/>
          <w:sz w:val="24"/>
          <w:szCs w:val="24"/>
        </w:rPr>
        <w:t xml:space="preserve"> </w:t>
      </w:r>
    </w:p>
    <w:p w:rsidR="007F78F1" w:rsidRDefault="007F78F1" w:rsidP="007F78F1">
      <w:pPr>
        <w:spacing w:after="0" w:line="480" w:lineRule="auto"/>
        <w:rPr>
          <w:rFonts w:ascii="Times New Roman" w:hAnsi="Times New Roman" w:cs="Times New Roman"/>
          <w:sz w:val="24"/>
          <w:szCs w:val="24"/>
        </w:rPr>
        <w:sectPr w:rsidR="007F78F1" w:rsidSect="007F78F1">
          <w:pgSz w:w="11906" w:h="16838"/>
          <w:pgMar w:top="1440" w:right="1134" w:bottom="1440" w:left="2268" w:header="709" w:footer="709" w:gutter="0"/>
          <w:pgNumType w:start="201"/>
          <w:cols w:space="720"/>
        </w:sectPr>
      </w:pPr>
    </w:p>
    <w:p w:rsidR="007F78F1" w:rsidRDefault="007F78F1" w:rsidP="007F78F1">
      <w:pPr>
        <w:spacing w:line="480" w:lineRule="auto"/>
        <w:jc w:val="both"/>
        <w:rPr>
          <w:rFonts w:ascii="Times New Roman" w:hAnsi="Times New Roman" w:cs="Times New Roman"/>
          <w:b/>
          <w:sz w:val="24"/>
          <w:szCs w:val="24"/>
        </w:rPr>
      </w:pPr>
      <w:r>
        <w:rPr>
          <w:rFonts w:ascii="Times New Roman" w:hAnsi="Times New Roman" w:cs="Times New Roman"/>
          <w:b/>
          <w:noProof/>
          <w:sz w:val="24"/>
          <w:szCs w:val="24"/>
          <w:lang w:eastAsia="en-GB"/>
        </w:rPr>
        <w:lastRenderedPageBreak/>
        <w:drawing>
          <wp:inline distT="0" distB="0" distL="0" distR="0">
            <wp:extent cx="5130165" cy="2957195"/>
            <wp:effectExtent l="0" t="0" r="0" b="0"/>
            <wp:docPr id="102" name="Picture 62" descr="Figure 5.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igure 5.4.tif"/>
                    <pic:cNvPicPr>
                      <a:picLocks noChangeAspect="1" noChangeArrowheads="1"/>
                    </pic:cNvPicPr>
                  </pic:nvPicPr>
                  <pic:blipFill>
                    <a:blip r:embed="rId88" cstate="print"/>
                    <a:srcRect/>
                    <a:stretch>
                      <a:fillRect/>
                    </a:stretch>
                  </pic:blipFill>
                  <pic:spPr bwMode="auto">
                    <a:xfrm>
                      <a:off x="0" y="0"/>
                      <a:ext cx="5130165" cy="2957195"/>
                    </a:xfrm>
                    <a:prstGeom prst="rect">
                      <a:avLst/>
                    </a:prstGeom>
                    <a:noFill/>
                    <a:ln w="9525">
                      <a:noFill/>
                      <a:miter lim="800000"/>
                      <a:headEnd/>
                      <a:tailEnd/>
                    </a:ln>
                  </pic:spPr>
                </pic:pic>
              </a:graphicData>
            </a:graphic>
          </wp:inline>
        </w:drawing>
      </w:r>
    </w:p>
    <w:p w:rsidR="007F78F1" w:rsidRDefault="007F78F1" w:rsidP="007F78F1">
      <w:pPr>
        <w:spacing w:after="120"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t>Figure 5.4.</w:t>
      </w:r>
      <w:proofErr w:type="gramEnd"/>
      <w:r>
        <w:rPr>
          <w:rFonts w:ascii="Times New Roman" w:hAnsi="Times New Roman" w:cs="Times New Roman"/>
          <w:b/>
          <w:sz w:val="24"/>
          <w:szCs w:val="24"/>
        </w:rPr>
        <w:t xml:space="preserve"> Peptidoglycan hydrolase activity of putative glucosaminidases </w:t>
      </w:r>
      <w:proofErr w:type="gramStart"/>
      <w:r>
        <w:rPr>
          <w:rFonts w:ascii="Times New Roman" w:hAnsi="Times New Roman" w:cs="Times New Roman"/>
          <w:b/>
          <w:sz w:val="24"/>
          <w:szCs w:val="24"/>
        </w:rPr>
        <w:t>rAtl(</w:t>
      </w:r>
      <w:proofErr w:type="gramEnd"/>
      <w:r>
        <w:rPr>
          <w:rFonts w:ascii="Times New Roman" w:hAnsi="Times New Roman" w:cs="Times New Roman"/>
          <w:b/>
          <w:sz w:val="24"/>
          <w:szCs w:val="24"/>
        </w:rPr>
        <w:t>glu) and rSagB.</w:t>
      </w:r>
      <w:r>
        <w:rPr>
          <w:rFonts w:ascii="Times New Roman" w:hAnsi="Times New Roman" w:cs="Times New Roman"/>
          <w:sz w:val="24"/>
          <w:szCs w:val="24"/>
        </w:rPr>
        <w:t xml:space="preserve"> (A) SDS-PAGE analysis showing relative sizes of recombinant proteins. Proteins were visualised by coomassie blue staining. (B) Autolysin activity of recombinant proteins renatured in buffer at pH 7.5 or pH 5.0. Recombinant YdiE protein (rYdiE) which has no autolysin activity was included as a negative control.</w:t>
      </w:r>
    </w:p>
    <w:p w:rsidR="007F78F1" w:rsidRDefault="007F78F1" w:rsidP="007F78F1">
      <w:pPr>
        <w:rPr>
          <w:rFonts w:ascii="Times New Roman" w:hAnsi="Times New Roman" w:cs="Times New Roman"/>
          <w:b/>
          <w:sz w:val="24"/>
          <w:szCs w:val="24"/>
        </w:rPr>
      </w:pPr>
      <w:r>
        <w:rPr>
          <w:rFonts w:ascii="Times New Roman" w:hAnsi="Times New Roman" w:cs="Times New Roman"/>
          <w:b/>
          <w:sz w:val="24"/>
          <w:szCs w:val="24"/>
        </w:rPr>
        <w:br w:type="page"/>
      </w:r>
    </w:p>
    <w:p w:rsidR="007F78F1" w:rsidRDefault="007F78F1" w:rsidP="007F78F1">
      <w:pPr>
        <w:spacing w:after="120" w:line="480" w:lineRule="auto"/>
        <w:jc w:val="both"/>
        <w:rPr>
          <w:rFonts w:ascii="Times New Roman" w:hAnsi="Times New Roman" w:cs="Times New Roman"/>
          <w:color w:val="000000" w:themeColor="text1"/>
          <w:sz w:val="24"/>
          <w:szCs w:val="24"/>
        </w:rPr>
      </w:pPr>
      <w:proofErr w:type="gramStart"/>
      <w:r>
        <w:rPr>
          <w:rFonts w:ascii="Times New Roman" w:hAnsi="Times New Roman" w:cs="Times New Roman"/>
          <w:sz w:val="24"/>
          <w:szCs w:val="24"/>
        </w:rPr>
        <w:lastRenderedPageBreak/>
        <w:t>and</w:t>
      </w:r>
      <w:proofErr w:type="gramEnd"/>
      <w:r>
        <w:rPr>
          <w:rFonts w:ascii="Times New Roman" w:hAnsi="Times New Roman" w:cs="Times New Roman"/>
          <w:sz w:val="24"/>
          <w:szCs w:val="24"/>
        </w:rPr>
        <w:t xml:space="preserve"> </w:t>
      </w:r>
      <w:r>
        <w:rPr>
          <w:rFonts w:ascii="Times New Roman" w:hAnsi="Times New Roman" w:cs="Times New Roman"/>
          <w:i/>
          <w:sz w:val="24"/>
          <w:szCs w:val="24"/>
        </w:rPr>
        <w:t>scaH</w:t>
      </w:r>
      <w:r>
        <w:rPr>
          <w:rFonts w:ascii="Times New Roman" w:hAnsi="Times New Roman" w:cs="Times New Roman"/>
          <w:sz w:val="24"/>
          <w:szCs w:val="24"/>
        </w:rPr>
        <w:t xml:space="preserve"> </w:t>
      </w:r>
      <w:r>
        <w:rPr>
          <w:rFonts w:ascii="Times New Roman" w:hAnsi="Times New Roman" w:cs="Times New Roman"/>
          <w:color w:val="000000" w:themeColor="text1"/>
          <w:sz w:val="24"/>
          <w:szCs w:val="24"/>
        </w:rPr>
        <w:t xml:space="preserve">were insertionally inactivated or deleted. As stated earlier, an attempt to insertionally inactivate </w:t>
      </w:r>
      <w:r>
        <w:rPr>
          <w:rFonts w:ascii="Times New Roman" w:hAnsi="Times New Roman" w:cs="Times New Roman"/>
          <w:i/>
          <w:color w:val="000000" w:themeColor="text1"/>
          <w:sz w:val="24"/>
          <w:szCs w:val="24"/>
        </w:rPr>
        <w:t>sagA</w:t>
      </w:r>
      <w:r>
        <w:rPr>
          <w:rFonts w:ascii="Times New Roman" w:hAnsi="Times New Roman" w:cs="Times New Roman"/>
          <w:color w:val="000000" w:themeColor="text1"/>
          <w:sz w:val="24"/>
          <w:szCs w:val="24"/>
        </w:rPr>
        <w:t xml:space="preserve"> resulted in the erroneous inactivation of the downstream gene SACOL2297 (SA2297), and left </w:t>
      </w:r>
      <w:r>
        <w:rPr>
          <w:rFonts w:ascii="Times New Roman" w:hAnsi="Times New Roman" w:cs="Times New Roman"/>
          <w:i/>
          <w:color w:val="000000" w:themeColor="text1"/>
          <w:sz w:val="24"/>
          <w:szCs w:val="24"/>
        </w:rPr>
        <w:t>sagA</w:t>
      </w:r>
      <w:r>
        <w:rPr>
          <w:rFonts w:ascii="Times New Roman" w:hAnsi="Times New Roman" w:cs="Times New Roman"/>
          <w:color w:val="000000" w:themeColor="text1"/>
          <w:sz w:val="24"/>
          <w:szCs w:val="24"/>
        </w:rPr>
        <w:t xml:space="preserve"> intact. Every combination of single, double and triple mutant was constructed by sequential Φ11 phage transduction (Table 2.4). Construction of mutants was carried out by Prof. Simon Foster, Dr. Malcolm Horsburgh and Dr. Sharifah Mohamad. Details of the construction of an insertion-inactivated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xml:space="preserve"> </w:t>
      </w:r>
      <w:r>
        <w:rPr>
          <w:rFonts w:ascii="Times New Roman" w:hAnsi="Times New Roman" w:cs="Times New Roman"/>
          <w:i/>
          <w:color w:val="000000" w:themeColor="text1"/>
          <w:sz w:val="24"/>
          <w:szCs w:val="24"/>
        </w:rPr>
        <w:t>atl</w:t>
      </w:r>
      <w:r>
        <w:rPr>
          <w:rFonts w:ascii="Times New Roman" w:hAnsi="Times New Roman" w:cs="Times New Roman"/>
          <w:color w:val="000000" w:themeColor="text1"/>
          <w:sz w:val="24"/>
          <w:szCs w:val="24"/>
        </w:rPr>
        <w:t xml:space="preserve"> mutant were published previously (Foster, 1995). The construction of the unpublished mutants is reported here.</w:t>
      </w:r>
    </w:p>
    <w:p w:rsidR="007F78F1" w:rsidRDefault="007F78F1" w:rsidP="007F78F1">
      <w:pPr>
        <w:spacing w:after="120" w:line="480" w:lineRule="auto"/>
        <w:jc w:val="both"/>
        <w:rPr>
          <w:rFonts w:ascii="Times New Roman" w:hAnsi="Times New Roman" w:cs="Times New Roman"/>
          <w:color w:val="000000" w:themeColor="text1"/>
          <w:sz w:val="24"/>
          <w:szCs w:val="24"/>
        </w:rPr>
      </w:pPr>
    </w:p>
    <w:p w:rsidR="007F78F1" w:rsidRDefault="007F78F1" w:rsidP="007F78F1">
      <w:pPr>
        <w:spacing w:after="120" w:line="480" w:lineRule="auto"/>
        <w:jc w:val="both"/>
        <w:rPr>
          <w:rFonts w:ascii="Times New Roman" w:hAnsi="Times New Roman" w:cs="Times New Roman"/>
          <w:i/>
          <w:color w:val="000000" w:themeColor="text1"/>
          <w:sz w:val="28"/>
          <w:szCs w:val="28"/>
        </w:rPr>
      </w:pPr>
      <w:r>
        <w:rPr>
          <w:rFonts w:ascii="Times New Roman" w:hAnsi="Times New Roman" w:cs="Times New Roman"/>
          <w:color w:val="000000" w:themeColor="text1"/>
          <w:sz w:val="28"/>
          <w:szCs w:val="28"/>
        </w:rPr>
        <w:t>5.2.3.1</w:t>
      </w:r>
      <w:r>
        <w:rPr>
          <w:rFonts w:ascii="Times New Roman" w:hAnsi="Times New Roman" w:cs="Times New Roman"/>
          <w:color w:val="000000" w:themeColor="text1"/>
          <w:sz w:val="28"/>
          <w:szCs w:val="28"/>
        </w:rPr>
        <w:tab/>
        <w:t>Insertional inactivation of SA2297</w:t>
      </w:r>
    </w:p>
    <w:p w:rsidR="007F78F1" w:rsidRDefault="007F78F1" w:rsidP="007F78F1">
      <w:pPr>
        <w:spacing w:after="12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The </w:t>
      </w:r>
      <w:r>
        <w:rPr>
          <w:rFonts w:ascii="Times New Roman" w:hAnsi="Times New Roman" w:cs="Times New Roman"/>
          <w:i/>
          <w:color w:val="000000" w:themeColor="text1"/>
          <w:sz w:val="24"/>
          <w:szCs w:val="24"/>
        </w:rPr>
        <w:t>sagA</w:t>
      </w:r>
      <w:r>
        <w:rPr>
          <w:rFonts w:ascii="Times New Roman" w:hAnsi="Times New Roman" w:cs="Times New Roman"/>
          <w:color w:val="000000" w:themeColor="text1"/>
          <w:sz w:val="24"/>
          <w:szCs w:val="24"/>
        </w:rPr>
        <w:t xml:space="preserve"> gene (SACOL2298) should have been functionally inactivated by insertion of a </w:t>
      </w:r>
      <w:r>
        <w:rPr>
          <w:rFonts w:ascii="Times New Roman" w:hAnsi="Times New Roman" w:cs="Times New Roman"/>
          <w:i/>
          <w:color w:val="000000" w:themeColor="text1"/>
          <w:sz w:val="24"/>
          <w:szCs w:val="24"/>
        </w:rPr>
        <w:t>tetL</w:t>
      </w:r>
      <w:r>
        <w:rPr>
          <w:rFonts w:ascii="Times New Roman" w:hAnsi="Times New Roman" w:cs="Times New Roman"/>
          <w:color w:val="000000" w:themeColor="text1"/>
          <w:sz w:val="24"/>
          <w:szCs w:val="24"/>
        </w:rPr>
        <w:t xml:space="preserve"> resistance </w:t>
      </w:r>
      <w:proofErr w:type="gramStart"/>
      <w:r>
        <w:rPr>
          <w:rFonts w:ascii="Times New Roman" w:hAnsi="Times New Roman" w:cs="Times New Roman"/>
          <w:color w:val="000000" w:themeColor="text1"/>
          <w:sz w:val="24"/>
          <w:szCs w:val="24"/>
        </w:rPr>
        <w:t>cassette,</w:t>
      </w:r>
      <w:proofErr w:type="gramEnd"/>
      <w:r>
        <w:rPr>
          <w:rFonts w:ascii="Times New Roman" w:hAnsi="Times New Roman" w:cs="Times New Roman"/>
          <w:color w:val="000000" w:themeColor="text1"/>
          <w:sz w:val="24"/>
          <w:szCs w:val="24"/>
        </w:rPr>
        <w:t xml:space="preserve"> however a downstream gene SA2297 was erroneously targeted. Using SH1000 DNA as a template, an upstream fragment of SA2297 was PCR amplified with primers OL-241 and OL-242, introducing </w:t>
      </w:r>
      <w:r>
        <w:rPr>
          <w:rFonts w:ascii="Times New Roman" w:hAnsi="Times New Roman" w:cs="Times New Roman"/>
          <w:i/>
          <w:color w:val="000000" w:themeColor="text1"/>
          <w:sz w:val="24"/>
          <w:szCs w:val="24"/>
        </w:rPr>
        <w:t>Kpn</w:t>
      </w:r>
      <w:r>
        <w:rPr>
          <w:rFonts w:ascii="Times New Roman" w:hAnsi="Times New Roman" w:cs="Times New Roman"/>
          <w:color w:val="000000" w:themeColor="text1"/>
          <w:sz w:val="24"/>
          <w:szCs w:val="24"/>
        </w:rPr>
        <w:t xml:space="preserve">I and </w:t>
      </w:r>
      <w:r>
        <w:rPr>
          <w:rFonts w:ascii="Times New Roman" w:hAnsi="Times New Roman" w:cs="Times New Roman"/>
          <w:i/>
          <w:color w:val="000000" w:themeColor="text1"/>
          <w:sz w:val="24"/>
          <w:szCs w:val="24"/>
        </w:rPr>
        <w:t>Eco</w:t>
      </w:r>
      <w:r>
        <w:rPr>
          <w:rFonts w:ascii="Times New Roman" w:hAnsi="Times New Roman" w:cs="Times New Roman"/>
          <w:color w:val="000000" w:themeColor="text1"/>
          <w:sz w:val="24"/>
          <w:szCs w:val="24"/>
        </w:rPr>
        <w:t xml:space="preserve">RI restricition sites respectively. A downstream fragment of SA2297 was PCR amplified using primers OL-239/2 and OL-240, introducing flanking </w:t>
      </w:r>
      <w:r>
        <w:rPr>
          <w:rFonts w:ascii="Times New Roman" w:hAnsi="Times New Roman" w:cs="Times New Roman"/>
          <w:i/>
          <w:color w:val="000000" w:themeColor="text1"/>
          <w:sz w:val="24"/>
          <w:szCs w:val="24"/>
        </w:rPr>
        <w:t>Bam</w:t>
      </w:r>
      <w:r>
        <w:rPr>
          <w:rFonts w:ascii="Times New Roman" w:hAnsi="Times New Roman" w:cs="Times New Roman"/>
          <w:color w:val="000000" w:themeColor="text1"/>
          <w:sz w:val="24"/>
          <w:szCs w:val="24"/>
        </w:rPr>
        <w:t xml:space="preserve">HI and </w:t>
      </w:r>
      <w:r>
        <w:rPr>
          <w:rFonts w:ascii="Times New Roman" w:hAnsi="Times New Roman" w:cs="Times New Roman"/>
          <w:i/>
          <w:color w:val="000000" w:themeColor="text1"/>
          <w:sz w:val="24"/>
          <w:szCs w:val="24"/>
        </w:rPr>
        <w:t>Kpn</w:t>
      </w:r>
      <w:r>
        <w:rPr>
          <w:rFonts w:ascii="Times New Roman" w:hAnsi="Times New Roman" w:cs="Times New Roman"/>
          <w:color w:val="000000" w:themeColor="text1"/>
          <w:sz w:val="24"/>
          <w:szCs w:val="24"/>
        </w:rPr>
        <w:t xml:space="preserve">I restriction sites respectively at the ends of the PCR product. The upstream and downstream fragments were digested with </w:t>
      </w:r>
      <w:r>
        <w:rPr>
          <w:rFonts w:ascii="Times New Roman" w:hAnsi="Times New Roman" w:cs="Times New Roman"/>
          <w:i/>
          <w:color w:val="000000" w:themeColor="text1"/>
          <w:sz w:val="24"/>
          <w:szCs w:val="24"/>
        </w:rPr>
        <w:t>Kpn</w:t>
      </w:r>
      <w:r>
        <w:rPr>
          <w:rFonts w:ascii="Times New Roman" w:hAnsi="Times New Roman" w:cs="Times New Roman"/>
          <w:color w:val="000000" w:themeColor="text1"/>
          <w:sz w:val="24"/>
          <w:szCs w:val="24"/>
        </w:rPr>
        <w:t>I and ligated together producing a single SA2297</w:t>
      </w:r>
      <w:r>
        <w:rPr>
          <w:rFonts w:ascii="Times New Roman" w:hAnsi="Times New Roman" w:cs="Times New Roman"/>
          <w:i/>
          <w:color w:val="000000" w:themeColor="text1"/>
          <w:sz w:val="24"/>
          <w:szCs w:val="24"/>
        </w:rPr>
        <w:t xml:space="preserve"> </w:t>
      </w:r>
      <w:r>
        <w:rPr>
          <w:rFonts w:ascii="Times New Roman" w:hAnsi="Times New Roman" w:cs="Times New Roman"/>
          <w:color w:val="000000" w:themeColor="text1"/>
          <w:sz w:val="24"/>
          <w:szCs w:val="24"/>
        </w:rPr>
        <w:t xml:space="preserve">cassette with internal </w:t>
      </w:r>
      <w:r>
        <w:rPr>
          <w:rFonts w:ascii="Times New Roman" w:hAnsi="Times New Roman" w:cs="Times New Roman"/>
          <w:i/>
          <w:color w:val="000000" w:themeColor="text1"/>
          <w:sz w:val="24"/>
          <w:szCs w:val="24"/>
        </w:rPr>
        <w:t>Kpn</w:t>
      </w:r>
      <w:r>
        <w:rPr>
          <w:rFonts w:ascii="Times New Roman" w:hAnsi="Times New Roman" w:cs="Times New Roman"/>
          <w:color w:val="000000" w:themeColor="text1"/>
          <w:sz w:val="24"/>
          <w:szCs w:val="24"/>
        </w:rPr>
        <w:t xml:space="preserve">I restriction site and flanking </w:t>
      </w:r>
      <w:r>
        <w:rPr>
          <w:rFonts w:ascii="Times New Roman" w:hAnsi="Times New Roman" w:cs="Times New Roman"/>
          <w:i/>
          <w:color w:val="000000" w:themeColor="text1"/>
          <w:sz w:val="24"/>
          <w:szCs w:val="24"/>
        </w:rPr>
        <w:t>Bam</w:t>
      </w:r>
      <w:r>
        <w:rPr>
          <w:rFonts w:ascii="Times New Roman" w:hAnsi="Times New Roman" w:cs="Times New Roman"/>
          <w:color w:val="000000" w:themeColor="text1"/>
          <w:sz w:val="24"/>
          <w:szCs w:val="24"/>
        </w:rPr>
        <w:t xml:space="preserve">HI and </w:t>
      </w:r>
      <w:r>
        <w:rPr>
          <w:rFonts w:ascii="Times New Roman" w:hAnsi="Times New Roman" w:cs="Times New Roman"/>
          <w:i/>
          <w:color w:val="000000" w:themeColor="text1"/>
          <w:sz w:val="24"/>
          <w:szCs w:val="24"/>
        </w:rPr>
        <w:t>Eco</w:t>
      </w:r>
      <w:r>
        <w:rPr>
          <w:rFonts w:ascii="Times New Roman" w:hAnsi="Times New Roman" w:cs="Times New Roman"/>
          <w:color w:val="000000" w:themeColor="text1"/>
          <w:sz w:val="24"/>
          <w:szCs w:val="24"/>
        </w:rPr>
        <w:t xml:space="preserve">RI restriction sites (Figure 5.5A). The SA2297 cassette was digested with </w:t>
      </w:r>
      <w:r>
        <w:rPr>
          <w:rFonts w:ascii="Times New Roman" w:hAnsi="Times New Roman" w:cs="Times New Roman"/>
          <w:i/>
          <w:color w:val="000000" w:themeColor="text1"/>
          <w:sz w:val="24"/>
          <w:szCs w:val="24"/>
        </w:rPr>
        <w:t>Bam</w:t>
      </w:r>
      <w:r>
        <w:rPr>
          <w:rFonts w:ascii="Times New Roman" w:hAnsi="Times New Roman" w:cs="Times New Roman"/>
          <w:color w:val="000000" w:themeColor="text1"/>
          <w:sz w:val="24"/>
          <w:szCs w:val="24"/>
        </w:rPr>
        <w:t xml:space="preserve">HI and </w:t>
      </w:r>
      <w:r>
        <w:rPr>
          <w:rFonts w:ascii="Times New Roman" w:hAnsi="Times New Roman" w:cs="Times New Roman"/>
          <w:i/>
          <w:color w:val="000000" w:themeColor="text1"/>
          <w:sz w:val="24"/>
          <w:szCs w:val="24"/>
        </w:rPr>
        <w:t>Eco</w:t>
      </w:r>
      <w:r>
        <w:rPr>
          <w:rFonts w:ascii="Times New Roman" w:hAnsi="Times New Roman" w:cs="Times New Roman"/>
          <w:color w:val="000000" w:themeColor="text1"/>
          <w:sz w:val="24"/>
          <w:szCs w:val="24"/>
        </w:rPr>
        <w:t xml:space="preserve">RI, and ligated into similarly digested </w:t>
      </w:r>
      <w:r>
        <w:rPr>
          <w:rFonts w:ascii="Times New Roman" w:hAnsi="Times New Roman" w:cs="Times New Roman"/>
          <w:i/>
          <w:color w:val="000000" w:themeColor="text1"/>
          <w:sz w:val="24"/>
          <w:szCs w:val="24"/>
        </w:rPr>
        <w:t xml:space="preserve">S. aureus </w:t>
      </w:r>
      <w:r>
        <w:rPr>
          <w:rFonts w:ascii="Times New Roman" w:hAnsi="Times New Roman" w:cs="Times New Roman"/>
          <w:color w:val="000000" w:themeColor="text1"/>
          <w:sz w:val="24"/>
          <w:szCs w:val="24"/>
        </w:rPr>
        <w:t>suicide vector pAZ106 (Figure 5.5A).</w:t>
      </w:r>
    </w:p>
    <w:p w:rsidR="007F78F1" w:rsidRDefault="007F78F1" w:rsidP="007F78F1">
      <w:pPr>
        <w:spacing w:after="12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The gene encoding </w:t>
      </w:r>
      <w:r>
        <w:rPr>
          <w:rFonts w:ascii="Times New Roman" w:hAnsi="Times New Roman" w:cs="Times New Roman"/>
          <w:i/>
          <w:color w:val="000000" w:themeColor="text1"/>
          <w:sz w:val="24"/>
          <w:szCs w:val="24"/>
        </w:rPr>
        <w:t>tetL</w:t>
      </w:r>
      <w:r>
        <w:rPr>
          <w:rFonts w:ascii="Times New Roman" w:hAnsi="Times New Roman" w:cs="Times New Roman"/>
          <w:color w:val="000000" w:themeColor="text1"/>
          <w:sz w:val="24"/>
          <w:szCs w:val="24"/>
        </w:rPr>
        <w:t xml:space="preserve"> was PCR amplified from pDG1513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{"citationID":"37pkpghgv","properties":{"formattedCitation":"{\\rtf (Gu\\uc0\\u233{}rout-Fleury et al., 1995)}","plainCitation":"(Guérout-Fleury et al., 1995)"},"citationItems":[{"id":157,"uris":["http://zotero.org/users/944474/items/KSJU26SZ"],"uri":["http://zotero.org/users/944474/items/KSJU26SZ"],"itemData":{"id":157,"type":"article-journal","title":"Antibiotic-resistance cassettes for Bacillus subtilis","container-title":"Gene","page":"335-336","volume":"167","issue":"1-2","abstract":"The genes encoding resistance to four different antibiotics (erythromycin, kanamycin, tetracycline and spectinomycin) were cloned in the polylinker of various Escherichia coli plasmid vectors. These cassettes can be inserted into cloned Bacillus subtilis (Bs) genes and used to create tagged chromosomal disruptions after recombination into Bs and selection in the presence of the appropriate antibiotic.","note":"PMID: 8566804","journalAbbreviation":"Gene","author":[{"family":"Guérout-Fleury","given":"A M"},{"family":"Shazand","given":"K"},{"family":"Frandsen","given":"N"},{"family":"Stragier","given":"P"}],"issued":{"year":1995,"month":12,"day":29},"accessed":{"year":2012,"month":4,"day":25},"page-first":"335"}}],"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szCs w:val="24"/>
        </w:rPr>
        <w:t xml:space="preserve">(Guérout-Fleury </w:t>
      </w:r>
      <w:r>
        <w:rPr>
          <w:rFonts w:ascii="Times New Roman" w:hAnsi="Times New Roman" w:cs="Times New Roman"/>
          <w:i/>
          <w:color w:val="000000" w:themeColor="text1"/>
          <w:sz w:val="24"/>
          <w:szCs w:val="24"/>
        </w:rPr>
        <w:t>et al</w:t>
      </w:r>
      <w:r>
        <w:rPr>
          <w:rFonts w:ascii="Times New Roman" w:hAnsi="Times New Roman" w:cs="Times New Roman"/>
          <w:color w:val="000000" w:themeColor="text1"/>
          <w:sz w:val="24"/>
          <w:szCs w:val="24"/>
        </w:rPr>
        <w:t>., 1995)</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using primer pair OL-32/OL-33, which introduced </w:t>
      </w:r>
      <w:r>
        <w:rPr>
          <w:rFonts w:ascii="Times New Roman" w:hAnsi="Times New Roman" w:cs="Times New Roman"/>
          <w:i/>
          <w:color w:val="000000" w:themeColor="text1"/>
          <w:sz w:val="24"/>
          <w:szCs w:val="24"/>
        </w:rPr>
        <w:t>Kpn</w:t>
      </w:r>
      <w:r>
        <w:rPr>
          <w:rFonts w:ascii="Times New Roman" w:hAnsi="Times New Roman" w:cs="Times New Roman"/>
          <w:color w:val="000000" w:themeColor="text1"/>
          <w:sz w:val="24"/>
          <w:szCs w:val="24"/>
        </w:rPr>
        <w:t xml:space="preserve">I restriction sequences at either end of the PCR product. The </w:t>
      </w:r>
      <w:r>
        <w:rPr>
          <w:rFonts w:ascii="Times New Roman" w:hAnsi="Times New Roman" w:cs="Times New Roman"/>
          <w:i/>
          <w:color w:val="000000" w:themeColor="text1"/>
          <w:sz w:val="24"/>
          <w:szCs w:val="24"/>
        </w:rPr>
        <w:t>tetL</w:t>
      </w:r>
      <w:r>
        <w:rPr>
          <w:rFonts w:ascii="Times New Roman" w:hAnsi="Times New Roman" w:cs="Times New Roman"/>
          <w:color w:val="000000" w:themeColor="text1"/>
          <w:sz w:val="24"/>
          <w:szCs w:val="24"/>
        </w:rPr>
        <w:t xml:space="preserve"> PCR product was </w:t>
      </w:r>
      <w:r>
        <w:rPr>
          <w:rFonts w:ascii="Times New Roman" w:hAnsi="Times New Roman" w:cs="Times New Roman"/>
          <w:i/>
          <w:color w:val="000000" w:themeColor="text1"/>
          <w:sz w:val="24"/>
          <w:szCs w:val="24"/>
        </w:rPr>
        <w:t>Kpn</w:t>
      </w:r>
      <w:r>
        <w:rPr>
          <w:rFonts w:ascii="Times New Roman" w:hAnsi="Times New Roman" w:cs="Times New Roman"/>
          <w:color w:val="000000" w:themeColor="text1"/>
          <w:sz w:val="24"/>
          <w:szCs w:val="24"/>
        </w:rPr>
        <w:t>I digested and ligated into</w:t>
      </w:r>
      <w:r>
        <w:rPr>
          <w:rFonts w:ascii="Times New Roman" w:hAnsi="Times New Roman" w:cs="Times New Roman"/>
          <w:sz w:val="24"/>
          <w:szCs w:val="24"/>
        </w:rPr>
        <w:t xml:space="preserve"> </w:t>
      </w:r>
      <w:r>
        <w:rPr>
          <w:rFonts w:ascii="Times New Roman" w:hAnsi="Times New Roman" w:cs="Times New Roman"/>
          <w:color w:val="000000" w:themeColor="text1"/>
          <w:sz w:val="24"/>
          <w:szCs w:val="24"/>
        </w:rPr>
        <w:lastRenderedPageBreak/>
        <w:t xml:space="preserve">the internal </w:t>
      </w:r>
      <w:r>
        <w:rPr>
          <w:rFonts w:ascii="Times New Roman" w:hAnsi="Times New Roman" w:cs="Times New Roman"/>
          <w:i/>
          <w:color w:val="000000" w:themeColor="text1"/>
          <w:sz w:val="24"/>
          <w:szCs w:val="24"/>
        </w:rPr>
        <w:t>Kpn</w:t>
      </w:r>
      <w:r>
        <w:rPr>
          <w:rFonts w:ascii="Times New Roman" w:hAnsi="Times New Roman" w:cs="Times New Roman"/>
          <w:color w:val="000000" w:themeColor="text1"/>
          <w:sz w:val="24"/>
          <w:szCs w:val="24"/>
        </w:rPr>
        <w:t xml:space="preserve">I site of the SA2297 construct. The resulting suicide vector containing the </w:t>
      </w:r>
      <w:r>
        <w:rPr>
          <w:rFonts w:ascii="Times New Roman" w:hAnsi="Times New Roman" w:cs="Times New Roman"/>
          <w:i/>
          <w:color w:val="000000" w:themeColor="text1"/>
          <w:sz w:val="24"/>
          <w:szCs w:val="24"/>
        </w:rPr>
        <w:t>SA2297::tetL</w:t>
      </w:r>
      <w:r>
        <w:rPr>
          <w:rFonts w:ascii="Times New Roman" w:hAnsi="Times New Roman" w:cs="Times New Roman"/>
          <w:color w:val="000000" w:themeColor="text1"/>
          <w:sz w:val="24"/>
          <w:szCs w:val="24"/>
        </w:rPr>
        <w:t xml:space="preserve"> insertional inactivation was named pMAL64 (Figure 5.5A). The pMAL64 vector was transformed by electroporation into </w:t>
      </w:r>
      <w:r>
        <w:rPr>
          <w:rFonts w:ascii="Times New Roman" w:hAnsi="Times New Roman" w:cs="Times New Roman"/>
          <w:i/>
          <w:color w:val="000000" w:themeColor="text1"/>
          <w:sz w:val="24"/>
          <w:szCs w:val="24"/>
        </w:rPr>
        <w:t xml:space="preserve">S. aureus </w:t>
      </w:r>
      <w:r>
        <w:rPr>
          <w:rFonts w:ascii="Times New Roman" w:hAnsi="Times New Roman" w:cs="Times New Roman"/>
          <w:color w:val="000000" w:themeColor="text1"/>
          <w:sz w:val="24"/>
          <w:szCs w:val="24"/>
        </w:rPr>
        <w:t>RN4220. Allelic replacement of the native SA2297</w:t>
      </w:r>
      <w:r>
        <w:rPr>
          <w:rFonts w:ascii="Times New Roman" w:hAnsi="Times New Roman" w:cs="Times New Roman"/>
          <w:i/>
          <w:color w:val="000000" w:themeColor="text1"/>
          <w:sz w:val="24"/>
          <w:szCs w:val="24"/>
        </w:rPr>
        <w:t xml:space="preserve"> </w:t>
      </w:r>
      <w:r>
        <w:rPr>
          <w:rFonts w:ascii="Times New Roman" w:hAnsi="Times New Roman" w:cs="Times New Roman"/>
          <w:color w:val="000000" w:themeColor="text1"/>
          <w:sz w:val="24"/>
          <w:szCs w:val="24"/>
        </w:rPr>
        <w:t>gene by the functionally inactive SA2297</w:t>
      </w:r>
      <w:r>
        <w:rPr>
          <w:rFonts w:ascii="Times New Roman" w:hAnsi="Times New Roman" w:cs="Times New Roman"/>
          <w:i/>
          <w:color w:val="000000" w:themeColor="text1"/>
          <w:sz w:val="24"/>
          <w:szCs w:val="24"/>
        </w:rPr>
        <w:t>::tetL</w:t>
      </w:r>
      <w:r>
        <w:rPr>
          <w:rFonts w:ascii="Times New Roman" w:hAnsi="Times New Roman" w:cs="Times New Roman"/>
          <w:color w:val="000000" w:themeColor="text1"/>
          <w:sz w:val="24"/>
          <w:szCs w:val="24"/>
        </w:rPr>
        <w:t xml:space="preserve"> by double-crossover (Figure 5.5A) was indicated by the presence of tet</w:t>
      </w:r>
      <w:r>
        <w:rPr>
          <w:rFonts w:ascii="Times New Roman" w:hAnsi="Times New Roman" w:cs="Times New Roman"/>
          <w:color w:val="000000" w:themeColor="text1"/>
          <w:sz w:val="24"/>
          <w:szCs w:val="24"/>
          <w:vertAlign w:val="superscript"/>
        </w:rPr>
        <w:t>R</w:t>
      </w:r>
      <w:r>
        <w:rPr>
          <w:rFonts w:ascii="Times New Roman" w:hAnsi="Times New Roman" w:cs="Times New Roman"/>
          <w:color w:val="000000" w:themeColor="text1"/>
          <w:sz w:val="24"/>
          <w:szCs w:val="24"/>
        </w:rPr>
        <w:t>, ery</w:t>
      </w:r>
      <w:r>
        <w:rPr>
          <w:rFonts w:ascii="Times New Roman" w:hAnsi="Times New Roman" w:cs="Times New Roman"/>
          <w:color w:val="000000" w:themeColor="text1"/>
          <w:sz w:val="24"/>
          <w:szCs w:val="24"/>
          <w:vertAlign w:val="superscript"/>
        </w:rPr>
        <w:t>S</w:t>
      </w:r>
      <w:r>
        <w:rPr>
          <w:rFonts w:ascii="Times New Roman" w:hAnsi="Times New Roman" w:cs="Times New Roman"/>
          <w:color w:val="000000" w:themeColor="text1"/>
          <w:sz w:val="24"/>
          <w:szCs w:val="24"/>
        </w:rPr>
        <w:t xml:space="preserve"> colonies. The SA2297</w:t>
      </w:r>
      <w:r>
        <w:rPr>
          <w:rFonts w:ascii="Times New Roman" w:hAnsi="Times New Roman" w:cs="Times New Roman"/>
          <w:i/>
          <w:color w:val="000000" w:themeColor="text1"/>
          <w:sz w:val="24"/>
          <w:szCs w:val="24"/>
        </w:rPr>
        <w:t>::tetL</w:t>
      </w:r>
      <w:r>
        <w:rPr>
          <w:rFonts w:ascii="Times New Roman" w:hAnsi="Times New Roman" w:cs="Times New Roman"/>
          <w:color w:val="000000" w:themeColor="text1"/>
          <w:sz w:val="24"/>
          <w:szCs w:val="24"/>
        </w:rPr>
        <w:t xml:space="preserve"> cassette was transduced by Φ85 lysate into the SH1000 background.</w:t>
      </w:r>
    </w:p>
    <w:p w:rsidR="007F78F1" w:rsidRDefault="007F78F1" w:rsidP="007F78F1">
      <w:pPr>
        <w:spacing w:after="120" w:line="480" w:lineRule="auto"/>
        <w:jc w:val="both"/>
        <w:rPr>
          <w:rFonts w:ascii="Times New Roman" w:hAnsi="Times New Roman" w:cs="Times New Roman"/>
          <w:color w:val="000000" w:themeColor="text1"/>
          <w:sz w:val="24"/>
          <w:szCs w:val="24"/>
        </w:rPr>
      </w:pPr>
    </w:p>
    <w:p w:rsidR="007F78F1" w:rsidRDefault="007F78F1" w:rsidP="007F78F1">
      <w:pPr>
        <w:spacing w:after="120" w:line="48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5.2.3.2</w:t>
      </w:r>
      <w:r>
        <w:rPr>
          <w:rFonts w:ascii="Times New Roman" w:hAnsi="Times New Roman" w:cs="Times New Roman"/>
          <w:color w:val="000000" w:themeColor="text1"/>
          <w:sz w:val="28"/>
          <w:szCs w:val="28"/>
        </w:rPr>
        <w:tab/>
        <w:t xml:space="preserve">Construction of a </w:t>
      </w:r>
      <w:r>
        <w:rPr>
          <w:rFonts w:ascii="Times New Roman" w:hAnsi="Times New Roman" w:cs="Times New Roman"/>
          <w:i/>
          <w:color w:val="000000" w:themeColor="text1"/>
          <w:sz w:val="28"/>
          <w:szCs w:val="28"/>
        </w:rPr>
        <w:t xml:space="preserve">scaH </w:t>
      </w:r>
      <w:r>
        <w:rPr>
          <w:rFonts w:ascii="Times New Roman" w:hAnsi="Times New Roman" w:cs="Times New Roman"/>
          <w:color w:val="000000" w:themeColor="text1"/>
          <w:sz w:val="28"/>
          <w:szCs w:val="28"/>
        </w:rPr>
        <w:t>inactivation suicide vector</w:t>
      </w:r>
    </w:p>
    <w:p w:rsidR="007F78F1" w:rsidRDefault="007F78F1" w:rsidP="007F78F1">
      <w:pPr>
        <w:spacing w:after="120" w:line="480" w:lineRule="auto"/>
        <w:jc w:val="both"/>
        <w:rPr>
          <w:rFonts w:ascii="Times New Roman" w:hAnsi="Times New Roman" w:cs="Times New Roman"/>
          <w:i/>
          <w:color w:val="000000" w:themeColor="text1"/>
          <w:sz w:val="28"/>
          <w:szCs w:val="28"/>
        </w:rPr>
      </w:pPr>
      <w:r>
        <w:rPr>
          <w:rFonts w:ascii="Times New Roman" w:hAnsi="Times New Roman" w:cs="Times New Roman"/>
          <w:color w:val="000000" w:themeColor="text1"/>
          <w:sz w:val="24"/>
          <w:szCs w:val="24"/>
        </w:rPr>
        <w:t xml:space="preserve">The </w:t>
      </w:r>
      <w:r>
        <w:rPr>
          <w:rFonts w:ascii="Times New Roman" w:hAnsi="Times New Roman" w:cs="Times New Roman"/>
          <w:i/>
          <w:color w:val="000000" w:themeColor="text1"/>
          <w:sz w:val="24"/>
          <w:szCs w:val="24"/>
        </w:rPr>
        <w:t>scaH</w:t>
      </w:r>
      <w:r>
        <w:rPr>
          <w:rFonts w:ascii="Times New Roman" w:hAnsi="Times New Roman" w:cs="Times New Roman"/>
          <w:color w:val="000000" w:themeColor="text1"/>
          <w:sz w:val="24"/>
          <w:szCs w:val="24"/>
        </w:rPr>
        <w:t xml:space="preserve"> gene was functionally inactivated by insertion of a </w:t>
      </w:r>
      <w:r>
        <w:rPr>
          <w:rFonts w:ascii="Times New Roman" w:hAnsi="Times New Roman" w:cs="Times New Roman"/>
          <w:i/>
          <w:color w:val="000000" w:themeColor="text1"/>
          <w:sz w:val="24"/>
          <w:szCs w:val="24"/>
        </w:rPr>
        <w:t>kan</w:t>
      </w:r>
      <w:r>
        <w:rPr>
          <w:rFonts w:ascii="Times New Roman" w:hAnsi="Times New Roman" w:cs="Times New Roman"/>
          <w:i/>
          <w:color w:val="000000" w:themeColor="text1"/>
          <w:sz w:val="24"/>
          <w:szCs w:val="24"/>
          <w:vertAlign w:val="superscript"/>
        </w:rPr>
        <w:t>R</w:t>
      </w:r>
      <w:r>
        <w:rPr>
          <w:rFonts w:ascii="Times New Roman" w:hAnsi="Times New Roman" w:cs="Times New Roman"/>
          <w:color w:val="000000" w:themeColor="text1"/>
          <w:sz w:val="24"/>
          <w:szCs w:val="24"/>
        </w:rPr>
        <w:t xml:space="preserve"> cassette. The first step was to generate a </w:t>
      </w:r>
      <w:r>
        <w:rPr>
          <w:rFonts w:ascii="Times New Roman" w:hAnsi="Times New Roman" w:cs="Times New Roman"/>
          <w:i/>
          <w:color w:val="000000" w:themeColor="text1"/>
          <w:sz w:val="24"/>
          <w:szCs w:val="24"/>
        </w:rPr>
        <w:t>scaH</w:t>
      </w:r>
      <w:r>
        <w:rPr>
          <w:rFonts w:ascii="Times New Roman" w:hAnsi="Times New Roman" w:cs="Times New Roman"/>
          <w:color w:val="000000" w:themeColor="text1"/>
          <w:sz w:val="24"/>
          <w:szCs w:val="24"/>
        </w:rPr>
        <w:t xml:space="preserve"> construct containing a </w:t>
      </w:r>
      <w:r>
        <w:rPr>
          <w:rFonts w:ascii="Times New Roman" w:hAnsi="Times New Roman" w:cs="Times New Roman"/>
          <w:i/>
          <w:color w:val="000000" w:themeColor="text1"/>
          <w:sz w:val="24"/>
          <w:szCs w:val="24"/>
        </w:rPr>
        <w:t>Kpn</w:t>
      </w:r>
      <w:r>
        <w:rPr>
          <w:rFonts w:ascii="Times New Roman" w:hAnsi="Times New Roman" w:cs="Times New Roman"/>
          <w:color w:val="000000" w:themeColor="text1"/>
          <w:sz w:val="24"/>
          <w:szCs w:val="24"/>
        </w:rPr>
        <w:t xml:space="preserve">I restriction site for insertional inactivation of the </w:t>
      </w:r>
      <w:r>
        <w:rPr>
          <w:rFonts w:ascii="Times New Roman" w:hAnsi="Times New Roman" w:cs="Times New Roman"/>
          <w:i/>
          <w:color w:val="000000" w:themeColor="text1"/>
          <w:sz w:val="24"/>
          <w:szCs w:val="24"/>
        </w:rPr>
        <w:t>scaH</w:t>
      </w:r>
      <w:r>
        <w:rPr>
          <w:rFonts w:ascii="Times New Roman" w:hAnsi="Times New Roman" w:cs="Times New Roman"/>
          <w:color w:val="000000" w:themeColor="text1"/>
          <w:sz w:val="24"/>
          <w:szCs w:val="24"/>
        </w:rPr>
        <w:t xml:space="preserve"> gene. Using SH1000 DNA as a template, an upstream fragment of the </w:t>
      </w:r>
      <w:r>
        <w:rPr>
          <w:rFonts w:ascii="Times New Roman" w:hAnsi="Times New Roman" w:cs="Times New Roman"/>
          <w:i/>
          <w:color w:val="000000" w:themeColor="text1"/>
          <w:sz w:val="24"/>
          <w:szCs w:val="24"/>
        </w:rPr>
        <w:t>scaH</w:t>
      </w:r>
      <w:r>
        <w:rPr>
          <w:rFonts w:ascii="Times New Roman" w:hAnsi="Times New Roman" w:cs="Times New Roman"/>
          <w:color w:val="000000" w:themeColor="text1"/>
          <w:sz w:val="24"/>
          <w:szCs w:val="24"/>
        </w:rPr>
        <w:t xml:space="preserve"> gene (covering 300 bp upstream to 900 bp downstream of the </w:t>
      </w:r>
      <w:r>
        <w:rPr>
          <w:rFonts w:ascii="Times New Roman" w:hAnsi="Times New Roman" w:cs="Times New Roman"/>
          <w:i/>
          <w:color w:val="000000" w:themeColor="text1"/>
          <w:sz w:val="24"/>
          <w:szCs w:val="24"/>
        </w:rPr>
        <w:t xml:space="preserve">scaH </w:t>
      </w:r>
      <w:r>
        <w:rPr>
          <w:rFonts w:ascii="Times New Roman" w:hAnsi="Times New Roman" w:cs="Times New Roman"/>
          <w:color w:val="000000" w:themeColor="text1"/>
          <w:sz w:val="24"/>
          <w:szCs w:val="24"/>
        </w:rPr>
        <w:t xml:space="preserve">start codon) was PCR amplified using primers P1 and </w:t>
      </w:r>
      <w:proofErr w:type="gramStart"/>
      <w:r>
        <w:rPr>
          <w:rFonts w:ascii="Times New Roman" w:hAnsi="Times New Roman" w:cs="Times New Roman"/>
          <w:color w:val="000000" w:themeColor="text1"/>
          <w:sz w:val="24"/>
          <w:szCs w:val="24"/>
        </w:rPr>
        <w:t>P2,</w:t>
      </w:r>
      <w:proofErr w:type="gramEnd"/>
      <w:r>
        <w:rPr>
          <w:rFonts w:ascii="Times New Roman" w:hAnsi="Times New Roman" w:cs="Times New Roman"/>
          <w:color w:val="000000" w:themeColor="text1"/>
          <w:sz w:val="24"/>
          <w:szCs w:val="24"/>
        </w:rPr>
        <w:t xml:space="preserve"> introducing flanking </w:t>
      </w:r>
      <w:r>
        <w:rPr>
          <w:rFonts w:ascii="Times New Roman" w:hAnsi="Times New Roman" w:cs="Times New Roman"/>
          <w:i/>
          <w:color w:val="000000" w:themeColor="text1"/>
          <w:sz w:val="24"/>
          <w:szCs w:val="24"/>
        </w:rPr>
        <w:t>Xba</w:t>
      </w:r>
      <w:r>
        <w:rPr>
          <w:rFonts w:ascii="Times New Roman" w:hAnsi="Times New Roman" w:cs="Times New Roman"/>
          <w:color w:val="000000" w:themeColor="text1"/>
          <w:sz w:val="24"/>
          <w:szCs w:val="24"/>
        </w:rPr>
        <w:t xml:space="preserve">I and </w:t>
      </w:r>
      <w:r>
        <w:rPr>
          <w:rFonts w:ascii="Times New Roman" w:hAnsi="Times New Roman" w:cs="Times New Roman"/>
          <w:i/>
          <w:color w:val="000000" w:themeColor="text1"/>
          <w:sz w:val="24"/>
          <w:szCs w:val="24"/>
        </w:rPr>
        <w:t>Kpn</w:t>
      </w:r>
      <w:r>
        <w:rPr>
          <w:rFonts w:ascii="Times New Roman" w:hAnsi="Times New Roman" w:cs="Times New Roman"/>
          <w:color w:val="000000" w:themeColor="text1"/>
          <w:sz w:val="24"/>
          <w:szCs w:val="24"/>
        </w:rPr>
        <w:t xml:space="preserve">I restricition sites respectively (Table 2.8). Likewise, a downstream fragment of the </w:t>
      </w:r>
      <w:r>
        <w:rPr>
          <w:rFonts w:ascii="Times New Roman" w:hAnsi="Times New Roman" w:cs="Times New Roman"/>
          <w:i/>
          <w:color w:val="000000" w:themeColor="text1"/>
          <w:sz w:val="24"/>
          <w:szCs w:val="24"/>
        </w:rPr>
        <w:t xml:space="preserve">scaH </w:t>
      </w:r>
      <w:r>
        <w:rPr>
          <w:rFonts w:ascii="Times New Roman" w:hAnsi="Times New Roman" w:cs="Times New Roman"/>
          <w:color w:val="000000" w:themeColor="text1"/>
          <w:sz w:val="24"/>
          <w:szCs w:val="24"/>
        </w:rPr>
        <w:t xml:space="preserve">gene (covering 1000 bp upstream to 500 bp downstream of the </w:t>
      </w:r>
      <w:r>
        <w:rPr>
          <w:rFonts w:ascii="Times New Roman" w:hAnsi="Times New Roman" w:cs="Times New Roman"/>
          <w:i/>
          <w:color w:val="000000" w:themeColor="text1"/>
          <w:sz w:val="24"/>
          <w:szCs w:val="24"/>
        </w:rPr>
        <w:t>scaH</w:t>
      </w:r>
      <w:r>
        <w:rPr>
          <w:rFonts w:ascii="Times New Roman" w:hAnsi="Times New Roman" w:cs="Times New Roman"/>
          <w:color w:val="000000" w:themeColor="text1"/>
          <w:sz w:val="24"/>
          <w:szCs w:val="24"/>
        </w:rPr>
        <w:t xml:space="preserve"> stop codon) was PCR amplified using primer pair FD2/ RD2 to introduce </w:t>
      </w:r>
      <w:r>
        <w:rPr>
          <w:rFonts w:ascii="Times New Roman" w:hAnsi="Times New Roman" w:cs="Times New Roman"/>
          <w:i/>
          <w:color w:val="000000" w:themeColor="text1"/>
          <w:sz w:val="24"/>
          <w:szCs w:val="24"/>
        </w:rPr>
        <w:t>Kpn</w:t>
      </w:r>
      <w:r>
        <w:rPr>
          <w:rFonts w:ascii="Times New Roman" w:hAnsi="Times New Roman" w:cs="Times New Roman"/>
          <w:color w:val="000000" w:themeColor="text1"/>
          <w:sz w:val="24"/>
          <w:szCs w:val="24"/>
        </w:rPr>
        <w:t xml:space="preserve">I and </w:t>
      </w:r>
      <w:r>
        <w:rPr>
          <w:rFonts w:ascii="Times New Roman" w:hAnsi="Times New Roman" w:cs="Times New Roman"/>
          <w:i/>
          <w:color w:val="000000" w:themeColor="text1"/>
          <w:sz w:val="24"/>
          <w:szCs w:val="24"/>
        </w:rPr>
        <w:t>Hind</w:t>
      </w:r>
      <w:r>
        <w:rPr>
          <w:rFonts w:ascii="Times New Roman" w:hAnsi="Times New Roman" w:cs="Times New Roman"/>
          <w:color w:val="000000" w:themeColor="text1"/>
          <w:sz w:val="24"/>
          <w:szCs w:val="24"/>
        </w:rPr>
        <w:t xml:space="preserve">III restriction sites respectively (Table 2.8). The upstream and downstream PCR products were digested with </w:t>
      </w:r>
      <w:r>
        <w:rPr>
          <w:rFonts w:ascii="Times New Roman" w:hAnsi="Times New Roman" w:cs="Times New Roman"/>
          <w:i/>
          <w:color w:val="000000" w:themeColor="text1"/>
          <w:sz w:val="24"/>
          <w:szCs w:val="24"/>
        </w:rPr>
        <w:t>Kpn</w:t>
      </w:r>
      <w:r>
        <w:rPr>
          <w:rFonts w:ascii="Times New Roman" w:hAnsi="Times New Roman" w:cs="Times New Roman"/>
          <w:color w:val="000000" w:themeColor="text1"/>
          <w:sz w:val="24"/>
          <w:szCs w:val="24"/>
        </w:rPr>
        <w:t xml:space="preserve">I and ligated together resulting in a </w:t>
      </w:r>
      <w:r>
        <w:rPr>
          <w:rFonts w:ascii="Times New Roman" w:hAnsi="Times New Roman" w:cs="Times New Roman"/>
          <w:i/>
          <w:color w:val="000000" w:themeColor="text1"/>
          <w:sz w:val="24"/>
          <w:szCs w:val="24"/>
        </w:rPr>
        <w:t>scaH</w:t>
      </w:r>
      <w:r>
        <w:rPr>
          <w:rFonts w:ascii="Times New Roman" w:hAnsi="Times New Roman" w:cs="Times New Roman"/>
          <w:color w:val="000000" w:themeColor="text1"/>
          <w:sz w:val="24"/>
          <w:szCs w:val="24"/>
        </w:rPr>
        <w:t xml:space="preserve"> construct containing a </w:t>
      </w:r>
      <w:r>
        <w:rPr>
          <w:rFonts w:ascii="Times New Roman" w:hAnsi="Times New Roman" w:cs="Times New Roman"/>
          <w:i/>
          <w:color w:val="000000" w:themeColor="text1"/>
          <w:sz w:val="24"/>
          <w:szCs w:val="24"/>
        </w:rPr>
        <w:t>Kpn</w:t>
      </w:r>
      <w:r>
        <w:rPr>
          <w:rFonts w:ascii="Times New Roman" w:hAnsi="Times New Roman" w:cs="Times New Roman"/>
          <w:color w:val="000000" w:themeColor="text1"/>
          <w:sz w:val="24"/>
          <w:szCs w:val="24"/>
        </w:rPr>
        <w:t xml:space="preserve">I restriction site for insertional inactivation and flanked by </w:t>
      </w:r>
      <w:r>
        <w:rPr>
          <w:rFonts w:ascii="Times New Roman" w:hAnsi="Times New Roman" w:cs="Times New Roman"/>
          <w:i/>
          <w:color w:val="000000" w:themeColor="text1"/>
          <w:sz w:val="24"/>
          <w:szCs w:val="24"/>
        </w:rPr>
        <w:t>Xba</w:t>
      </w:r>
      <w:r>
        <w:rPr>
          <w:rFonts w:ascii="Times New Roman" w:hAnsi="Times New Roman" w:cs="Times New Roman"/>
          <w:color w:val="000000" w:themeColor="text1"/>
          <w:sz w:val="24"/>
          <w:szCs w:val="24"/>
        </w:rPr>
        <w:t xml:space="preserve">I and </w:t>
      </w:r>
      <w:r>
        <w:rPr>
          <w:rFonts w:ascii="Times New Roman" w:hAnsi="Times New Roman" w:cs="Times New Roman"/>
          <w:i/>
          <w:color w:val="000000" w:themeColor="text1"/>
          <w:sz w:val="24"/>
          <w:szCs w:val="24"/>
        </w:rPr>
        <w:t>Hind</w:t>
      </w:r>
      <w:r>
        <w:rPr>
          <w:rFonts w:ascii="Times New Roman" w:hAnsi="Times New Roman" w:cs="Times New Roman"/>
          <w:color w:val="000000" w:themeColor="text1"/>
          <w:sz w:val="24"/>
          <w:szCs w:val="24"/>
        </w:rPr>
        <w:t xml:space="preserve">III restricition sites. The construct was PCR amplified using primer pair P1/RD2. This PCR product was digested with </w:t>
      </w:r>
      <w:r>
        <w:rPr>
          <w:rFonts w:ascii="Times New Roman" w:hAnsi="Times New Roman" w:cs="Times New Roman"/>
          <w:i/>
          <w:color w:val="000000" w:themeColor="text1"/>
          <w:sz w:val="24"/>
          <w:szCs w:val="24"/>
        </w:rPr>
        <w:t>Xba</w:t>
      </w:r>
      <w:r>
        <w:rPr>
          <w:rFonts w:ascii="Times New Roman" w:hAnsi="Times New Roman" w:cs="Times New Roman"/>
          <w:color w:val="000000" w:themeColor="text1"/>
          <w:sz w:val="24"/>
          <w:szCs w:val="24"/>
        </w:rPr>
        <w:t xml:space="preserve">I and </w:t>
      </w:r>
      <w:r>
        <w:rPr>
          <w:rFonts w:ascii="Times New Roman" w:hAnsi="Times New Roman" w:cs="Times New Roman"/>
          <w:i/>
          <w:color w:val="000000" w:themeColor="text1"/>
          <w:sz w:val="24"/>
          <w:szCs w:val="24"/>
        </w:rPr>
        <w:t>Hind</w:t>
      </w:r>
      <w:r>
        <w:rPr>
          <w:rFonts w:ascii="Times New Roman" w:hAnsi="Times New Roman" w:cs="Times New Roman"/>
          <w:color w:val="000000" w:themeColor="text1"/>
          <w:sz w:val="24"/>
          <w:szCs w:val="24"/>
        </w:rPr>
        <w:t>III, then ligated into similarly digested pMUTIN4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xml:space="preserve"> suicide vector)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{"citationID":"1d0fk9ucl5","properties":{"formattedCitation":"(Vagner et al., 1998)","plainCitation":"(Vagner et al., 1998)"},"citationItems":[{"id":159,"uris":["http://zotero.org/users/944474/items/EI7CDF32"],"uri":["http://zotero.org/users/944474/items/EI7CDF32"],"itemData":{"id":159,"type":"article-journal","title":"A vector for systematic gene inactivation in Bacillus subtilis","container-title":"Microbiology (Reading, England)","page":"3097-3104","volume":"144 ( Pt 11)","abstract":"To study the functions of the uncharacterized open reading frames identified in the Bacillus subtilis genome, several vectors were constructed to perform insertional mutagenesis in the chromosome. All the pMUTIN plasmids carry a lacZ reporter gene and an inducible Pspac promoter, which is tightly regulated and can be induced about 1000-fold. The integration of a pMUTIN vector into the target gene has three consequences: (1) the target gene is inactivated; (2) lacZ becomes transcriptionally fused to the gene, allowing its expression pattern to be monitored; (3) the Pspac promoter controls the transcription of downstream genes in an IPTG-dependent fashion. This last feature is important because B. subtilis genes are often organized in operons. The potential polar effects generated by the integration of the vectors can be alleviated by addition of IPTG. Also, conditional mutants of essential genes can be obtained by integrating pMUTIN vectors upstream of the target gene. The vectors are currently being used for systematic inactivation of genes without known function within the B. subtilis European consortium. pMUTIN characteristics and the inactivation of eight genes in the resA-serA region of the chromosome are presented.","note":"PMID: 9846745","journalAbbreviation":"Microbiology (Reading, Engl.)","author":[{"family":"Vagner","given":"V"},{"family":"Dervyn","given":"E"},{"family":"Ehrlich","given":"S D"}],"issued":{"year":1998,"month":11},"accessed":{"year":2012,"month":4,"day":26},"page-first":"3097"}}],"schema":"https://github.com/citation-style-language/schema/raw/master/csl-citation.json"}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(Vagner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1998)</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The resulting plasmid was named pSA26D (Figure 5.5B).</w:t>
      </w:r>
    </w:p>
    <w:p w:rsidR="007F78F1" w:rsidRDefault="007F78F1" w:rsidP="007F78F1">
      <w:pPr>
        <w:spacing w:after="12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A </w:t>
      </w:r>
      <w:r>
        <w:rPr>
          <w:rFonts w:ascii="Times New Roman" w:hAnsi="Times New Roman" w:cs="Times New Roman"/>
          <w:i/>
          <w:color w:val="000000" w:themeColor="text1"/>
          <w:sz w:val="24"/>
          <w:szCs w:val="24"/>
        </w:rPr>
        <w:t>kan</w:t>
      </w:r>
      <w:r>
        <w:rPr>
          <w:rFonts w:ascii="Times New Roman" w:hAnsi="Times New Roman" w:cs="Times New Roman"/>
          <w:i/>
          <w:color w:val="000000" w:themeColor="text1"/>
          <w:sz w:val="24"/>
          <w:szCs w:val="24"/>
          <w:vertAlign w:val="superscript"/>
        </w:rPr>
        <w:t>R</w:t>
      </w:r>
      <w:r>
        <w:rPr>
          <w:rFonts w:ascii="Times New Roman" w:hAnsi="Times New Roman" w:cs="Times New Roman"/>
          <w:color w:val="000000" w:themeColor="text1"/>
          <w:sz w:val="24"/>
          <w:szCs w:val="24"/>
        </w:rPr>
        <w:t xml:space="preserve"> cassette was amplified from a pGL433b template using primer pair FKan/RKan to introduce flanking </w:t>
      </w:r>
      <w:r>
        <w:rPr>
          <w:rFonts w:ascii="Times New Roman" w:hAnsi="Times New Roman" w:cs="Times New Roman"/>
          <w:i/>
          <w:color w:val="000000" w:themeColor="text1"/>
          <w:sz w:val="24"/>
          <w:szCs w:val="24"/>
        </w:rPr>
        <w:t>Kpn</w:t>
      </w:r>
      <w:r>
        <w:rPr>
          <w:rFonts w:ascii="Times New Roman" w:hAnsi="Times New Roman" w:cs="Times New Roman"/>
          <w:color w:val="000000" w:themeColor="text1"/>
          <w:sz w:val="24"/>
          <w:szCs w:val="24"/>
        </w:rPr>
        <w:t xml:space="preserve">I restriction sequences. The pSA26D vector and </w:t>
      </w:r>
      <w:r>
        <w:rPr>
          <w:rFonts w:ascii="Times New Roman" w:hAnsi="Times New Roman" w:cs="Times New Roman"/>
          <w:i/>
          <w:color w:val="000000" w:themeColor="text1"/>
          <w:sz w:val="24"/>
          <w:szCs w:val="24"/>
        </w:rPr>
        <w:t>kan</w:t>
      </w:r>
      <w:r>
        <w:rPr>
          <w:rFonts w:ascii="Times New Roman" w:hAnsi="Times New Roman" w:cs="Times New Roman"/>
          <w:i/>
          <w:color w:val="000000" w:themeColor="text1"/>
          <w:sz w:val="24"/>
          <w:szCs w:val="24"/>
          <w:vertAlign w:val="superscript"/>
        </w:rPr>
        <w:t>R</w:t>
      </w:r>
      <w:r>
        <w:rPr>
          <w:rFonts w:ascii="Times New Roman" w:hAnsi="Times New Roman" w:cs="Times New Roman"/>
          <w:color w:val="000000" w:themeColor="text1"/>
          <w:sz w:val="24"/>
          <w:szCs w:val="24"/>
        </w:rPr>
        <w:t xml:space="preserve"> cassette were digested with </w:t>
      </w:r>
      <w:r>
        <w:rPr>
          <w:rFonts w:ascii="Times New Roman" w:hAnsi="Times New Roman" w:cs="Times New Roman"/>
          <w:i/>
          <w:color w:val="000000" w:themeColor="text1"/>
          <w:sz w:val="24"/>
          <w:szCs w:val="24"/>
        </w:rPr>
        <w:t>Kpn</w:t>
      </w:r>
      <w:r>
        <w:rPr>
          <w:rFonts w:ascii="Times New Roman" w:hAnsi="Times New Roman" w:cs="Times New Roman"/>
          <w:color w:val="000000" w:themeColor="text1"/>
          <w:sz w:val="24"/>
          <w:szCs w:val="24"/>
        </w:rPr>
        <w:t xml:space="preserve">I and ligated together to produce a suicide vector with </w:t>
      </w:r>
      <w:r>
        <w:rPr>
          <w:rFonts w:ascii="Times New Roman" w:hAnsi="Times New Roman" w:cs="Times New Roman"/>
          <w:i/>
          <w:color w:val="000000" w:themeColor="text1"/>
          <w:sz w:val="24"/>
          <w:szCs w:val="24"/>
        </w:rPr>
        <w:t>kan</w:t>
      </w:r>
      <w:r>
        <w:rPr>
          <w:rFonts w:ascii="Times New Roman" w:hAnsi="Times New Roman" w:cs="Times New Roman"/>
          <w:i/>
          <w:color w:val="000000" w:themeColor="text1"/>
          <w:sz w:val="24"/>
          <w:szCs w:val="24"/>
          <w:vertAlign w:val="superscript"/>
        </w:rPr>
        <w:t>R</w:t>
      </w:r>
      <w:r>
        <w:rPr>
          <w:rFonts w:ascii="Times New Roman" w:hAnsi="Times New Roman" w:cs="Times New Roman"/>
          <w:color w:val="000000" w:themeColor="text1"/>
          <w:sz w:val="24"/>
          <w:szCs w:val="24"/>
        </w:rPr>
        <w:t xml:space="preserve"> inactivated </w:t>
      </w:r>
      <w:r>
        <w:rPr>
          <w:rFonts w:ascii="Times New Roman" w:hAnsi="Times New Roman" w:cs="Times New Roman"/>
          <w:i/>
          <w:color w:val="000000" w:themeColor="text1"/>
          <w:sz w:val="24"/>
          <w:szCs w:val="24"/>
        </w:rPr>
        <w:t>scaH</w:t>
      </w:r>
      <w:r>
        <w:rPr>
          <w:rFonts w:ascii="Times New Roman" w:hAnsi="Times New Roman" w:cs="Times New Roman"/>
          <w:color w:val="000000" w:themeColor="text1"/>
          <w:sz w:val="24"/>
          <w:szCs w:val="24"/>
        </w:rPr>
        <w:t xml:space="preserve">, dubbed pSA26DKan (Figure 5.5B). </w:t>
      </w:r>
    </w:p>
    <w:p w:rsidR="007F78F1" w:rsidRDefault="007F78F1" w:rsidP="007F78F1">
      <w:pPr>
        <w:spacing w:after="120" w:line="480" w:lineRule="auto"/>
        <w:jc w:val="both"/>
        <w:rPr>
          <w:rFonts w:ascii="Times New Roman" w:hAnsi="Times New Roman" w:cs="Times New Roman"/>
          <w:color w:val="000000" w:themeColor="text1"/>
          <w:sz w:val="24"/>
          <w:szCs w:val="24"/>
        </w:rPr>
      </w:pPr>
    </w:p>
    <w:p w:rsidR="007F78F1" w:rsidRDefault="007F78F1" w:rsidP="007F78F1">
      <w:pPr>
        <w:spacing w:after="120" w:line="480" w:lineRule="auto"/>
        <w:jc w:val="both"/>
        <w:rPr>
          <w:rFonts w:ascii="Times New Roman" w:hAnsi="Times New Roman" w:cs="Times New Roman"/>
          <w:i/>
          <w:color w:val="000000" w:themeColor="text1"/>
          <w:sz w:val="28"/>
          <w:szCs w:val="28"/>
        </w:rPr>
      </w:pPr>
      <w:r>
        <w:rPr>
          <w:rFonts w:ascii="Times New Roman" w:hAnsi="Times New Roman" w:cs="Times New Roman"/>
          <w:color w:val="000000" w:themeColor="text1"/>
          <w:sz w:val="28"/>
          <w:szCs w:val="28"/>
        </w:rPr>
        <w:t>5.2.3.3</w:t>
      </w:r>
      <w:r>
        <w:rPr>
          <w:rFonts w:ascii="Times New Roman" w:hAnsi="Times New Roman" w:cs="Times New Roman"/>
          <w:color w:val="000000" w:themeColor="text1"/>
          <w:sz w:val="28"/>
          <w:szCs w:val="28"/>
        </w:rPr>
        <w:tab/>
        <w:t xml:space="preserve">Insertion deletion of </w:t>
      </w:r>
      <w:r>
        <w:rPr>
          <w:rFonts w:ascii="Times New Roman" w:hAnsi="Times New Roman" w:cs="Times New Roman"/>
          <w:i/>
          <w:color w:val="000000" w:themeColor="text1"/>
          <w:sz w:val="28"/>
          <w:szCs w:val="28"/>
        </w:rPr>
        <w:t xml:space="preserve">sagB </w:t>
      </w:r>
      <w:r>
        <w:rPr>
          <w:rFonts w:ascii="Times New Roman" w:hAnsi="Times New Roman" w:cs="Times New Roman"/>
          <w:color w:val="000000" w:themeColor="text1"/>
          <w:sz w:val="28"/>
          <w:szCs w:val="28"/>
        </w:rPr>
        <w:t>and</w:t>
      </w:r>
      <w:r>
        <w:rPr>
          <w:rFonts w:ascii="Times New Roman" w:hAnsi="Times New Roman" w:cs="Times New Roman"/>
          <w:i/>
          <w:color w:val="000000" w:themeColor="text1"/>
          <w:sz w:val="28"/>
          <w:szCs w:val="28"/>
        </w:rPr>
        <w:t xml:space="preserve"> scaH</w:t>
      </w:r>
    </w:p>
    <w:p w:rsidR="007F78F1" w:rsidRDefault="007F78F1" w:rsidP="007F78F1">
      <w:pPr>
        <w:spacing w:after="12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 3kb DNA fragment including </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and the spanning region was PCR amplified from SH1000 genomic DNA using primer pair P6/P7 to introduce flanking </w:t>
      </w:r>
      <w:r>
        <w:rPr>
          <w:rFonts w:ascii="Times New Roman" w:hAnsi="Times New Roman" w:cs="Times New Roman"/>
          <w:i/>
          <w:color w:val="000000" w:themeColor="text1"/>
          <w:sz w:val="24"/>
          <w:szCs w:val="24"/>
        </w:rPr>
        <w:t>Bam</w:t>
      </w:r>
      <w:r>
        <w:rPr>
          <w:rFonts w:ascii="Times New Roman" w:hAnsi="Times New Roman" w:cs="Times New Roman"/>
          <w:color w:val="000000" w:themeColor="text1"/>
          <w:sz w:val="24"/>
          <w:szCs w:val="24"/>
        </w:rPr>
        <w:t xml:space="preserve">HI and </w:t>
      </w:r>
      <w:r>
        <w:rPr>
          <w:rFonts w:ascii="Times New Roman" w:hAnsi="Times New Roman" w:cs="Times New Roman"/>
          <w:i/>
          <w:color w:val="000000" w:themeColor="text1"/>
          <w:sz w:val="24"/>
          <w:szCs w:val="24"/>
        </w:rPr>
        <w:t>Sac</w:t>
      </w:r>
      <w:r>
        <w:rPr>
          <w:rFonts w:ascii="Times New Roman" w:hAnsi="Times New Roman" w:cs="Times New Roman"/>
          <w:color w:val="000000" w:themeColor="text1"/>
          <w:sz w:val="24"/>
          <w:szCs w:val="24"/>
        </w:rPr>
        <w:t xml:space="preserve">I restriction sites respectively. Following </w:t>
      </w:r>
      <w:r>
        <w:rPr>
          <w:rFonts w:ascii="Times New Roman" w:hAnsi="Times New Roman" w:cs="Times New Roman"/>
          <w:i/>
          <w:color w:val="000000" w:themeColor="text1"/>
          <w:sz w:val="24"/>
          <w:szCs w:val="24"/>
        </w:rPr>
        <w:t>Bam</w:t>
      </w:r>
      <w:r>
        <w:rPr>
          <w:rFonts w:ascii="Times New Roman" w:hAnsi="Times New Roman" w:cs="Times New Roman"/>
          <w:color w:val="000000" w:themeColor="text1"/>
          <w:sz w:val="24"/>
          <w:szCs w:val="24"/>
        </w:rPr>
        <w:t>HI/</w:t>
      </w:r>
      <w:r>
        <w:rPr>
          <w:rFonts w:ascii="Times New Roman" w:hAnsi="Times New Roman" w:cs="Times New Roman"/>
          <w:i/>
          <w:color w:val="000000" w:themeColor="text1"/>
          <w:sz w:val="24"/>
          <w:szCs w:val="24"/>
        </w:rPr>
        <w:t>Sac</w:t>
      </w:r>
      <w:r>
        <w:rPr>
          <w:rFonts w:ascii="Times New Roman" w:hAnsi="Times New Roman" w:cs="Times New Roman"/>
          <w:color w:val="000000" w:themeColor="text1"/>
          <w:sz w:val="24"/>
          <w:szCs w:val="24"/>
        </w:rPr>
        <w:t xml:space="preserve">I digest, the </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cassette was cloned into small shuttle-vector pUC19. A 600 bp deletion from the intact </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gene and incorporation of a central </w:t>
      </w:r>
      <w:r>
        <w:rPr>
          <w:rFonts w:ascii="Times New Roman" w:hAnsi="Times New Roman" w:cs="Times New Roman"/>
          <w:i/>
          <w:color w:val="000000" w:themeColor="text1"/>
          <w:sz w:val="24"/>
          <w:szCs w:val="24"/>
        </w:rPr>
        <w:t>Kpn</w:t>
      </w:r>
      <w:r>
        <w:rPr>
          <w:rFonts w:ascii="Times New Roman" w:hAnsi="Times New Roman" w:cs="Times New Roman"/>
          <w:color w:val="000000" w:themeColor="text1"/>
          <w:sz w:val="24"/>
          <w:szCs w:val="24"/>
        </w:rPr>
        <w:t>I restriction site was achieved by inverse PCR using primer pair InvF1 and InvR1 (Table 2.8). The resulting plasmid was pInvSAT.</w:t>
      </w:r>
    </w:p>
    <w:p w:rsidR="007F78F1" w:rsidRDefault="007F78F1" w:rsidP="007F78F1">
      <w:pPr>
        <w:spacing w:after="12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The </w:t>
      </w:r>
      <w:r>
        <w:rPr>
          <w:rFonts w:ascii="Times New Roman" w:hAnsi="Times New Roman" w:cs="Times New Roman"/>
          <w:i/>
          <w:color w:val="000000" w:themeColor="text1"/>
          <w:sz w:val="24"/>
          <w:szCs w:val="24"/>
        </w:rPr>
        <w:t xml:space="preserve">tetM </w:t>
      </w:r>
      <w:r>
        <w:rPr>
          <w:rFonts w:ascii="Times New Roman" w:hAnsi="Times New Roman" w:cs="Times New Roman"/>
          <w:color w:val="000000" w:themeColor="text1"/>
          <w:sz w:val="24"/>
          <w:szCs w:val="24"/>
        </w:rPr>
        <w:t xml:space="preserve">gene was PCR amplified from pCN36 (Charpentier </w:t>
      </w:r>
      <w:r>
        <w:rPr>
          <w:rFonts w:ascii="Times New Roman" w:hAnsi="Times New Roman" w:cs="Times New Roman"/>
          <w:i/>
          <w:color w:val="000000" w:themeColor="text1"/>
          <w:sz w:val="24"/>
          <w:szCs w:val="24"/>
        </w:rPr>
        <w:t>et al</w:t>
      </w:r>
      <w:r>
        <w:rPr>
          <w:rFonts w:ascii="Times New Roman" w:hAnsi="Times New Roman" w:cs="Times New Roman"/>
          <w:color w:val="000000" w:themeColor="text1"/>
          <w:sz w:val="24"/>
          <w:szCs w:val="24"/>
        </w:rPr>
        <w:t xml:space="preserve">., 2004) using primers MinFK3 and MinRK3 (Table 2.8) to introduce flanking </w:t>
      </w:r>
      <w:r>
        <w:rPr>
          <w:rFonts w:ascii="Times New Roman" w:hAnsi="Times New Roman" w:cs="Times New Roman"/>
          <w:i/>
          <w:color w:val="000000" w:themeColor="text1"/>
          <w:sz w:val="24"/>
          <w:szCs w:val="24"/>
        </w:rPr>
        <w:t>Kpn</w:t>
      </w:r>
      <w:r>
        <w:rPr>
          <w:rFonts w:ascii="Times New Roman" w:hAnsi="Times New Roman" w:cs="Times New Roman"/>
          <w:color w:val="000000" w:themeColor="text1"/>
          <w:sz w:val="24"/>
          <w:szCs w:val="24"/>
        </w:rPr>
        <w:t xml:space="preserve">I restriction sites. Following </w:t>
      </w:r>
      <w:r>
        <w:rPr>
          <w:rFonts w:ascii="Times New Roman" w:hAnsi="Times New Roman" w:cs="Times New Roman"/>
          <w:i/>
          <w:color w:val="000000" w:themeColor="text1"/>
          <w:sz w:val="24"/>
          <w:szCs w:val="24"/>
        </w:rPr>
        <w:t>Kpn</w:t>
      </w:r>
      <w:r>
        <w:rPr>
          <w:rFonts w:ascii="Times New Roman" w:hAnsi="Times New Roman" w:cs="Times New Roman"/>
          <w:color w:val="000000" w:themeColor="text1"/>
          <w:sz w:val="24"/>
          <w:szCs w:val="24"/>
        </w:rPr>
        <w:t xml:space="preserve">I digest, the </w:t>
      </w:r>
      <w:r>
        <w:rPr>
          <w:rFonts w:ascii="Times New Roman" w:hAnsi="Times New Roman" w:cs="Times New Roman"/>
          <w:i/>
          <w:color w:val="000000" w:themeColor="text1"/>
          <w:sz w:val="24"/>
          <w:szCs w:val="24"/>
        </w:rPr>
        <w:t>tetM</w:t>
      </w:r>
      <w:r>
        <w:rPr>
          <w:rFonts w:ascii="Times New Roman" w:hAnsi="Times New Roman" w:cs="Times New Roman"/>
          <w:color w:val="000000" w:themeColor="text1"/>
          <w:sz w:val="24"/>
          <w:szCs w:val="24"/>
        </w:rPr>
        <w:t xml:space="preserve"> PCR product was cloned into pInvSAT. The </w:t>
      </w:r>
      <w:r>
        <w:rPr>
          <w:rFonts w:ascii="Times New Roman" w:hAnsi="Times New Roman" w:cs="Times New Roman"/>
          <w:i/>
          <w:color w:val="000000" w:themeColor="text1"/>
          <w:sz w:val="24"/>
          <w:szCs w:val="24"/>
        </w:rPr>
        <w:t>sagB::tetM</w:t>
      </w:r>
      <w:r>
        <w:rPr>
          <w:rFonts w:ascii="Times New Roman" w:hAnsi="Times New Roman" w:cs="Times New Roman"/>
          <w:color w:val="000000" w:themeColor="text1"/>
          <w:sz w:val="24"/>
          <w:szCs w:val="24"/>
        </w:rPr>
        <w:t xml:space="preserve"> cassette was excised by </w:t>
      </w:r>
      <w:r>
        <w:rPr>
          <w:rFonts w:ascii="Times New Roman" w:hAnsi="Times New Roman" w:cs="Times New Roman"/>
          <w:i/>
          <w:color w:val="000000" w:themeColor="text1"/>
          <w:sz w:val="24"/>
          <w:szCs w:val="24"/>
        </w:rPr>
        <w:t>Bam</w:t>
      </w:r>
      <w:r>
        <w:rPr>
          <w:rFonts w:ascii="Times New Roman" w:hAnsi="Times New Roman" w:cs="Times New Roman"/>
          <w:color w:val="000000" w:themeColor="text1"/>
          <w:sz w:val="24"/>
          <w:szCs w:val="24"/>
        </w:rPr>
        <w:t>HI/</w:t>
      </w:r>
      <w:r>
        <w:rPr>
          <w:rFonts w:ascii="Times New Roman" w:hAnsi="Times New Roman" w:cs="Times New Roman"/>
          <w:i/>
          <w:color w:val="000000" w:themeColor="text1"/>
          <w:sz w:val="24"/>
          <w:szCs w:val="24"/>
        </w:rPr>
        <w:t>Sac</w:t>
      </w:r>
      <w:r>
        <w:rPr>
          <w:rFonts w:ascii="Times New Roman" w:hAnsi="Times New Roman" w:cs="Times New Roman"/>
          <w:color w:val="000000" w:themeColor="text1"/>
          <w:sz w:val="24"/>
          <w:szCs w:val="24"/>
        </w:rPr>
        <w:t xml:space="preserve">I digest and ligated into similarly digested pMUTIN4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{"citationID":"2g8vgn3aa1","properties":{"formattedCitation":"(Vagner et al., 1998)","plainCitation":"(Vagner et al., 1998)"},"citationItems":[{"id":159,"uris":["http://zotero.org/users/944474/items/EI7CDF32"],"uri":["http://zotero.org/users/944474/items/EI7CDF32"],"itemData":{"id":159,"type":"article-journal","title":"A vector for systematic gene inactivation in Bacillus subtilis","container-title":"Microbiology (Reading, England)","page":"3097-3104","volume":"144 ( Pt 11)","abstract":"To study the functions of the uncharacterized open reading frames identified in the Bacillus subtilis genome, several vectors were constructed to perform insertional mutagenesis in the chromosome. All the pMUTIN plasmids carry a lacZ reporter gene and an inducible Pspac promoter, which is tightly regulated and can be induced about 1000-fold. The integration of a pMUTIN vector into the target gene has three consequences: (1) the target gene is inactivated; (2) lacZ becomes transcriptionally fused to the gene, allowing its expression pattern to be monitored; (3) the Pspac promoter controls the transcription of downstream genes in an IPTG-dependent fashion. This last feature is important because B. subtilis genes are often organized in operons. The potential polar effects generated by the integration of the vectors can be alleviated by addition of IPTG. Also, conditional mutants of essential genes can be obtained by integrating pMUTIN vectors upstream of the target gene. The vectors are currently being used for systematic inactivation of genes without known function within the B. subtilis European consortium. pMUTIN characteristics and the inactivation of eight genes in the resA-serA region of the chromosome are presented.","note":"PMID: 9846745","journalAbbreviation":"Microbiology (Reading, Engl.)","author":[{"family":"Vagner","given":"V"},{"family":"Dervyn","given":"E"},{"family":"Ehrlich","given":"S D"}],"issued":{"year":1998,"month":11},"accessed":{"year":2012,"month":4,"day":26},"page-first":"3097"}}],"schema":"https://github.com/citation-style-language/schema/raw/master/csl-citation.json"}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(Vagner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1998)</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to produce </w:t>
      </w:r>
      <w:r>
        <w:rPr>
          <w:rFonts w:ascii="Times New Roman" w:hAnsi="Times New Roman" w:cs="Times New Roman"/>
          <w:i/>
          <w:color w:val="000000" w:themeColor="text1"/>
          <w:sz w:val="24"/>
          <w:szCs w:val="24"/>
        </w:rPr>
        <w:t xml:space="preserve">S. aureus </w:t>
      </w:r>
      <w:r>
        <w:rPr>
          <w:rFonts w:ascii="Times New Roman" w:hAnsi="Times New Roman" w:cs="Times New Roman"/>
          <w:color w:val="000000" w:themeColor="text1"/>
          <w:sz w:val="24"/>
          <w:szCs w:val="24"/>
        </w:rPr>
        <w:t xml:space="preserve">suicide vector pSA18M (Figure 5.5C). However, despite repeated attempts, transformation of pSA18M into </w:t>
      </w:r>
      <w:r>
        <w:rPr>
          <w:rFonts w:ascii="Times New Roman" w:hAnsi="Times New Roman" w:cs="Times New Roman"/>
          <w:i/>
          <w:color w:val="000000" w:themeColor="text1"/>
          <w:sz w:val="24"/>
          <w:szCs w:val="24"/>
        </w:rPr>
        <w:t xml:space="preserve">S. aureus </w:t>
      </w:r>
      <w:r>
        <w:rPr>
          <w:rFonts w:ascii="Times New Roman" w:hAnsi="Times New Roman" w:cs="Times New Roman"/>
          <w:color w:val="000000" w:themeColor="text1"/>
          <w:sz w:val="24"/>
          <w:szCs w:val="24"/>
        </w:rPr>
        <w:t xml:space="preserve">RN4220 failed to produce a </w:t>
      </w:r>
      <w:r>
        <w:rPr>
          <w:rFonts w:ascii="Times New Roman" w:hAnsi="Times New Roman" w:cs="Times New Roman"/>
          <w:i/>
          <w:color w:val="000000" w:themeColor="text1"/>
          <w:sz w:val="24"/>
          <w:szCs w:val="24"/>
        </w:rPr>
        <w:t>sagB::tetM</w:t>
      </w:r>
      <w:r>
        <w:rPr>
          <w:rFonts w:ascii="Times New Roman" w:hAnsi="Times New Roman" w:cs="Times New Roman"/>
          <w:color w:val="000000" w:themeColor="text1"/>
          <w:sz w:val="24"/>
          <w:szCs w:val="24"/>
        </w:rPr>
        <w:t xml:space="preserve"> genotype by vector integration (indicated by an ery</w:t>
      </w:r>
      <w:r>
        <w:rPr>
          <w:rFonts w:ascii="Times New Roman" w:hAnsi="Times New Roman" w:cs="Times New Roman"/>
          <w:color w:val="000000" w:themeColor="text1"/>
          <w:sz w:val="24"/>
          <w:szCs w:val="24"/>
          <w:vertAlign w:val="superscript"/>
        </w:rPr>
        <w:t>S</w:t>
      </w:r>
      <w:r>
        <w:rPr>
          <w:rFonts w:ascii="Times New Roman" w:hAnsi="Times New Roman" w:cs="Times New Roman"/>
          <w:color w:val="000000" w:themeColor="text1"/>
          <w:sz w:val="24"/>
          <w:szCs w:val="24"/>
        </w:rPr>
        <w:t>, tet</w:t>
      </w:r>
      <w:r>
        <w:rPr>
          <w:rFonts w:ascii="Times New Roman" w:hAnsi="Times New Roman" w:cs="Times New Roman"/>
          <w:color w:val="000000" w:themeColor="text1"/>
          <w:sz w:val="24"/>
          <w:szCs w:val="24"/>
          <w:vertAlign w:val="superscript"/>
        </w:rPr>
        <w:t>R</w:t>
      </w:r>
      <w:r>
        <w:rPr>
          <w:rFonts w:ascii="Times New Roman" w:hAnsi="Times New Roman" w:cs="Times New Roman"/>
          <w:color w:val="000000" w:themeColor="text1"/>
          <w:sz w:val="24"/>
          <w:szCs w:val="24"/>
        </w:rPr>
        <w:t xml:space="preserve"> phenotype). The </w:t>
      </w:r>
      <w:r>
        <w:rPr>
          <w:rFonts w:ascii="Times New Roman" w:hAnsi="Times New Roman" w:cs="Times New Roman"/>
          <w:i/>
          <w:color w:val="000000" w:themeColor="text1"/>
          <w:sz w:val="24"/>
          <w:szCs w:val="24"/>
        </w:rPr>
        <w:t>scaH::kan</w:t>
      </w:r>
      <w:r>
        <w:rPr>
          <w:rFonts w:ascii="Times New Roman" w:hAnsi="Times New Roman" w:cs="Times New Roman"/>
          <w:color w:val="000000" w:themeColor="text1"/>
          <w:sz w:val="24"/>
          <w:szCs w:val="24"/>
        </w:rPr>
        <w:t xml:space="preserve"> and </w:t>
      </w:r>
      <w:r>
        <w:rPr>
          <w:rFonts w:ascii="Times New Roman" w:hAnsi="Times New Roman" w:cs="Times New Roman"/>
          <w:i/>
          <w:color w:val="000000" w:themeColor="text1"/>
          <w:sz w:val="24"/>
          <w:szCs w:val="24"/>
        </w:rPr>
        <w:t>sagB::tetM</w:t>
      </w:r>
      <w:r>
        <w:rPr>
          <w:rFonts w:ascii="Times New Roman" w:hAnsi="Times New Roman" w:cs="Times New Roman"/>
          <w:color w:val="000000" w:themeColor="text1"/>
          <w:sz w:val="24"/>
          <w:szCs w:val="24"/>
        </w:rPr>
        <w:t xml:space="preserve"> resistance cassettes were therefore exchanged between pSA26DKan and pSA18M by</w:t>
      </w:r>
      <w:r>
        <w:rPr>
          <w:rFonts w:ascii="Times New Roman" w:hAnsi="Times New Roman" w:cs="Times New Roman"/>
          <w:i/>
          <w:color w:val="000000" w:themeColor="text1"/>
          <w:sz w:val="24"/>
          <w:szCs w:val="24"/>
        </w:rPr>
        <w:t xml:space="preserve"> kpn</w:t>
      </w:r>
      <w:r>
        <w:rPr>
          <w:rFonts w:ascii="Times New Roman" w:hAnsi="Times New Roman" w:cs="Times New Roman"/>
          <w:color w:val="000000" w:themeColor="text1"/>
          <w:sz w:val="24"/>
          <w:szCs w:val="24"/>
        </w:rPr>
        <w:t>I digestion and reciprocal ligation to give pSA26Min (</w:t>
      </w:r>
      <w:r>
        <w:rPr>
          <w:rFonts w:ascii="Times New Roman" w:hAnsi="Times New Roman" w:cs="Times New Roman"/>
          <w:i/>
          <w:color w:val="000000" w:themeColor="text1"/>
          <w:sz w:val="24"/>
          <w:szCs w:val="24"/>
        </w:rPr>
        <w:t>scaH::tetM</w:t>
      </w:r>
      <w:r>
        <w:rPr>
          <w:rFonts w:ascii="Times New Roman" w:hAnsi="Times New Roman" w:cs="Times New Roman"/>
          <w:color w:val="000000" w:themeColor="text1"/>
          <w:sz w:val="24"/>
          <w:szCs w:val="24"/>
        </w:rPr>
        <w:t>) and pSA18Kan (</w:t>
      </w:r>
      <w:r>
        <w:rPr>
          <w:rFonts w:ascii="Times New Roman" w:hAnsi="Times New Roman" w:cs="Times New Roman"/>
          <w:i/>
          <w:color w:val="000000" w:themeColor="text1"/>
          <w:sz w:val="24"/>
          <w:szCs w:val="24"/>
        </w:rPr>
        <w:t>sagB::kan</w:t>
      </w:r>
      <w:r>
        <w:rPr>
          <w:rFonts w:ascii="Times New Roman" w:hAnsi="Times New Roman" w:cs="Times New Roman"/>
          <w:color w:val="000000" w:themeColor="text1"/>
          <w:sz w:val="24"/>
          <w:szCs w:val="24"/>
        </w:rPr>
        <w:t xml:space="preserve">). (Figure 5.5D) The pSA26Min and pSA18Kan constructs were successfully transformed into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xml:space="preserve"> RN4220 and subsequently transduced into the SH1000 </w:t>
      </w:r>
      <w:r>
        <w:rPr>
          <w:rFonts w:ascii="Times New Roman" w:hAnsi="Times New Roman" w:cs="Times New Roman"/>
          <w:color w:val="000000" w:themeColor="text1"/>
          <w:sz w:val="24"/>
          <w:szCs w:val="24"/>
        </w:rPr>
        <w:lastRenderedPageBreak/>
        <w:t xml:space="preserve">background using Φ85 lysates, producing strains SJF2115 (SH1000 </w:t>
      </w:r>
      <w:r>
        <w:rPr>
          <w:rFonts w:ascii="Times New Roman" w:hAnsi="Times New Roman" w:cs="Times New Roman"/>
          <w:i/>
          <w:color w:val="000000" w:themeColor="text1"/>
          <w:sz w:val="24"/>
          <w:szCs w:val="24"/>
        </w:rPr>
        <w:t>scaH::tetM</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and SJF2117 (SH1000 </w:t>
      </w:r>
      <w:r>
        <w:rPr>
          <w:rFonts w:ascii="Times New Roman" w:hAnsi="Times New Roman" w:cs="Times New Roman"/>
          <w:i/>
          <w:color w:val="000000" w:themeColor="text1"/>
          <w:sz w:val="24"/>
          <w:szCs w:val="24"/>
        </w:rPr>
        <w:t>sagB::kan</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Gene inactivation by double-crossover was indicated by </w:t>
      </w:r>
      <w:r>
        <w:rPr>
          <w:rFonts w:ascii="Times New Roman" w:hAnsi="Times New Roman" w:cs="Times New Roman"/>
          <w:i/>
          <w:color w:val="000000" w:themeColor="text1"/>
          <w:sz w:val="24"/>
          <w:szCs w:val="24"/>
        </w:rPr>
        <w:t>ery</w:t>
      </w:r>
      <w:r>
        <w:rPr>
          <w:rFonts w:ascii="Times New Roman" w:hAnsi="Times New Roman" w:cs="Times New Roman"/>
          <w:i/>
          <w:color w:val="000000" w:themeColor="text1"/>
          <w:sz w:val="24"/>
          <w:szCs w:val="24"/>
          <w:vertAlign w:val="superscript"/>
        </w:rPr>
        <w:t>S</w:t>
      </w:r>
      <w:r>
        <w:rPr>
          <w:rFonts w:ascii="Times New Roman" w:hAnsi="Times New Roman" w:cs="Times New Roman"/>
          <w:color w:val="000000" w:themeColor="text1"/>
          <w:sz w:val="24"/>
          <w:szCs w:val="24"/>
        </w:rPr>
        <w:t xml:space="preserve">, </w:t>
      </w:r>
      <w:r>
        <w:rPr>
          <w:rFonts w:ascii="Times New Roman" w:hAnsi="Times New Roman" w:cs="Times New Roman"/>
          <w:i/>
          <w:color w:val="000000" w:themeColor="text1"/>
          <w:sz w:val="24"/>
          <w:szCs w:val="24"/>
        </w:rPr>
        <w:t>tet</w:t>
      </w:r>
      <w:r>
        <w:rPr>
          <w:rFonts w:ascii="Times New Roman" w:hAnsi="Times New Roman" w:cs="Times New Roman"/>
          <w:i/>
          <w:color w:val="000000" w:themeColor="text1"/>
          <w:sz w:val="24"/>
          <w:szCs w:val="24"/>
          <w:vertAlign w:val="superscript"/>
        </w:rPr>
        <w:t>R</w:t>
      </w:r>
      <w:r>
        <w:rPr>
          <w:rFonts w:ascii="Times New Roman" w:hAnsi="Times New Roman" w:cs="Times New Roman"/>
          <w:color w:val="000000" w:themeColor="text1"/>
          <w:sz w:val="24"/>
          <w:szCs w:val="24"/>
        </w:rPr>
        <w:t xml:space="preserve"> (SJF2115) or </w:t>
      </w:r>
      <w:r>
        <w:rPr>
          <w:rFonts w:ascii="Times New Roman" w:hAnsi="Times New Roman" w:cs="Times New Roman"/>
          <w:i/>
          <w:color w:val="000000" w:themeColor="text1"/>
          <w:sz w:val="24"/>
          <w:szCs w:val="24"/>
        </w:rPr>
        <w:t>ery</w:t>
      </w:r>
      <w:r>
        <w:rPr>
          <w:rFonts w:ascii="Times New Roman" w:hAnsi="Times New Roman" w:cs="Times New Roman"/>
          <w:i/>
          <w:color w:val="000000" w:themeColor="text1"/>
          <w:sz w:val="24"/>
          <w:szCs w:val="24"/>
          <w:vertAlign w:val="superscript"/>
        </w:rPr>
        <w:t>S</w:t>
      </w:r>
      <w:r>
        <w:rPr>
          <w:rFonts w:ascii="Times New Roman" w:hAnsi="Times New Roman" w:cs="Times New Roman"/>
          <w:color w:val="000000" w:themeColor="text1"/>
          <w:sz w:val="24"/>
          <w:szCs w:val="24"/>
        </w:rPr>
        <w:t>,</w:t>
      </w:r>
      <w:r>
        <w:rPr>
          <w:rFonts w:ascii="Times New Roman" w:hAnsi="Times New Roman" w:cs="Times New Roman"/>
          <w:i/>
          <w:color w:val="000000" w:themeColor="text1"/>
          <w:sz w:val="24"/>
          <w:szCs w:val="24"/>
        </w:rPr>
        <w:t xml:space="preserve"> kan</w:t>
      </w:r>
      <w:r>
        <w:rPr>
          <w:rFonts w:ascii="Times New Roman" w:hAnsi="Times New Roman" w:cs="Times New Roman"/>
          <w:i/>
          <w:color w:val="000000" w:themeColor="text1"/>
          <w:sz w:val="24"/>
          <w:szCs w:val="24"/>
          <w:vertAlign w:val="superscript"/>
        </w:rPr>
        <w:t>R</w:t>
      </w:r>
      <w:r>
        <w:rPr>
          <w:rFonts w:ascii="Times New Roman" w:hAnsi="Times New Roman" w:cs="Times New Roman"/>
          <w:color w:val="000000" w:themeColor="text1"/>
          <w:sz w:val="24"/>
          <w:szCs w:val="24"/>
        </w:rPr>
        <w:t xml:space="preserve"> (SJF2117) phenotypes and confirmed by PCR and Southern blot analysis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{"citationID":"2osuee9aa3","properties":{"formattedCitation":"(Mohamad, 2007)","plainCitation":"(Mohamad, 2007)"},"citationItems":[{"id":163,"uris":["http://zotero.org/users/944474/items/4H9DMNJK"],"uri":["http://zotero.org/users/944474/items/4H9DMNJK"],"itemData":{"id":163,"type":"thesis","title":"Analysis of the N-acetylglucosaminidase family of Staphylococcus aureus","publisher":"University of Sheffield","author":[{"family":"Mohamad","given":"Sharifa Aminah Syed"}],"issued":{"year":2007,"month":2}}}],"schema":"https://github.com/citation-style-language/schema/raw/master/csl-citation.json"}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(Mohamad, 2007)</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p>
    <w:p w:rsidR="007F78F1" w:rsidRDefault="007F78F1" w:rsidP="007F78F1">
      <w:pPr>
        <w:spacing w:after="120" w:line="480" w:lineRule="auto"/>
        <w:jc w:val="both"/>
        <w:rPr>
          <w:rFonts w:ascii="Times New Roman" w:hAnsi="Times New Roman" w:cs="Times New Roman"/>
          <w:color w:val="000000" w:themeColor="text1"/>
          <w:sz w:val="28"/>
          <w:szCs w:val="28"/>
        </w:rPr>
      </w:pPr>
    </w:p>
    <w:p w:rsidR="007F78F1" w:rsidRDefault="007F78F1" w:rsidP="007F78F1">
      <w:pPr>
        <w:spacing w:after="120" w:line="48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5.2.3.5</w:t>
      </w:r>
      <w:r>
        <w:rPr>
          <w:rFonts w:ascii="Times New Roman" w:hAnsi="Times New Roman" w:cs="Times New Roman"/>
          <w:color w:val="000000" w:themeColor="text1"/>
          <w:sz w:val="28"/>
          <w:szCs w:val="28"/>
        </w:rPr>
        <w:tab/>
        <w:t>Construction of SH1000 mutant combinations</w:t>
      </w:r>
    </w:p>
    <w:p w:rsidR="007F78F1" w:rsidRDefault="007F78F1" w:rsidP="007F78F1">
      <w:pPr>
        <w:spacing w:after="12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Construction of every combination of single, double and triple knockout mutant in the SH1000 background was achieved by sequential transduction with Φ11 lysates generated from each of the single mutants (</w:t>
      </w:r>
      <w:r>
        <w:rPr>
          <w:rFonts w:ascii="Times New Roman" w:hAnsi="Times New Roman" w:cs="Times New Roman"/>
          <w:i/>
          <w:color w:val="000000" w:themeColor="text1"/>
          <w:sz w:val="24"/>
          <w:szCs w:val="24"/>
        </w:rPr>
        <w:t>atl::</w:t>
      </w:r>
      <w:r>
        <w:rPr>
          <w:rFonts w:ascii="Times New Roman" w:hAnsi="Times New Roman" w:cs="Times New Roman"/>
          <w:i/>
          <w:color w:val="000000" w:themeColor="text1"/>
        </w:rPr>
        <w:t>pAZ106</w:t>
      </w:r>
      <w:r>
        <w:rPr>
          <w:rFonts w:ascii="Times New Roman" w:hAnsi="Times New Roman" w:cs="Times New Roman"/>
          <w:color w:val="000000" w:themeColor="text1"/>
          <w:sz w:val="24"/>
          <w:szCs w:val="24"/>
        </w:rPr>
        <w:t xml:space="preserve">, </w:t>
      </w:r>
      <w:r>
        <w:rPr>
          <w:rFonts w:ascii="Times New Roman" w:hAnsi="Times New Roman" w:cs="Times New Roman"/>
          <w:i/>
          <w:color w:val="000000" w:themeColor="text1"/>
          <w:sz w:val="24"/>
          <w:szCs w:val="24"/>
        </w:rPr>
        <w:t>sagB::kan</w:t>
      </w:r>
      <w:r>
        <w:rPr>
          <w:rFonts w:ascii="Times New Roman" w:hAnsi="Times New Roman" w:cs="Times New Roman"/>
          <w:color w:val="000000" w:themeColor="text1"/>
          <w:sz w:val="24"/>
          <w:szCs w:val="24"/>
        </w:rPr>
        <w:t xml:space="preserve">, </w:t>
      </w:r>
      <w:r>
        <w:rPr>
          <w:rFonts w:ascii="Times New Roman" w:hAnsi="Times New Roman" w:cs="Times New Roman"/>
          <w:i/>
          <w:color w:val="000000" w:themeColor="text1"/>
          <w:sz w:val="24"/>
          <w:szCs w:val="24"/>
        </w:rPr>
        <w:t>scaH::tetM</w:t>
      </w:r>
      <w:proofErr w:type="gramStart"/>
      <w:r>
        <w:rPr>
          <w:rFonts w:ascii="Times New Roman" w:hAnsi="Times New Roman" w:cs="Times New Roman"/>
          <w:i/>
          <w:color w:val="000000" w:themeColor="text1"/>
          <w:sz w:val="24"/>
          <w:szCs w:val="24"/>
        </w:rPr>
        <w:t>,</w:t>
      </w:r>
      <w:r>
        <w:rPr>
          <w:rFonts w:ascii="Times New Roman" w:hAnsi="Times New Roman" w:cs="Times New Roman"/>
          <w:color w:val="000000" w:themeColor="text1"/>
          <w:sz w:val="24"/>
          <w:szCs w:val="24"/>
        </w:rPr>
        <w:t>and</w:t>
      </w:r>
      <w:proofErr w:type="gramEnd"/>
      <w:r>
        <w:rPr>
          <w:rFonts w:ascii="Times New Roman" w:hAnsi="Times New Roman" w:cs="Times New Roman"/>
          <w:i/>
          <w:color w:val="000000" w:themeColor="text1"/>
          <w:sz w:val="24"/>
          <w:szCs w:val="24"/>
        </w:rPr>
        <w:t xml:space="preserve"> SA2297::tetL</w:t>
      </w:r>
      <w:r>
        <w:rPr>
          <w:rFonts w:ascii="Times New Roman" w:hAnsi="Times New Roman" w:cs="Times New Roman"/>
          <w:color w:val="000000" w:themeColor="text1"/>
          <w:sz w:val="24"/>
          <w:szCs w:val="24"/>
        </w:rPr>
        <w:t>). A list of strains generated is provided in Table 2.4.</w:t>
      </w:r>
    </w:p>
    <w:p w:rsidR="007F78F1" w:rsidRDefault="007F78F1" w:rsidP="007F78F1">
      <w:pPr>
        <w:spacing w:line="480" w:lineRule="auto"/>
        <w:jc w:val="both"/>
        <w:rPr>
          <w:rFonts w:ascii="Times New Roman" w:hAnsi="Times New Roman" w:cs="Times New Roman"/>
          <w:color w:val="000000" w:themeColor="text1"/>
          <w:sz w:val="26"/>
          <w:szCs w:val="26"/>
        </w:rPr>
      </w:pPr>
    </w:p>
    <w:p w:rsidR="007F78F1" w:rsidRDefault="007F78F1" w:rsidP="007F78F1">
      <w:pPr>
        <w:spacing w:line="48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5.2.4 </w:t>
      </w:r>
      <w:r>
        <w:rPr>
          <w:rFonts w:ascii="Times New Roman" w:hAnsi="Times New Roman" w:cs="Times New Roman"/>
          <w:color w:val="000000" w:themeColor="text1"/>
          <w:sz w:val="28"/>
          <w:szCs w:val="28"/>
        </w:rPr>
        <w:tab/>
      </w:r>
      <w:r>
        <w:rPr>
          <w:rFonts w:ascii="Times New Roman" w:hAnsi="Times New Roman" w:cs="Times New Roman"/>
          <w:color w:val="000000" w:themeColor="text1"/>
          <w:sz w:val="28"/>
          <w:szCs w:val="28"/>
        </w:rPr>
        <w:tab/>
        <w:t>Characterisation of glucosaminidase mutants</w:t>
      </w:r>
    </w:p>
    <w:p w:rsidR="007F78F1" w:rsidRDefault="007F78F1" w:rsidP="007F78F1">
      <w:pPr>
        <w:spacing w:line="48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5.2.4.1</w:t>
      </w:r>
      <w:r>
        <w:rPr>
          <w:rFonts w:ascii="Times New Roman" w:hAnsi="Times New Roman" w:cs="Times New Roman"/>
          <w:color w:val="000000" w:themeColor="text1"/>
          <w:sz w:val="28"/>
          <w:szCs w:val="28"/>
        </w:rPr>
        <w:tab/>
        <w:t>Phenotype analysis of glucosaminidase mutants</w:t>
      </w:r>
    </w:p>
    <w:p w:rsidR="007F78F1" w:rsidRDefault="007F78F1" w:rsidP="007F78F1">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During routine growth in liquid media, SJF1367 (SH1000 </w:t>
      </w:r>
      <w:r>
        <w:rPr>
          <w:rFonts w:ascii="Times New Roman" w:hAnsi="Times New Roman" w:cs="Times New Roman"/>
          <w:i/>
          <w:color w:val="000000" w:themeColor="text1"/>
          <w:sz w:val="24"/>
          <w:szCs w:val="24"/>
        </w:rPr>
        <w:t>atl::</w:t>
      </w:r>
      <w:r>
        <w:rPr>
          <w:rFonts w:ascii="Times New Roman" w:hAnsi="Times New Roman" w:cs="Times New Roman"/>
          <w:i/>
          <w:color w:val="000000" w:themeColor="text1"/>
        </w:rPr>
        <w:t>pAZ106</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w:t>
      </w:r>
      <w:r>
        <w:rPr>
          <w:rFonts w:ascii="Times New Roman" w:hAnsi="Times New Roman" w:cs="Times New Roman"/>
          <w:i/>
          <w:color w:val="000000" w:themeColor="text1"/>
          <w:sz w:val="24"/>
          <w:szCs w:val="24"/>
        </w:rPr>
        <w:t xml:space="preserve"> </w:t>
      </w:r>
      <w:r>
        <w:rPr>
          <w:rFonts w:ascii="Times New Roman" w:hAnsi="Times New Roman" w:cs="Times New Roman"/>
          <w:color w:val="000000" w:themeColor="text1"/>
          <w:sz w:val="24"/>
          <w:szCs w:val="24"/>
        </w:rPr>
        <w:t xml:space="preserve">SJF1380 (SH1000 </w:t>
      </w:r>
      <w:r>
        <w:rPr>
          <w:rFonts w:ascii="Times New Roman" w:hAnsi="Times New Roman" w:cs="Times New Roman"/>
          <w:i/>
          <w:color w:val="000000" w:themeColor="text1"/>
          <w:sz w:val="24"/>
          <w:szCs w:val="24"/>
        </w:rPr>
        <w:t>SA2297::tetL</w:t>
      </w:r>
      <w:proofErr w:type="gramStart"/>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0</w:t>
      </w:r>
      <w:proofErr w:type="gramEnd"/>
      <w:r>
        <w:rPr>
          <w:rFonts w:ascii="Times New Roman" w:hAnsi="Times New Roman" w:cs="Times New Roman"/>
          <w:color w:val="000000" w:themeColor="text1"/>
          <w:sz w:val="24"/>
          <w:szCs w:val="24"/>
        </w:rPr>
        <w:t xml:space="preserve"> and</w:t>
      </w:r>
      <w:r>
        <w:rPr>
          <w:rFonts w:ascii="Times New Roman" w:hAnsi="Times New Roman" w:cs="Times New Roman"/>
          <w:i/>
          <w:color w:val="000000" w:themeColor="text1"/>
          <w:sz w:val="24"/>
          <w:szCs w:val="24"/>
        </w:rPr>
        <w:t xml:space="preserve"> </w:t>
      </w:r>
      <w:r>
        <w:rPr>
          <w:rFonts w:ascii="Times New Roman" w:hAnsi="Times New Roman" w:cs="Times New Roman"/>
          <w:color w:val="000000" w:themeColor="text1"/>
          <w:sz w:val="24"/>
          <w:szCs w:val="24"/>
        </w:rPr>
        <w:t xml:space="preserve">SJF2115 (SH1000 </w:t>
      </w:r>
      <w:r>
        <w:rPr>
          <w:rFonts w:ascii="Times New Roman" w:hAnsi="Times New Roman" w:cs="Times New Roman"/>
          <w:i/>
          <w:color w:val="000000" w:themeColor="text1"/>
          <w:sz w:val="24"/>
          <w:szCs w:val="24"/>
        </w:rPr>
        <w:t>scaH::tetM</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were dispersed throughout the culture medium. However, SJF2117 (SH1000 </w:t>
      </w:r>
      <w:r>
        <w:rPr>
          <w:rFonts w:ascii="Times New Roman" w:hAnsi="Times New Roman" w:cs="Times New Roman"/>
          <w:i/>
          <w:color w:val="000000" w:themeColor="text1"/>
          <w:sz w:val="24"/>
          <w:szCs w:val="24"/>
        </w:rPr>
        <w:t>sagB::kan</w:t>
      </w:r>
      <w:proofErr w:type="gramStart"/>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1</w:t>
      </w:r>
      <w:proofErr w:type="gramEnd"/>
      <w:r>
        <w:rPr>
          <w:rFonts w:ascii="Times New Roman" w:hAnsi="Times New Roman" w:cs="Times New Roman"/>
          <w:color w:val="000000" w:themeColor="text1"/>
          <w:sz w:val="24"/>
          <w:szCs w:val="24"/>
        </w:rPr>
        <w:t xml:space="preserve"> formed cell aggregates which were macroscopic in scale (Figure 5.6). Microscopic analysis revealed that SJF1367 (SH1000 </w:t>
      </w:r>
      <w:r>
        <w:rPr>
          <w:rFonts w:ascii="Times New Roman" w:hAnsi="Times New Roman" w:cs="Times New Roman"/>
          <w:i/>
          <w:color w:val="000000" w:themeColor="text1"/>
          <w:sz w:val="24"/>
          <w:szCs w:val="24"/>
        </w:rPr>
        <w:t>atl::</w:t>
      </w:r>
      <w:r>
        <w:rPr>
          <w:rFonts w:ascii="Times New Roman" w:hAnsi="Times New Roman" w:cs="Times New Roman"/>
          <w:i/>
          <w:color w:val="000000" w:themeColor="text1"/>
        </w:rPr>
        <w:t>pAZ106</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also formed cell aggregates that could only be observed under magnification. SJF1380 (SH1000 </w:t>
      </w:r>
      <w:r>
        <w:rPr>
          <w:rFonts w:ascii="Times New Roman" w:hAnsi="Times New Roman" w:cs="Times New Roman"/>
          <w:i/>
          <w:color w:val="000000" w:themeColor="text1"/>
          <w:sz w:val="24"/>
          <w:szCs w:val="24"/>
        </w:rPr>
        <w:t>SA2297::tetL</w:t>
      </w:r>
      <w:proofErr w:type="gramStart"/>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0</w:t>
      </w:r>
      <w:proofErr w:type="gramEnd"/>
      <w:r>
        <w:rPr>
          <w:rFonts w:ascii="Times New Roman" w:hAnsi="Times New Roman" w:cs="Times New Roman"/>
          <w:color w:val="000000" w:themeColor="text1"/>
          <w:sz w:val="24"/>
          <w:szCs w:val="24"/>
        </w:rPr>
        <w:t xml:space="preserve"> and SJF2115 (SH1000 </w:t>
      </w:r>
      <w:r>
        <w:rPr>
          <w:rFonts w:ascii="Times New Roman" w:hAnsi="Times New Roman" w:cs="Times New Roman"/>
          <w:i/>
          <w:color w:val="000000" w:themeColor="text1"/>
          <w:sz w:val="24"/>
          <w:szCs w:val="24"/>
        </w:rPr>
        <w:t>scaH::tetM</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had no obvious cell separation defects, however cell size appeared to be slightly increased in SJF2115 (SH1000 </w:t>
      </w:r>
      <w:r>
        <w:rPr>
          <w:rFonts w:ascii="Times New Roman" w:hAnsi="Times New Roman" w:cs="Times New Roman"/>
          <w:i/>
          <w:color w:val="000000" w:themeColor="text1"/>
          <w:sz w:val="24"/>
          <w:szCs w:val="24"/>
        </w:rPr>
        <w:t>scaH::tetM</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(Figure 5.6). The trend in aggregation phenotypes increased in severity in the double mutants and was most severe in the triple mutants (Figure 5.6).</w:t>
      </w:r>
      <w:r>
        <w:rPr>
          <w:rFonts w:ascii="Times New Roman" w:hAnsi="Times New Roman" w:cs="Times New Roman"/>
          <w:color w:val="000000" w:themeColor="text1"/>
          <w:sz w:val="24"/>
          <w:szCs w:val="24"/>
        </w:rPr>
        <w:tab/>
      </w:r>
    </w:p>
    <w:p w:rsidR="007F78F1" w:rsidRDefault="007F78F1" w:rsidP="007F78F1">
      <w:pPr>
        <w:spacing w:after="0" w:line="480" w:lineRule="auto"/>
        <w:rPr>
          <w:rFonts w:ascii="Times New Roman" w:hAnsi="Times New Roman" w:cs="Times New Roman"/>
          <w:color w:val="000000" w:themeColor="text1"/>
          <w:sz w:val="24"/>
          <w:szCs w:val="24"/>
        </w:rPr>
        <w:sectPr w:rsidR="007F78F1">
          <w:type w:val="continuous"/>
          <w:pgSz w:w="11906" w:h="16838"/>
          <w:pgMar w:top="1440" w:right="1134" w:bottom="1440" w:left="2268" w:header="709" w:footer="709" w:gutter="0"/>
          <w:cols w:space="720"/>
        </w:sectPr>
      </w:pPr>
    </w:p>
    <w:p w:rsidR="007F78F1" w:rsidRDefault="007F78F1" w:rsidP="007F78F1">
      <w:pPr>
        <w:jc w:val="right"/>
        <w:rPr>
          <w:rFonts w:ascii="Times New Roman" w:hAnsi="Times New Roman" w:cs="Times New Roman"/>
          <w:b/>
          <w:sz w:val="24"/>
          <w:szCs w:val="24"/>
        </w:rPr>
      </w:pPr>
      <w:r>
        <w:lastRenderedPageBreak/>
        <w:pict>
          <v:shape id="_x0000_s1060" type="#_x0000_t202" style="position:absolute;left:0;text-align:left;margin-left:-5.15pt;margin-top:3.75pt;width:42.75pt;height:47.7pt;z-index:251698176;mso-height-percent:200;mso-height-percent:200;mso-width-relative:margin;mso-height-relative:margin" filled="f" stroked="f">
            <v:textbox style="mso-next-textbox:#_x0000_s1060;mso-fit-shape-to-text:t">
              <w:txbxContent>
                <w:p w:rsidR="007F78F1" w:rsidRDefault="007F78F1" w:rsidP="007F78F1">
                  <w:pPr>
                    <w:rPr>
                      <w:rFonts w:ascii="Times New Roman" w:hAnsi="Times New Roman" w:cs="Times New Roman"/>
                      <w:sz w:val="48"/>
                      <w:szCs w:val="48"/>
                    </w:rPr>
                  </w:pPr>
                  <w:r>
                    <w:rPr>
                      <w:rFonts w:ascii="Times New Roman" w:hAnsi="Times New Roman" w:cs="Times New Roman"/>
                      <w:sz w:val="48"/>
                      <w:szCs w:val="48"/>
                    </w:rPr>
                    <w:t>A</w:t>
                  </w:r>
                </w:p>
              </w:txbxContent>
            </v:textbox>
          </v:shape>
        </w:pict>
      </w:r>
    </w:p>
    <w:p w:rsidR="007F78F1" w:rsidRDefault="007F78F1" w:rsidP="007F78F1">
      <w:pPr>
        <w:jc w:val="right"/>
        <w:rPr>
          <w:rFonts w:ascii="Times New Roman" w:hAnsi="Times New Roman" w:cs="Times New Roman"/>
          <w:b/>
          <w:sz w:val="24"/>
          <w:szCs w:val="24"/>
        </w:rPr>
      </w:pPr>
      <w:r>
        <w:rPr>
          <w:rFonts w:ascii="Times New Roman" w:hAnsi="Times New Roman" w:cs="Times New Roman"/>
          <w:b/>
          <w:noProof/>
          <w:sz w:val="24"/>
          <w:szCs w:val="24"/>
          <w:lang w:eastAsia="en-GB"/>
        </w:rPr>
        <w:drawing>
          <wp:inline distT="0" distB="0" distL="0" distR="0">
            <wp:extent cx="5034915" cy="8455025"/>
            <wp:effectExtent l="19050" t="0" r="0" b="0"/>
            <wp:docPr id="101" name="Picture 21" descr="Mutant construction SA22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utant construction SA2297.png"/>
                    <pic:cNvPicPr>
                      <a:picLocks noChangeAspect="1" noChangeArrowheads="1"/>
                    </pic:cNvPicPr>
                  </pic:nvPicPr>
                  <pic:blipFill>
                    <a:blip r:embed="rId89" cstate="print"/>
                    <a:srcRect/>
                    <a:stretch>
                      <a:fillRect/>
                    </a:stretch>
                  </pic:blipFill>
                  <pic:spPr bwMode="auto">
                    <a:xfrm>
                      <a:off x="0" y="0"/>
                      <a:ext cx="5034915" cy="8455025"/>
                    </a:xfrm>
                    <a:prstGeom prst="rect">
                      <a:avLst/>
                    </a:prstGeom>
                    <a:noFill/>
                    <a:ln w="9525">
                      <a:noFill/>
                      <a:miter lim="800000"/>
                      <a:headEnd/>
                      <a:tailEnd/>
                    </a:ln>
                  </pic:spPr>
                </pic:pic>
              </a:graphicData>
            </a:graphic>
          </wp:inline>
        </w:drawing>
      </w:r>
    </w:p>
    <w:p w:rsidR="007F78F1" w:rsidRDefault="007F78F1" w:rsidP="007F78F1">
      <w:pPr>
        <w:jc w:val="right"/>
        <w:rPr>
          <w:rFonts w:ascii="Times New Roman" w:hAnsi="Times New Roman" w:cs="Times New Roman"/>
          <w:b/>
          <w:sz w:val="24"/>
          <w:szCs w:val="24"/>
        </w:rPr>
      </w:pPr>
      <w:r>
        <w:lastRenderedPageBreak/>
        <w:pict>
          <v:shape id="_x0000_s1061" type="#_x0000_t202" style="position:absolute;left:0;text-align:left;margin-left:6.75pt;margin-top:17.95pt;width:42.75pt;height:47.7pt;z-index:251699200;mso-height-percent:200;mso-height-percent:200;mso-width-relative:margin;mso-height-relative:margin" filled="f" stroked="f">
            <v:textbox style="mso-next-textbox:#_x0000_s1061;mso-fit-shape-to-text:t">
              <w:txbxContent>
                <w:p w:rsidR="007F78F1" w:rsidRDefault="007F78F1" w:rsidP="007F78F1">
                  <w:pPr>
                    <w:rPr>
                      <w:rFonts w:ascii="Times New Roman" w:hAnsi="Times New Roman" w:cs="Times New Roman"/>
                      <w:sz w:val="48"/>
                      <w:szCs w:val="48"/>
                    </w:rPr>
                  </w:pPr>
                  <w:r>
                    <w:rPr>
                      <w:rFonts w:ascii="Times New Roman" w:hAnsi="Times New Roman" w:cs="Times New Roman"/>
                      <w:sz w:val="48"/>
                      <w:szCs w:val="48"/>
                    </w:rPr>
                    <w:t>B</w:t>
                  </w:r>
                </w:p>
              </w:txbxContent>
            </v:textbox>
          </v:shape>
        </w:pict>
      </w:r>
    </w:p>
    <w:p w:rsidR="007F78F1" w:rsidRDefault="007F78F1" w:rsidP="007F78F1">
      <w:pPr>
        <w:jc w:val="right"/>
        <w:rPr>
          <w:rFonts w:ascii="Times New Roman" w:hAnsi="Times New Roman" w:cs="Times New Roman"/>
          <w:b/>
          <w:sz w:val="24"/>
          <w:szCs w:val="24"/>
        </w:rPr>
      </w:pPr>
      <w:r>
        <w:rPr>
          <w:rFonts w:ascii="Times New Roman" w:hAnsi="Times New Roman" w:cs="Times New Roman"/>
          <w:b/>
          <w:noProof/>
          <w:sz w:val="24"/>
          <w:szCs w:val="24"/>
          <w:lang w:eastAsia="en-GB"/>
        </w:rPr>
        <w:drawing>
          <wp:inline distT="0" distB="0" distL="0" distR="0">
            <wp:extent cx="5034915" cy="7101205"/>
            <wp:effectExtent l="19050" t="0" r="0" b="0"/>
            <wp:docPr id="100" name="Picture 64" descr="Mutant construction SA26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Mutant construction SA2666.png"/>
                    <pic:cNvPicPr>
                      <a:picLocks noChangeAspect="1" noChangeArrowheads="1"/>
                    </pic:cNvPicPr>
                  </pic:nvPicPr>
                  <pic:blipFill>
                    <a:blip r:embed="rId90" cstate="print"/>
                    <a:srcRect/>
                    <a:stretch>
                      <a:fillRect/>
                    </a:stretch>
                  </pic:blipFill>
                  <pic:spPr bwMode="auto">
                    <a:xfrm>
                      <a:off x="0" y="0"/>
                      <a:ext cx="5034915" cy="7101205"/>
                    </a:xfrm>
                    <a:prstGeom prst="rect">
                      <a:avLst/>
                    </a:prstGeom>
                    <a:noFill/>
                    <a:ln w="9525">
                      <a:noFill/>
                      <a:miter lim="800000"/>
                      <a:headEnd/>
                      <a:tailEnd/>
                    </a:ln>
                  </pic:spPr>
                </pic:pic>
              </a:graphicData>
            </a:graphic>
          </wp:inline>
        </w:drawing>
      </w:r>
    </w:p>
    <w:p w:rsidR="007F78F1" w:rsidRDefault="007F78F1" w:rsidP="007F78F1">
      <w:pPr>
        <w:rPr>
          <w:rFonts w:ascii="Times New Roman" w:hAnsi="Times New Roman" w:cs="Times New Roman"/>
          <w:b/>
          <w:sz w:val="24"/>
          <w:szCs w:val="24"/>
        </w:rPr>
      </w:pPr>
      <w:r>
        <w:rPr>
          <w:rFonts w:ascii="Times New Roman" w:hAnsi="Times New Roman" w:cs="Times New Roman"/>
          <w:b/>
          <w:sz w:val="24"/>
          <w:szCs w:val="24"/>
        </w:rPr>
        <w:br w:type="page"/>
      </w:r>
    </w:p>
    <w:p w:rsidR="007F78F1" w:rsidRDefault="007F78F1" w:rsidP="007F78F1">
      <w:pPr>
        <w:jc w:val="center"/>
        <w:rPr>
          <w:rFonts w:ascii="Times New Roman" w:hAnsi="Times New Roman" w:cs="Times New Roman"/>
          <w:b/>
          <w:sz w:val="24"/>
          <w:szCs w:val="24"/>
        </w:rPr>
      </w:pPr>
      <w:r>
        <w:lastRenderedPageBreak/>
        <w:pict>
          <v:shape id="_x0000_s1062" type="#_x0000_t202" style="position:absolute;left:0;text-align:left;margin-left:6.5pt;margin-top:-6.45pt;width:42.75pt;height:47.7pt;z-index:251700224;mso-height-percent:200;mso-height-percent:200;mso-width-relative:margin;mso-height-relative:margin" filled="f" stroked="f">
            <v:textbox style="mso-next-textbox:#_x0000_s1062;mso-fit-shape-to-text:t">
              <w:txbxContent>
                <w:p w:rsidR="007F78F1" w:rsidRDefault="007F78F1" w:rsidP="007F78F1">
                  <w:pPr>
                    <w:rPr>
                      <w:rFonts w:ascii="Times New Roman" w:hAnsi="Times New Roman" w:cs="Times New Roman"/>
                      <w:sz w:val="48"/>
                      <w:szCs w:val="48"/>
                    </w:rPr>
                  </w:pPr>
                  <w:r>
                    <w:rPr>
                      <w:rFonts w:ascii="Times New Roman" w:hAnsi="Times New Roman" w:cs="Times New Roman"/>
                      <w:sz w:val="48"/>
                      <w:szCs w:val="48"/>
                    </w:rPr>
                    <w:t>C</w:t>
                  </w:r>
                </w:p>
              </w:txbxContent>
            </v:textbox>
          </v:shape>
        </w:pict>
      </w:r>
      <w:r>
        <w:rPr>
          <w:rFonts w:ascii="Times New Roman" w:hAnsi="Times New Roman" w:cs="Times New Roman"/>
          <w:b/>
          <w:noProof/>
          <w:sz w:val="24"/>
          <w:szCs w:val="24"/>
          <w:lang w:eastAsia="en-GB"/>
        </w:rPr>
        <w:drawing>
          <wp:inline distT="0" distB="0" distL="0" distR="0">
            <wp:extent cx="4382135" cy="8858885"/>
            <wp:effectExtent l="19050" t="0" r="0" b="0"/>
            <wp:docPr id="99" name="Picture 7" descr="Mutant construction SA1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utant construction SA1825.png"/>
                    <pic:cNvPicPr>
                      <a:picLocks noChangeAspect="1" noChangeArrowheads="1"/>
                    </pic:cNvPicPr>
                  </pic:nvPicPr>
                  <pic:blipFill>
                    <a:blip r:embed="rId91" cstate="print"/>
                    <a:srcRect/>
                    <a:stretch>
                      <a:fillRect/>
                    </a:stretch>
                  </pic:blipFill>
                  <pic:spPr bwMode="auto">
                    <a:xfrm>
                      <a:off x="0" y="0"/>
                      <a:ext cx="4382135" cy="8858885"/>
                    </a:xfrm>
                    <a:prstGeom prst="rect">
                      <a:avLst/>
                    </a:prstGeom>
                    <a:noFill/>
                    <a:ln w="9525">
                      <a:noFill/>
                      <a:miter lim="800000"/>
                      <a:headEnd/>
                      <a:tailEnd/>
                    </a:ln>
                  </pic:spPr>
                </pic:pic>
              </a:graphicData>
            </a:graphic>
          </wp:inline>
        </w:drawing>
      </w:r>
      <w:r>
        <w:rPr>
          <w:rFonts w:ascii="Times New Roman" w:hAnsi="Times New Roman" w:cs="Times New Roman"/>
          <w:b/>
          <w:sz w:val="24"/>
          <w:szCs w:val="24"/>
        </w:rPr>
        <w:br w:type="page"/>
      </w:r>
    </w:p>
    <w:p w:rsidR="007F78F1" w:rsidRDefault="007F78F1" w:rsidP="007F78F1">
      <w:pPr>
        <w:jc w:val="both"/>
        <w:rPr>
          <w:rFonts w:ascii="Times New Roman" w:hAnsi="Times New Roman" w:cs="Times New Roman"/>
          <w:b/>
          <w:sz w:val="24"/>
          <w:szCs w:val="24"/>
        </w:rPr>
      </w:pPr>
      <w:r>
        <w:lastRenderedPageBreak/>
        <w:pict>
          <v:shape id="_x0000_s1063" type="#_x0000_t202" style="position:absolute;left:0;text-align:left;margin-left:-.25pt;margin-top:.5pt;width:42.75pt;height:47.7pt;z-index:251701248;mso-height-percent:200;mso-height-percent:200;mso-width-relative:margin;mso-height-relative:margin" filled="f" stroked="f">
            <v:textbox style="mso-next-textbox:#_x0000_s1063;mso-fit-shape-to-text:t">
              <w:txbxContent>
                <w:p w:rsidR="007F78F1" w:rsidRDefault="007F78F1" w:rsidP="007F78F1">
                  <w:pPr>
                    <w:rPr>
                      <w:rFonts w:ascii="Times New Roman" w:hAnsi="Times New Roman" w:cs="Times New Roman"/>
                      <w:sz w:val="48"/>
                      <w:szCs w:val="48"/>
                    </w:rPr>
                  </w:pPr>
                  <w:r>
                    <w:rPr>
                      <w:rFonts w:ascii="Times New Roman" w:hAnsi="Times New Roman" w:cs="Times New Roman"/>
                      <w:sz w:val="48"/>
                      <w:szCs w:val="48"/>
                    </w:rPr>
                    <w:t>D</w:t>
                  </w:r>
                </w:p>
              </w:txbxContent>
            </v:textbox>
          </v:shape>
        </w:pict>
      </w:r>
      <w:r>
        <w:rPr>
          <w:rFonts w:ascii="Times New Roman" w:hAnsi="Times New Roman" w:cs="Times New Roman"/>
          <w:b/>
          <w:noProof/>
          <w:sz w:val="24"/>
          <w:szCs w:val="24"/>
          <w:lang w:eastAsia="en-GB"/>
        </w:rPr>
        <w:drawing>
          <wp:inline distT="0" distB="0" distL="0" distR="0">
            <wp:extent cx="5403215" cy="4120515"/>
            <wp:effectExtent l="19050" t="0" r="6985" b="0"/>
            <wp:docPr id="98" name="Picture 20" descr="Mutant construction resistance exch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utant construction resistance exchange.png"/>
                    <pic:cNvPicPr>
                      <a:picLocks noChangeAspect="1" noChangeArrowheads="1"/>
                    </pic:cNvPicPr>
                  </pic:nvPicPr>
                  <pic:blipFill>
                    <a:blip r:embed="rId92" cstate="print"/>
                    <a:srcRect/>
                    <a:stretch>
                      <a:fillRect/>
                    </a:stretch>
                  </pic:blipFill>
                  <pic:spPr bwMode="auto">
                    <a:xfrm>
                      <a:off x="0" y="0"/>
                      <a:ext cx="5403215" cy="4120515"/>
                    </a:xfrm>
                    <a:prstGeom prst="rect">
                      <a:avLst/>
                    </a:prstGeom>
                    <a:noFill/>
                    <a:ln w="9525">
                      <a:noFill/>
                      <a:miter lim="800000"/>
                      <a:headEnd/>
                      <a:tailEnd/>
                    </a:ln>
                  </pic:spPr>
                </pic:pic>
              </a:graphicData>
            </a:graphic>
          </wp:inline>
        </w:drawing>
      </w:r>
    </w:p>
    <w:p w:rsidR="007F78F1" w:rsidRDefault="007F78F1" w:rsidP="007F78F1">
      <w:pPr>
        <w:spacing w:line="360" w:lineRule="auto"/>
        <w:jc w:val="both"/>
        <w:rPr>
          <w:rFonts w:ascii="Times New Roman" w:hAnsi="Times New Roman" w:cs="Times New Roman"/>
          <w:sz w:val="24"/>
          <w:szCs w:val="24"/>
        </w:rPr>
      </w:pPr>
      <w:proofErr w:type="gramStart"/>
      <w:r>
        <w:rPr>
          <w:rFonts w:ascii="Times New Roman" w:hAnsi="Times New Roman" w:cs="Times New Roman"/>
          <w:b/>
          <w:sz w:val="24"/>
          <w:szCs w:val="24"/>
        </w:rPr>
        <w:t>Figure 5.5.</w:t>
      </w:r>
      <w:proofErr w:type="gramEnd"/>
      <w:r>
        <w:rPr>
          <w:rFonts w:ascii="Times New Roman" w:hAnsi="Times New Roman" w:cs="Times New Roman"/>
          <w:b/>
          <w:sz w:val="24"/>
          <w:szCs w:val="24"/>
        </w:rPr>
        <w:t xml:space="preserve"> </w:t>
      </w:r>
      <w:proofErr w:type="gramStart"/>
      <w:r>
        <w:rPr>
          <w:rFonts w:ascii="Times New Roman" w:hAnsi="Times New Roman" w:cs="Times New Roman"/>
          <w:b/>
          <w:sz w:val="24"/>
          <w:szCs w:val="24"/>
        </w:rPr>
        <w:t>Construction of glucosaminidase knockout mutants.</w:t>
      </w:r>
      <w:proofErr w:type="gramEnd"/>
      <w:r>
        <w:rPr>
          <w:rFonts w:ascii="Times New Roman" w:hAnsi="Times New Roman" w:cs="Times New Roman"/>
          <w:b/>
          <w:sz w:val="24"/>
          <w:szCs w:val="24"/>
        </w:rPr>
        <w:t xml:space="preserve"> </w:t>
      </w:r>
      <w:r>
        <w:rPr>
          <w:rFonts w:ascii="Times New Roman" w:hAnsi="Times New Roman" w:cs="Times New Roman"/>
          <w:sz w:val="24"/>
          <w:szCs w:val="24"/>
        </w:rPr>
        <w:t>(A) Construction of strain SJF1380 (SH1000 SA2297::</w:t>
      </w:r>
      <w:r>
        <w:rPr>
          <w:rFonts w:ascii="Times New Roman" w:hAnsi="Times New Roman" w:cs="Times New Roman"/>
          <w:i/>
          <w:sz w:val="24"/>
          <w:szCs w:val="24"/>
        </w:rPr>
        <w:t>tetL</w:t>
      </w:r>
      <w:proofErr w:type="gramStart"/>
      <w:r>
        <w:rPr>
          <w:rFonts w:ascii="Times New Roman" w:hAnsi="Times New Roman" w:cs="Times New Roman"/>
          <w:sz w:val="24"/>
          <w:szCs w:val="24"/>
        </w:rPr>
        <w:t>)</w:t>
      </w:r>
      <w:r>
        <w:rPr>
          <w:rFonts w:ascii="Times New Roman" w:hAnsi="Times New Roman" w:cs="Times New Roman"/>
          <w:sz w:val="24"/>
          <w:szCs w:val="24"/>
          <w:vertAlign w:val="superscript"/>
        </w:rPr>
        <w:t>0</w:t>
      </w:r>
      <w:proofErr w:type="gramEnd"/>
      <w:r>
        <w:rPr>
          <w:rFonts w:ascii="Times New Roman" w:hAnsi="Times New Roman" w:cs="Times New Roman"/>
          <w:sz w:val="24"/>
          <w:szCs w:val="24"/>
        </w:rPr>
        <w:t xml:space="preserve"> using the pMAL64 suicide vector for allelic exchange of the SA2297’::</w:t>
      </w:r>
      <w:r>
        <w:rPr>
          <w:rFonts w:ascii="Times New Roman" w:hAnsi="Times New Roman" w:cs="Times New Roman"/>
          <w:i/>
          <w:sz w:val="24"/>
          <w:szCs w:val="24"/>
        </w:rPr>
        <w:t>tetL</w:t>
      </w:r>
      <w:r>
        <w:rPr>
          <w:rFonts w:ascii="Times New Roman" w:hAnsi="Times New Roman" w:cs="Times New Roman"/>
          <w:sz w:val="24"/>
          <w:szCs w:val="24"/>
        </w:rPr>
        <w:t xml:space="preserve">. SA2297’ denotes the construct comprising upstream and downstream PCR amplicons of SA2297. (B) Construction of pSA26DKan suicide vector for allelic exchange of </w:t>
      </w:r>
      <w:r>
        <w:rPr>
          <w:rFonts w:ascii="Times New Roman" w:hAnsi="Times New Roman" w:cs="Times New Roman"/>
          <w:i/>
          <w:sz w:val="24"/>
          <w:szCs w:val="24"/>
        </w:rPr>
        <w:t>scaH</w:t>
      </w:r>
      <w:r>
        <w:rPr>
          <w:rFonts w:ascii="Times New Roman" w:hAnsi="Times New Roman" w:cs="Times New Roman"/>
          <w:sz w:val="24"/>
          <w:szCs w:val="24"/>
        </w:rPr>
        <w:t xml:space="preserve">. The pSA26 construct has a pMUTIN4 backbone. The </w:t>
      </w:r>
      <w:r>
        <w:rPr>
          <w:rFonts w:ascii="Times New Roman" w:hAnsi="Times New Roman" w:cs="Times New Roman"/>
          <w:i/>
          <w:sz w:val="24"/>
          <w:szCs w:val="24"/>
        </w:rPr>
        <w:t xml:space="preserve">scaH </w:t>
      </w:r>
      <w:r>
        <w:rPr>
          <w:rFonts w:ascii="Times New Roman" w:hAnsi="Times New Roman" w:cs="Times New Roman"/>
          <w:sz w:val="24"/>
          <w:szCs w:val="24"/>
        </w:rPr>
        <w:t xml:space="preserve">construct with internal </w:t>
      </w:r>
      <w:r>
        <w:rPr>
          <w:rFonts w:ascii="Times New Roman" w:hAnsi="Times New Roman" w:cs="Times New Roman"/>
          <w:i/>
          <w:sz w:val="24"/>
          <w:szCs w:val="24"/>
        </w:rPr>
        <w:t>Kpn</w:t>
      </w:r>
      <w:r>
        <w:rPr>
          <w:rFonts w:ascii="Times New Roman" w:hAnsi="Times New Roman" w:cs="Times New Roman"/>
          <w:sz w:val="24"/>
          <w:szCs w:val="24"/>
        </w:rPr>
        <w:t xml:space="preserve">I restriction site is denoted </w:t>
      </w:r>
      <w:r>
        <w:rPr>
          <w:rFonts w:ascii="Times New Roman" w:hAnsi="Times New Roman" w:cs="Times New Roman"/>
          <w:i/>
          <w:sz w:val="24"/>
          <w:szCs w:val="24"/>
        </w:rPr>
        <w:t>scaH’</w:t>
      </w:r>
      <w:r>
        <w:rPr>
          <w:rFonts w:ascii="Times New Roman" w:hAnsi="Times New Roman" w:cs="Times New Roman"/>
          <w:sz w:val="24"/>
          <w:szCs w:val="24"/>
        </w:rPr>
        <w:t xml:space="preserve">. (C) Construction of pSA18M suicide vector for allelic exchange of </w:t>
      </w:r>
      <w:r>
        <w:rPr>
          <w:rFonts w:ascii="Times New Roman" w:hAnsi="Times New Roman" w:cs="Times New Roman"/>
          <w:i/>
          <w:sz w:val="24"/>
          <w:szCs w:val="24"/>
        </w:rPr>
        <w:t>sagB</w:t>
      </w:r>
      <w:r>
        <w:rPr>
          <w:rFonts w:ascii="Times New Roman" w:hAnsi="Times New Roman" w:cs="Times New Roman"/>
          <w:sz w:val="24"/>
          <w:szCs w:val="24"/>
        </w:rPr>
        <w:t xml:space="preserve">. The pInvSA shuttle vector has a pUC19 backbone. InvF1 and InvR1 primers were used for inverse PCR of the pInvSA vector, resulting in deleting of an approximately 600bp internal fragment of </w:t>
      </w:r>
      <w:r>
        <w:rPr>
          <w:rFonts w:ascii="Times New Roman" w:hAnsi="Times New Roman" w:cs="Times New Roman"/>
          <w:i/>
          <w:sz w:val="24"/>
          <w:szCs w:val="24"/>
        </w:rPr>
        <w:t>sagB</w:t>
      </w:r>
      <w:r>
        <w:rPr>
          <w:rFonts w:ascii="Times New Roman" w:hAnsi="Times New Roman" w:cs="Times New Roman"/>
          <w:sz w:val="24"/>
          <w:szCs w:val="24"/>
        </w:rPr>
        <w:t xml:space="preserve">. (D) Construction of strains SJF2117 (SH1000 </w:t>
      </w:r>
      <w:r>
        <w:rPr>
          <w:rFonts w:ascii="Times New Roman" w:hAnsi="Times New Roman" w:cs="Times New Roman"/>
          <w:i/>
          <w:sz w:val="24"/>
          <w:szCs w:val="24"/>
        </w:rPr>
        <w:t>sagB::kan</w:t>
      </w:r>
      <w:proofErr w:type="gramStart"/>
      <w:r>
        <w:rPr>
          <w:rFonts w:ascii="Times New Roman" w:hAnsi="Times New Roman" w:cs="Times New Roman"/>
          <w:sz w:val="24"/>
          <w:szCs w:val="24"/>
        </w:rPr>
        <w:t>)</w:t>
      </w:r>
      <w:r>
        <w:rPr>
          <w:rFonts w:ascii="Times New Roman" w:hAnsi="Times New Roman" w:cs="Times New Roman"/>
          <w:sz w:val="24"/>
          <w:szCs w:val="24"/>
          <w:vertAlign w:val="superscript"/>
        </w:rPr>
        <w:t>1</w:t>
      </w:r>
      <w:proofErr w:type="gramEnd"/>
      <w:r>
        <w:rPr>
          <w:rFonts w:ascii="Times New Roman" w:hAnsi="Times New Roman" w:cs="Times New Roman"/>
          <w:sz w:val="24"/>
          <w:szCs w:val="24"/>
        </w:rPr>
        <w:t xml:space="preserve"> and SJF2115 (SH1000 </w:t>
      </w:r>
      <w:r>
        <w:rPr>
          <w:rFonts w:ascii="Times New Roman" w:hAnsi="Times New Roman" w:cs="Times New Roman"/>
          <w:i/>
          <w:sz w:val="24"/>
          <w:szCs w:val="24"/>
        </w:rPr>
        <w:t>scaH::tetM</w:t>
      </w:r>
      <w:r>
        <w:rPr>
          <w:rFonts w:ascii="Times New Roman" w:hAnsi="Times New Roman" w:cs="Times New Roman"/>
          <w:sz w:val="24"/>
          <w:szCs w:val="24"/>
        </w:rPr>
        <w:t>)</w:t>
      </w:r>
      <w:r>
        <w:rPr>
          <w:rFonts w:ascii="Times New Roman" w:hAnsi="Times New Roman" w:cs="Times New Roman"/>
          <w:sz w:val="24"/>
          <w:szCs w:val="24"/>
          <w:vertAlign w:val="superscript"/>
        </w:rPr>
        <w:t>1</w:t>
      </w:r>
      <w:r>
        <w:rPr>
          <w:rFonts w:ascii="Times New Roman" w:hAnsi="Times New Roman" w:cs="Times New Roman"/>
          <w:sz w:val="24"/>
          <w:szCs w:val="24"/>
        </w:rPr>
        <w:t xml:space="preserve">. Allelic exchange of the </w:t>
      </w:r>
      <w:r>
        <w:rPr>
          <w:rFonts w:ascii="Times New Roman" w:hAnsi="Times New Roman" w:cs="Times New Roman"/>
          <w:i/>
          <w:sz w:val="24"/>
          <w:szCs w:val="24"/>
        </w:rPr>
        <w:t>sagB::tetM</w:t>
      </w:r>
      <w:r>
        <w:rPr>
          <w:rFonts w:ascii="Times New Roman" w:hAnsi="Times New Roman" w:cs="Times New Roman"/>
          <w:sz w:val="24"/>
          <w:szCs w:val="24"/>
        </w:rPr>
        <w:t xml:space="preserve"> construct using pSA18M was unsuccessful. Resistance markers were exchanged between pSA18M (</w:t>
      </w:r>
      <w:r>
        <w:rPr>
          <w:rFonts w:ascii="Times New Roman" w:hAnsi="Times New Roman" w:cs="Times New Roman"/>
          <w:i/>
          <w:sz w:val="24"/>
          <w:szCs w:val="24"/>
        </w:rPr>
        <w:t>sagB::tetM</w:t>
      </w:r>
      <w:r>
        <w:rPr>
          <w:rFonts w:ascii="Times New Roman" w:hAnsi="Times New Roman" w:cs="Times New Roman"/>
          <w:sz w:val="24"/>
          <w:szCs w:val="24"/>
        </w:rPr>
        <w:t>) and pSA26Kan (</w:t>
      </w:r>
      <w:r>
        <w:rPr>
          <w:rFonts w:ascii="Times New Roman" w:hAnsi="Times New Roman" w:cs="Times New Roman"/>
          <w:i/>
          <w:sz w:val="24"/>
          <w:szCs w:val="24"/>
        </w:rPr>
        <w:t>scaH::Kan</w:t>
      </w:r>
      <w:r>
        <w:rPr>
          <w:rFonts w:ascii="Times New Roman" w:hAnsi="Times New Roman" w:cs="Times New Roman"/>
          <w:sz w:val="24"/>
          <w:szCs w:val="24"/>
        </w:rPr>
        <w:t>), to produce pSA18Kan (</w:t>
      </w:r>
      <w:r>
        <w:rPr>
          <w:rFonts w:ascii="Times New Roman" w:hAnsi="Times New Roman" w:cs="Times New Roman"/>
          <w:i/>
          <w:sz w:val="24"/>
          <w:szCs w:val="24"/>
        </w:rPr>
        <w:t>sagB::kan</w:t>
      </w:r>
      <w:r>
        <w:rPr>
          <w:rFonts w:ascii="Times New Roman" w:hAnsi="Times New Roman" w:cs="Times New Roman"/>
          <w:sz w:val="24"/>
          <w:szCs w:val="24"/>
        </w:rPr>
        <w:t>) and pSA26Min (s</w:t>
      </w:r>
      <w:r>
        <w:rPr>
          <w:rFonts w:ascii="Times New Roman" w:hAnsi="Times New Roman" w:cs="Times New Roman"/>
          <w:i/>
          <w:sz w:val="24"/>
          <w:szCs w:val="24"/>
        </w:rPr>
        <w:t>caH::tetM</w:t>
      </w:r>
      <w:r>
        <w:rPr>
          <w:rFonts w:ascii="Times New Roman" w:hAnsi="Times New Roman" w:cs="Times New Roman"/>
          <w:sz w:val="24"/>
          <w:szCs w:val="24"/>
        </w:rPr>
        <w:t xml:space="preserve">). Allelic exchange by double crossover using these new constructs was successful. SJF1380 was constructed by Malcolm Horsburgh. SJF2115 and SJF2117 were constructed by Sharifah Mohamad. Gene annotations correspond to </w:t>
      </w:r>
      <w:r>
        <w:rPr>
          <w:rFonts w:ascii="Times New Roman" w:hAnsi="Times New Roman" w:cs="Times New Roman"/>
          <w:i/>
          <w:sz w:val="24"/>
          <w:szCs w:val="24"/>
        </w:rPr>
        <w:t>S. aureus</w:t>
      </w:r>
      <w:r>
        <w:rPr>
          <w:rFonts w:ascii="Times New Roman" w:hAnsi="Times New Roman" w:cs="Times New Roman"/>
          <w:sz w:val="24"/>
          <w:szCs w:val="24"/>
        </w:rPr>
        <w:t xml:space="preserve"> COL.</w:t>
      </w:r>
    </w:p>
    <w:p w:rsidR="007F78F1" w:rsidRDefault="007F78F1" w:rsidP="007F78F1">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Macroscopic cell aggregates were observed in double mutant strains SJF1363 (SH1000 </w:t>
      </w:r>
      <w:r>
        <w:rPr>
          <w:rFonts w:ascii="Times New Roman" w:hAnsi="Times New Roman" w:cs="Times New Roman"/>
          <w:i/>
          <w:color w:val="000000" w:themeColor="text1"/>
          <w:sz w:val="24"/>
          <w:szCs w:val="24"/>
        </w:rPr>
        <w:t xml:space="preserve">atl::pAZ106 </w:t>
      </w:r>
      <w:r>
        <w:rPr>
          <w:rFonts w:ascii="Times New Roman" w:hAnsi="Times New Roman" w:cs="Times New Roman"/>
          <w:color w:val="000000" w:themeColor="text1"/>
          <w:sz w:val="24"/>
          <w:szCs w:val="24"/>
        </w:rPr>
        <w:t>SA2297</w:t>
      </w:r>
      <w:r>
        <w:rPr>
          <w:rFonts w:ascii="Times New Roman" w:hAnsi="Times New Roman" w:cs="Times New Roman"/>
          <w:i/>
          <w:color w:val="000000" w:themeColor="text1"/>
          <w:sz w:val="24"/>
          <w:szCs w:val="24"/>
        </w:rPr>
        <w:t>::tetL</w:t>
      </w:r>
      <w:proofErr w:type="gramStart"/>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1</w:t>
      </w:r>
      <w:proofErr w:type="gramEnd"/>
      <w:r>
        <w:rPr>
          <w:rFonts w:ascii="Times New Roman" w:hAnsi="Times New Roman" w:cs="Times New Roman"/>
          <w:color w:val="000000" w:themeColor="text1"/>
          <w:sz w:val="24"/>
          <w:szCs w:val="24"/>
        </w:rPr>
        <w:t xml:space="preserve">, SJF2118 (SH1000 </w:t>
      </w:r>
      <w:r>
        <w:rPr>
          <w:rFonts w:ascii="Times New Roman" w:hAnsi="Times New Roman" w:cs="Times New Roman"/>
          <w:i/>
          <w:color w:val="000000" w:themeColor="text1"/>
          <w:sz w:val="24"/>
          <w:szCs w:val="24"/>
        </w:rPr>
        <w:t>atl::pAZ106 sagB::kan</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 xml:space="preserve">, SJF2119 (SH1000 </w:t>
      </w:r>
      <w:r>
        <w:rPr>
          <w:rFonts w:ascii="Times New Roman" w:hAnsi="Times New Roman" w:cs="Times New Roman"/>
          <w:i/>
          <w:color w:val="000000" w:themeColor="text1"/>
          <w:sz w:val="24"/>
          <w:szCs w:val="24"/>
        </w:rPr>
        <w:t>sagB::kan</w:t>
      </w:r>
      <w:r>
        <w:rPr>
          <w:rFonts w:ascii="Times New Roman" w:hAnsi="Times New Roman" w:cs="Times New Roman"/>
          <w:color w:val="000000" w:themeColor="text1"/>
          <w:sz w:val="24"/>
          <w:szCs w:val="24"/>
        </w:rPr>
        <w:t xml:space="preserve"> SA2297</w:t>
      </w:r>
      <w:r>
        <w:rPr>
          <w:rFonts w:ascii="Times New Roman" w:hAnsi="Times New Roman" w:cs="Times New Roman"/>
          <w:i/>
          <w:color w:val="000000" w:themeColor="text1"/>
          <w:sz w:val="24"/>
          <w:szCs w:val="24"/>
        </w:rPr>
        <w:t>::tetL</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SJF2123 (SH1000 </w:t>
      </w:r>
      <w:r>
        <w:rPr>
          <w:rFonts w:ascii="Times New Roman" w:hAnsi="Times New Roman" w:cs="Times New Roman"/>
          <w:i/>
          <w:color w:val="000000" w:themeColor="text1"/>
          <w:sz w:val="24"/>
          <w:szCs w:val="24"/>
        </w:rPr>
        <w:t>sagB::kan, scaH::tetM</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 xml:space="preserve"> and in triple mutant strains SJF2120 (SH1000 </w:t>
      </w:r>
      <w:r>
        <w:rPr>
          <w:rFonts w:ascii="Times New Roman" w:hAnsi="Times New Roman" w:cs="Times New Roman"/>
          <w:i/>
          <w:color w:val="000000" w:themeColor="text1"/>
          <w:sz w:val="24"/>
          <w:szCs w:val="24"/>
        </w:rPr>
        <w:t>atl::pAZ106</w:t>
      </w:r>
      <w:r>
        <w:rPr>
          <w:rFonts w:ascii="Times New Roman" w:hAnsi="Times New Roman" w:cs="Times New Roman"/>
          <w:color w:val="000000" w:themeColor="text1"/>
          <w:sz w:val="24"/>
          <w:szCs w:val="24"/>
        </w:rPr>
        <w:t xml:space="preserve"> </w:t>
      </w:r>
      <w:r>
        <w:rPr>
          <w:rFonts w:ascii="Times New Roman" w:hAnsi="Times New Roman" w:cs="Times New Roman"/>
          <w:i/>
          <w:color w:val="000000" w:themeColor="text1"/>
          <w:sz w:val="24"/>
          <w:szCs w:val="24"/>
        </w:rPr>
        <w:t>sagB::kan</w:t>
      </w:r>
      <w:r>
        <w:rPr>
          <w:rFonts w:ascii="Times New Roman" w:hAnsi="Times New Roman" w:cs="Times New Roman"/>
          <w:color w:val="000000" w:themeColor="text1"/>
          <w:sz w:val="24"/>
          <w:szCs w:val="24"/>
        </w:rPr>
        <w:t xml:space="preserve"> SA2297</w:t>
      </w:r>
      <w:r>
        <w:rPr>
          <w:rFonts w:ascii="Times New Roman" w:hAnsi="Times New Roman" w:cs="Times New Roman"/>
          <w:i/>
          <w:color w:val="000000" w:themeColor="text1"/>
          <w:sz w:val="24"/>
          <w:szCs w:val="24"/>
        </w:rPr>
        <w:t>::tetL</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 xml:space="preserve"> and SJF2126 (SH1000 </w:t>
      </w:r>
      <w:r>
        <w:rPr>
          <w:rFonts w:ascii="Times New Roman" w:hAnsi="Times New Roman" w:cs="Times New Roman"/>
          <w:i/>
          <w:color w:val="000000" w:themeColor="text1"/>
          <w:sz w:val="24"/>
          <w:szCs w:val="24"/>
        </w:rPr>
        <w:t xml:space="preserve">sagB::kan scaH::tetM </w:t>
      </w:r>
      <w:r>
        <w:rPr>
          <w:rFonts w:ascii="Times New Roman" w:hAnsi="Times New Roman" w:cs="Times New Roman"/>
          <w:color w:val="000000" w:themeColor="text1"/>
          <w:sz w:val="24"/>
          <w:szCs w:val="24"/>
        </w:rPr>
        <w:t>SA2297</w:t>
      </w:r>
      <w:r>
        <w:rPr>
          <w:rFonts w:ascii="Times New Roman" w:hAnsi="Times New Roman" w:cs="Times New Roman"/>
          <w:i/>
          <w:color w:val="000000" w:themeColor="text1"/>
          <w:sz w:val="24"/>
          <w:szCs w:val="24"/>
        </w:rPr>
        <w:t>::tetL</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 xml:space="preserve"> (Figure 5.6). The clustering phenotype of strains that formed macroscopic aggregates appeared less severe by microscopy, presumably because the majority of cells were sequestered in these very large clusters leaving fewer dispersed cells. Microscopy fields of SJF2125 (SH1000 </w:t>
      </w:r>
      <w:r>
        <w:rPr>
          <w:rFonts w:ascii="Times New Roman" w:hAnsi="Times New Roman" w:cs="Times New Roman"/>
          <w:i/>
          <w:color w:val="000000" w:themeColor="text1"/>
          <w:sz w:val="24"/>
          <w:szCs w:val="24"/>
        </w:rPr>
        <w:t>atl::pAZ106 sagB::kan scaH::tetM</w:t>
      </w:r>
      <w:proofErr w:type="gramStart"/>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3</w:t>
      </w:r>
      <w:proofErr w:type="gramEnd"/>
      <w:r>
        <w:rPr>
          <w:rFonts w:ascii="Times New Roman" w:hAnsi="Times New Roman" w:cs="Times New Roman"/>
          <w:color w:val="000000" w:themeColor="text1"/>
          <w:sz w:val="24"/>
          <w:szCs w:val="24"/>
        </w:rPr>
        <w:t xml:space="preserve"> were sparsely populated compared to fields of other triple mutants, and aggregates of apparently lysed cells were observed.</w:t>
      </w:r>
    </w:p>
    <w:p w:rsidR="007F78F1" w:rsidRDefault="007F78F1" w:rsidP="007F78F1">
      <w:pPr>
        <w:spacing w:line="480" w:lineRule="auto"/>
        <w:jc w:val="both"/>
        <w:rPr>
          <w:rFonts w:ascii="Times New Roman" w:hAnsi="Times New Roman" w:cs="Times New Roman"/>
          <w:color w:val="000000" w:themeColor="text1"/>
          <w:sz w:val="24"/>
          <w:szCs w:val="24"/>
        </w:rPr>
      </w:pPr>
    </w:p>
    <w:p w:rsidR="007F78F1" w:rsidRDefault="007F78F1" w:rsidP="007F78F1">
      <w:pPr>
        <w:spacing w:line="48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5.2.4.2</w:t>
      </w:r>
      <w:r>
        <w:rPr>
          <w:rFonts w:ascii="Times New Roman" w:hAnsi="Times New Roman" w:cs="Times New Roman"/>
          <w:color w:val="000000" w:themeColor="text1"/>
          <w:sz w:val="28"/>
          <w:szCs w:val="28"/>
        </w:rPr>
        <w:tab/>
        <w:t xml:space="preserve">Salt sensitivity of </w:t>
      </w:r>
      <w:r>
        <w:rPr>
          <w:rFonts w:ascii="Times New Roman" w:hAnsi="Times New Roman" w:cs="Times New Roman"/>
          <w:i/>
          <w:color w:val="000000" w:themeColor="text1"/>
          <w:sz w:val="28"/>
          <w:szCs w:val="28"/>
        </w:rPr>
        <w:t>S. aureus</w:t>
      </w:r>
      <w:r>
        <w:rPr>
          <w:rFonts w:ascii="Times New Roman" w:hAnsi="Times New Roman" w:cs="Times New Roman"/>
          <w:color w:val="000000" w:themeColor="text1"/>
          <w:sz w:val="28"/>
          <w:szCs w:val="28"/>
        </w:rPr>
        <w:t xml:space="preserve"> glucosaminidase mutants</w:t>
      </w:r>
    </w:p>
    <w:p w:rsidR="007F78F1" w:rsidRDefault="007F78F1" w:rsidP="007F78F1">
      <w:pPr>
        <w:spacing w:line="48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Salt sensitivity of the glucosaminidase mutants was investigated by growth on solid TSA media supplemented with 1.0 M, 1.5 M or 2.0 M NaCl. At 2.0 M NaCl, all triple mutants containing the </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inactivation had a severe growth defect (Figure 5.7). The appearance of visible colonies took up to 48 hrs, and in the case of SJF2125 (SH1000 </w:t>
      </w:r>
      <w:r>
        <w:rPr>
          <w:rFonts w:ascii="Times New Roman" w:hAnsi="Times New Roman" w:cs="Times New Roman"/>
          <w:i/>
          <w:color w:val="000000" w:themeColor="text1"/>
          <w:sz w:val="24"/>
          <w:szCs w:val="24"/>
        </w:rPr>
        <w:t>atl::pAZ106 sagB::kan scaH::tetM</w:t>
      </w:r>
      <w:proofErr w:type="gramStart"/>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3</w:t>
      </w:r>
      <w:proofErr w:type="gramEnd"/>
      <w:r>
        <w:rPr>
          <w:rFonts w:ascii="Times New Roman" w:hAnsi="Times New Roman" w:cs="Times New Roman"/>
          <w:color w:val="000000" w:themeColor="text1"/>
          <w:sz w:val="24"/>
          <w:szCs w:val="24"/>
        </w:rPr>
        <w:t xml:space="preserve"> and SJF2126 (SH1000 </w:t>
      </w:r>
      <w:r>
        <w:rPr>
          <w:rFonts w:ascii="Times New Roman" w:hAnsi="Times New Roman" w:cs="Times New Roman"/>
          <w:i/>
          <w:color w:val="000000" w:themeColor="text1"/>
          <w:sz w:val="24"/>
          <w:szCs w:val="24"/>
        </w:rPr>
        <w:t xml:space="preserve">sagB::kan scaH::tetM </w:t>
      </w:r>
      <w:r>
        <w:rPr>
          <w:rFonts w:ascii="Times New Roman" w:hAnsi="Times New Roman" w:cs="Times New Roman"/>
          <w:color w:val="000000" w:themeColor="text1"/>
          <w:sz w:val="24"/>
          <w:szCs w:val="24"/>
        </w:rPr>
        <w:t>SA2297</w:t>
      </w:r>
      <w:r>
        <w:rPr>
          <w:rFonts w:ascii="Times New Roman" w:hAnsi="Times New Roman" w:cs="Times New Roman"/>
          <w:i/>
          <w:color w:val="000000" w:themeColor="text1"/>
          <w:sz w:val="24"/>
          <w:szCs w:val="24"/>
        </w:rPr>
        <w:t>::tetL</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 xml:space="preserve">, the number of colony forming units was diminished by approximately 75% and 95% respectively compared with SH1000 (Figure 5.7A). Whilst the final cfu of SJF2120 (SH1000 </w:t>
      </w:r>
      <w:r>
        <w:rPr>
          <w:rFonts w:ascii="Times New Roman" w:hAnsi="Times New Roman" w:cs="Times New Roman"/>
          <w:i/>
          <w:color w:val="000000" w:themeColor="text1"/>
          <w:sz w:val="24"/>
          <w:szCs w:val="24"/>
        </w:rPr>
        <w:t xml:space="preserve">atl::pAZ106 sagB::kan </w:t>
      </w:r>
      <w:r>
        <w:rPr>
          <w:rFonts w:ascii="Times New Roman" w:hAnsi="Times New Roman" w:cs="Times New Roman"/>
          <w:color w:val="000000" w:themeColor="text1"/>
          <w:sz w:val="24"/>
          <w:szCs w:val="24"/>
        </w:rPr>
        <w:t>SA2297</w:t>
      </w:r>
      <w:r>
        <w:rPr>
          <w:rFonts w:ascii="Times New Roman" w:hAnsi="Times New Roman" w:cs="Times New Roman"/>
          <w:i/>
          <w:color w:val="000000" w:themeColor="text1"/>
          <w:sz w:val="24"/>
          <w:szCs w:val="24"/>
        </w:rPr>
        <w:t>::tetL</w:t>
      </w:r>
      <w:proofErr w:type="gramStart"/>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2</w:t>
      </w:r>
      <w:proofErr w:type="gramEnd"/>
      <w:r>
        <w:rPr>
          <w:rFonts w:ascii="Times New Roman" w:hAnsi="Times New Roman" w:cs="Times New Roman"/>
          <w:color w:val="000000" w:themeColor="text1"/>
          <w:sz w:val="24"/>
          <w:szCs w:val="24"/>
        </w:rPr>
        <w:t xml:space="preserve"> was comparable to SH1000, the colonies themselves were qualitatively smaller after 48 hrs growth (Figure 5.7B). Growth of SJF2124 (SH1000 </w:t>
      </w:r>
      <w:r>
        <w:rPr>
          <w:rFonts w:ascii="Times New Roman" w:hAnsi="Times New Roman" w:cs="Times New Roman"/>
          <w:i/>
          <w:color w:val="000000" w:themeColor="text1"/>
          <w:sz w:val="24"/>
          <w:szCs w:val="24"/>
        </w:rPr>
        <w:t>atl::pAZ106 scaH::tetM</w:t>
      </w:r>
      <w:r>
        <w:rPr>
          <w:rFonts w:ascii="Times New Roman" w:hAnsi="Times New Roman" w:cs="Times New Roman"/>
          <w:color w:val="000000" w:themeColor="text1"/>
          <w:sz w:val="24"/>
          <w:szCs w:val="24"/>
        </w:rPr>
        <w:t xml:space="preserve"> SA2297</w:t>
      </w:r>
      <w:r>
        <w:rPr>
          <w:rFonts w:ascii="Times New Roman" w:hAnsi="Times New Roman" w:cs="Times New Roman"/>
          <w:i/>
          <w:color w:val="000000" w:themeColor="text1"/>
          <w:sz w:val="24"/>
          <w:szCs w:val="24"/>
        </w:rPr>
        <w:t>::tetL</w:t>
      </w:r>
      <w:proofErr w:type="gramStart"/>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2</w:t>
      </w:r>
      <w:proofErr w:type="gramEnd"/>
      <w:r>
        <w:rPr>
          <w:rFonts w:ascii="Times New Roman" w:hAnsi="Times New Roman" w:cs="Times New Roman"/>
          <w:color w:val="000000" w:themeColor="text1"/>
          <w:sz w:val="24"/>
          <w:szCs w:val="24"/>
        </w:rPr>
        <w:t>, expressing active SagB, was similar to the</w:t>
      </w:r>
      <w:r>
        <w:rPr>
          <w:rFonts w:ascii="Times New Roman" w:hAnsi="Times New Roman" w:cs="Times New Roman"/>
          <w:sz w:val="24"/>
          <w:szCs w:val="24"/>
        </w:rPr>
        <w:t xml:space="preserve"> parent strain.</w:t>
      </w:r>
    </w:p>
    <w:p w:rsidR="007F78F1" w:rsidRDefault="007F78F1" w:rsidP="007F78F1">
      <w:pPr>
        <w:spacing w:line="480" w:lineRule="auto"/>
        <w:jc w:val="cente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3111500" cy="8312785"/>
            <wp:effectExtent l="19050" t="0" r="0" b="0"/>
            <wp:docPr id="97" name="Picture 0" descr="Fixed Figure 5.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Fixed Figure 5.6A.png"/>
                    <pic:cNvPicPr>
                      <a:picLocks noChangeAspect="1" noChangeArrowheads="1"/>
                    </pic:cNvPicPr>
                  </pic:nvPicPr>
                  <pic:blipFill>
                    <a:blip r:embed="rId93" cstate="print"/>
                    <a:srcRect/>
                    <a:stretch>
                      <a:fillRect/>
                    </a:stretch>
                  </pic:blipFill>
                  <pic:spPr bwMode="auto">
                    <a:xfrm>
                      <a:off x="0" y="0"/>
                      <a:ext cx="3111500" cy="8312785"/>
                    </a:xfrm>
                    <a:prstGeom prst="rect">
                      <a:avLst/>
                    </a:prstGeom>
                    <a:noFill/>
                    <a:ln w="9525">
                      <a:noFill/>
                      <a:miter lim="800000"/>
                      <a:headEnd/>
                      <a:tailEnd/>
                    </a:ln>
                  </pic:spPr>
                </pic:pic>
              </a:graphicData>
            </a:graphic>
          </wp:inline>
        </w:drawing>
      </w:r>
    </w:p>
    <w:p w:rsidR="007F78F1" w:rsidRDefault="007F78F1" w:rsidP="007F78F1">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403215" cy="7576185"/>
            <wp:effectExtent l="19050" t="0" r="6985" b="0"/>
            <wp:docPr id="96" name="Picture 68" descr="Fixed Figure 5.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ixed Figure 5.6B.png"/>
                    <pic:cNvPicPr>
                      <a:picLocks noChangeAspect="1" noChangeArrowheads="1"/>
                    </pic:cNvPicPr>
                  </pic:nvPicPr>
                  <pic:blipFill>
                    <a:blip r:embed="rId94" cstate="print"/>
                    <a:srcRect/>
                    <a:stretch>
                      <a:fillRect/>
                    </a:stretch>
                  </pic:blipFill>
                  <pic:spPr bwMode="auto">
                    <a:xfrm>
                      <a:off x="0" y="0"/>
                      <a:ext cx="5403215" cy="7576185"/>
                    </a:xfrm>
                    <a:prstGeom prst="rect">
                      <a:avLst/>
                    </a:prstGeom>
                    <a:noFill/>
                    <a:ln w="9525">
                      <a:noFill/>
                      <a:miter lim="800000"/>
                      <a:headEnd/>
                      <a:tailEnd/>
                    </a:ln>
                  </pic:spPr>
                </pic:pic>
              </a:graphicData>
            </a:graphic>
          </wp:inline>
        </w:drawing>
      </w:r>
    </w:p>
    <w:p w:rsidR="007F78F1" w:rsidRDefault="007F78F1" w:rsidP="007F78F1">
      <w:pPr>
        <w:spacing w:after="120" w:line="360" w:lineRule="auto"/>
        <w:jc w:val="both"/>
        <w:rPr>
          <w:rFonts w:ascii="Times New Roman" w:hAnsi="Times New Roman" w:cs="Times New Roman"/>
          <w:sz w:val="28"/>
          <w:szCs w:val="28"/>
        </w:rPr>
      </w:pPr>
      <w:proofErr w:type="gramStart"/>
      <w:r>
        <w:rPr>
          <w:rFonts w:ascii="Times New Roman" w:hAnsi="Times New Roman" w:cs="Times New Roman"/>
          <w:b/>
          <w:sz w:val="24"/>
          <w:szCs w:val="24"/>
        </w:rPr>
        <w:t>Figure 5.6.</w:t>
      </w:r>
      <w:proofErr w:type="gramEnd"/>
      <w:r>
        <w:rPr>
          <w:rFonts w:ascii="Times New Roman" w:hAnsi="Times New Roman" w:cs="Times New Roman"/>
          <w:b/>
        </w:rPr>
        <w:t xml:space="preserve"> </w:t>
      </w:r>
      <w:proofErr w:type="gramStart"/>
      <w:r>
        <w:rPr>
          <w:rFonts w:ascii="Times New Roman" w:hAnsi="Times New Roman" w:cs="Times New Roman"/>
          <w:b/>
        </w:rPr>
        <w:t>Phenotype anlaysis of glucosaminidase mutants.</w:t>
      </w:r>
      <w:proofErr w:type="gramEnd"/>
      <w:r>
        <w:rPr>
          <w:rFonts w:ascii="Times New Roman" w:hAnsi="Times New Roman" w:cs="Times New Roman"/>
        </w:rPr>
        <w:t xml:space="preserve"> </w:t>
      </w:r>
      <w:proofErr w:type="gramStart"/>
      <w:r>
        <w:rPr>
          <w:rFonts w:ascii="Times New Roman" w:hAnsi="Times New Roman" w:cs="Times New Roman"/>
        </w:rPr>
        <w:t>Macroscopic and microscopic analysis of single, double and triple putative glucosaminidase mutants.</w:t>
      </w:r>
      <w:proofErr w:type="gramEnd"/>
      <w:r>
        <w:rPr>
          <w:rFonts w:ascii="Times New Roman" w:hAnsi="Times New Roman" w:cs="Times New Roman"/>
        </w:rPr>
        <w:t xml:space="preserve"> For each strain, macroscopic aggregation of cells in liquid culture (top) and brightfield images (bottom) are shown. Scale bar: 4 µm.</w:t>
      </w:r>
      <w:r>
        <w:rPr>
          <w:rFonts w:ascii="Times New Roman" w:hAnsi="Times New Roman" w:cs="Times New Roman"/>
          <w:sz w:val="28"/>
          <w:szCs w:val="28"/>
        </w:rPr>
        <w:br w:type="page"/>
      </w:r>
    </w:p>
    <w:p w:rsidR="007F78F1" w:rsidRDefault="007F78F1" w:rsidP="007F78F1">
      <w:pPr>
        <w:spacing w:line="480" w:lineRule="auto"/>
        <w:jc w:val="both"/>
        <w:rPr>
          <w:rFonts w:ascii="Times New Roman" w:hAnsi="Times New Roman" w:cs="Times New Roman"/>
          <w:sz w:val="28"/>
          <w:szCs w:val="28"/>
        </w:rPr>
      </w:pPr>
      <w:r>
        <w:rPr>
          <w:rFonts w:ascii="Times New Roman" w:hAnsi="Times New Roman" w:cs="Times New Roman"/>
          <w:sz w:val="28"/>
          <w:szCs w:val="28"/>
        </w:rPr>
        <w:lastRenderedPageBreak/>
        <w:t>5.2.5</w:t>
      </w:r>
      <w:r>
        <w:rPr>
          <w:rFonts w:ascii="Times New Roman" w:hAnsi="Times New Roman" w:cs="Times New Roman"/>
          <w:sz w:val="28"/>
          <w:szCs w:val="28"/>
        </w:rPr>
        <w:tab/>
      </w:r>
      <w:r>
        <w:rPr>
          <w:rFonts w:ascii="Times New Roman" w:hAnsi="Times New Roman" w:cs="Times New Roman"/>
          <w:sz w:val="28"/>
          <w:szCs w:val="28"/>
        </w:rPr>
        <w:tab/>
        <w:t xml:space="preserve">Chain length analysis of </w:t>
      </w:r>
      <w:r>
        <w:rPr>
          <w:rFonts w:ascii="Times New Roman" w:hAnsi="Times New Roman" w:cs="Times New Roman"/>
          <w:i/>
          <w:sz w:val="28"/>
          <w:szCs w:val="28"/>
        </w:rPr>
        <w:t xml:space="preserve">S. aureus </w:t>
      </w:r>
      <w:r>
        <w:rPr>
          <w:rFonts w:ascii="Times New Roman" w:hAnsi="Times New Roman" w:cs="Times New Roman"/>
          <w:sz w:val="28"/>
          <w:szCs w:val="28"/>
        </w:rPr>
        <w:t xml:space="preserve">triple mutants </w:t>
      </w:r>
    </w:p>
    <w:p w:rsidR="007F78F1" w:rsidRDefault="007F78F1" w:rsidP="007F78F1">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Glucosaminidase activity has been implicated in the regulation of glycan chain length in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{"citationID":"2cu6j6d0k2","properties":{"formattedCitation":"(Boneca et al., 2000)","plainCitation":"(Boneca et al., 2000)"},"citationItems":[{"id":7,"uris":["http://zotero.org/users/944474/items/AQ75H8SX"],"uri":["http://zotero.org/users/944474/items/AQ75H8SX"],"itemData":{"id":7,"type":"article-journal","title":"Characterization of Staphylococcus aureus cell wall glycan strands, evidence for a new beta-N-acetylglucosaminidase activity","container-title":"The Journal of Biological Chemistry","page":"9910-9918","volume":"275","issue":"14","abstract":"Using sequential digestion with the glycyl-glycine endopeptidase lysostaphin followed by the pneumococcal N-acetylmuramyl-L-alanine amidase (amidase), the glycan strands of the peptidoglycan of Staphylococcus aureus were purified and analyzed by a combination of reverse-phase-high pressure liquid chromatography (HPLC) and mass spectrometry. Reverse-phase-HPLC resolved the glycan strands to a family of major peaks, which represented oligosaccharides composed of repeating disaccharide units (N-acetylglucosamine-[beta-1, 4]-N-acetylmuramic acid) with different degrees of polymerization and terminating with N-acetylmuramic acid residues at the reducing ends. The method allowed separation of strands up to 23-26 disaccharide units with a predominant length between 3 and 10 and an average degree of polymerization of approximately 6. Glycan strands with a higher degree of polymerization (&gt;26 disaccharide units) represented 10-15% of the total UV absorbing glycan material. A unique feature of the staphylococcal glycan strands was the presence of minor satellite peaks that were present throughout the HPLC elution profile eluting either just prior or shortly after the major oligosaccharide peaks. A number of observations including mass spectrometric analysis suggest that the satellites are the products of an N-acetylglucosaminidase activity that differs from the atl gene product and that appears to be involved with modification of the glycan strand structure.","note":"PMID: 10744664","journalAbbreviation":"J. Biol. Chem.","author":[{"family":"Boneca","given":"I G"},{"family":"Huang","given":"Z H"},{"family":"Gage","given":"D A"},{"family":"Tomasz","given":"A"}],"issued":{"year":2000,"month":4,"day":7},"accessed":{"year":2012,"month":3,"day":6},"page-first":"9910"}}],"schema":"https://github.com/citation-style-language/schema/raw/master/csl-citation.json"}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(Boneca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2000)</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The glycan chain length distribution was investigated in the triple putative glucosaminidase mutants. Glycan strands were separated from peptide stems of </w:t>
      </w:r>
      <w:r>
        <w:rPr>
          <w:rFonts w:ascii="Times New Roman" w:hAnsi="Times New Roman" w:cs="Times New Roman"/>
          <w:i/>
          <w:color w:val="000000" w:themeColor="text1"/>
          <w:sz w:val="24"/>
          <w:szCs w:val="24"/>
        </w:rPr>
        <w:t>N</w:t>
      </w:r>
      <w:r>
        <w:rPr>
          <w:rFonts w:ascii="Times New Roman" w:hAnsi="Times New Roman" w:cs="Times New Roman"/>
          <w:color w:val="000000" w:themeColor="text1"/>
          <w:sz w:val="24"/>
          <w:szCs w:val="24"/>
        </w:rPr>
        <w:t>-</w:t>
      </w:r>
      <w:proofErr w:type="gramStart"/>
      <w:r>
        <w:rPr>
          <w:rFonts w:ascii="Times New Roman" w:hAnsi="Times New Roman" w:cs="Times New Roman"/>
          <w:color w:val="000000" w:themeColor="text1"/>
          <w:sz w:val="24"/>
          <w:szCs w:val="24"/>
        </w:rPr>
        <w:t>acetyl[</w:t>
      </w:r>
      <w:proofErr w:type="gramEnd"/>
      <w:r>
        <w:rPr>
          <w:rFonts w:ascii="Times New Roman" w:hAnsi="Times New Roman" w:cs="Times New Roman"/>
          <w:color w:val="000000" w:themeColor="text1"/>
          <w:sz w:val="24"/>
          <w:szCs w:val="24"/>
          <w:vertAlign w:val="superscript"/>
        </w:rPr>
        <w:t>14</w:t>
      </w:r>
      <w:r>
        <w:rPr>
          <w:rFonts w:ascii="Times New Roman" w:hAnsi="Times New Roman" w:cs="Times New Roman"/>
          <w:color w:val="000000" w:themeColor="text1"/>
          <w:sz w:val="24"/>
          <w:szCs w:val="24"/>
        </w:rPr>
        <w:t xml:space="preserve">C]glucosamine labelled peptidoglycan using the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xml:space="preserve"> Atl amidase, and the glycan chain length distribution analysed by size-exclusion HPLC (Chapter 2.16). We have previously reported gel-filtration experiments showing that wildtype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xml:space="preserve"> have a small proportion (approximately 14%) of glycan chains &gt; 50 dissacharides in length (Table 5.2; Chapter 3). Analysis of the glycan chain length profile of the triple mutants revealed that, in all cases, strains carrying the </w:t>
      </w:r>
      <w:r>
        <w:rPr>
          <w:rFonts w:ascii="Times New Roman" w:hAnsi="Times New Roman" w:cs="Times New Roman"/>
          <w:i/>
          <w:color w:val="000000" w:themeColor="text1"/>
          <w:sz w:val="24"/>
          <w:szCs w:val="24"/>
        </w:rPr>
        <w:t>sagB::kan</w:t>
      </w:r>
      <w:r>
        <w:rPr>
          <w:rFonts w:ascii="Times New Roman" w:hAnsi="Times New Roman" w:cs="Times New Roman"/>
          <w:color w:val="000000" w:themeColor="text1"/>
          <w:sz w:val="24"/>
          <w:szCs w:val="24"/>
        </w:rPr>
        <w:t xml:space="preserve"> inactivation had a high proportion of long glycan strands with 38.9-43.3% of glycan strands longer than 50 disaccharides (Figure 5.8 and Table 5.2). Strain SJF2124 (SH1000 </w:t>
      </w:r>
      <w:r>
        <w:rPr>
          <w:rFonts w:ascii="Times New Roman" w:hAnsi="Times New Roman" w:cs="Times New Roman"/>
          <w:i/>
          <w:color w:val="000000" w:themeColor="text1"/>
          <w:sz w:val="24"/>
          <w:szCs w:val="24"/>
        </w:rPr>
        <w:t xml:space="preserve">atl::pAZ106 scaH::tetM </w:t>
      </w:r>
      <w:r>
        <w:rPr>
          <w:rFonts w:ascii="Times New Roman" w:hAnsi="Times New Roman" w:cs="Times New Roman"/>
          <w:color w:val="000000" w:themeColor="text1"/>
          <w:sz w:val="24"/>
          <w:szCs w:val="24"/>
        </w:rPr>
        <w:t>SA2297</w:t>
      </w:r>
      <w:r>
        <w:rPr>
          <w:rFonts w:ascii="Times New Roman" w:hAnsi="Times New Roman" w:cs="Times New Roman"/>
          <w:i/>
          <w:color w:val="000000" w:themeColor="text1"/>
          <w:sz w:val="24"/>
          <w:szCs w:val="24"/>
        </w:rPr>
        <w:t>::tetL</w:t>
      </w:r>
      <w:proofErr w:type="gramStart"/>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2</w:t>
      </w:r>
      <w:proofErr w:type="gramEnd"/>
      <w:r>
        <w:rPr>
          <w:rFonts w:ascii="Times New Roman" w:hAnsi="Times New Roman" w:cs="Times New Roman"/>
          <w:color w:val="000000" w:themeColor="text1"/>
          <w:sz w:val="24"/>
          <w:szCs w:val="24"/>
        </w:rPr>
        <w:t xml:space="preserve"> had predominantly short glycan strands, comparable to wildtype </w:t>
      </w:r>
      <w:r>
        <w:rPr>
          <w:rFonts w:ascii="Times New Roman" w:hAnsi="Times New Roman" w:cs="Times New Roman"/>
          <w:i/>
          <w:color w:val="000000" w:themeColor="text1"/>
          <w:sz w:val="24"/>
          <w:szCs w:val="24"/>
        </w:rPr>
        <w:t xml:space="preserve">S. aureus </w:t>
      </w:r>
      <w:r>
        <w:rPr>
          <w:rFonts w:ascii="Times New Roman" w:hAnsi="Times New Roman" w:cs="Times New Roman"/>
          <w:color w:val="000000" w:themeColor="text1"/>
          <w:sz w:val="24"/>
          <w:szCs w:val="24"/>
        </w:rPr>
        <w:t>SH1000 and COL strains.</w:t>
      </w:r>
    </w:p>
    <w:p w:rsidR="007F78F1" w:rsidRDefault="007F78F1" w:rsidP="007F78F1">
      <w:pPr>
        <w:spacing w:line="480" w:lineRule="auto"/>
        <w:jc w:val="both"/>
        <w:rPr>
          <w:rFonts w:ascii="Times New Roman" w:hAnsi="Times New Roman" w:cs="Times New Roman"/>
          <w:color w:val="000000" w:themeColor="text1"/>
          <w:sz w:val="24"/>
          <w:szCs w:val="24"/>
        </w:rPr>
      </w:pPr>
    </w:p>
    <w:p w:rsidR="007F78F1" w:rsidRDefault="007F78F1" w:rsidP="007F78F1">
      <w:pPr>
        <w:spacing w:line="480" w:lineRule="auto"/>
        <w:jc w:val="both"/>
        <w:rPr>
          <w:rFonts w:ascii="Times New Roman" w:hAnsi="Times New Roman" w:cs="Times New Roman"/>
          <w:i/>
          <w:color w:val="000000" w:themeColor="text1"/>
          <w:sz w:val="28"/>
          <w:szCs w:val="28"/>
        </w:rPr>
      </w:pPr>
      <w:r>
        <w:rPr>
          <w:rFonts w:ascii="Times New Roman" w:hAnsi="Times New Roman" w:cs="Times New Roman"/>
          <w:color w:val="000000" w:themeColor="text1"/>
          <w:sz w:val="28"/>
          <w:szCs w:val="28"/>
        </w:rPr>
        <w:t>5.2.6</w:t>
      </w:r>
      <w:r>
        <w:rPr>
          <w:rFonts w:ascii="Times New Roman" w:hAnsi="Times New Roman" w:cs="Times New Roman"/>
          <w:color w:val="000000" w:themeColor="text1"/>
          <w:sz w:val="28"/>
          <w:szCs w:val="28"/>
        </w:rPr>
        <w:tab/>
      </w:r>
      <w:r>
        <w:rPr>
          <w:rFonts w:ascii="Times New Roman" w:hAnsi="Times New Roman" w:cs="Times New Roman"/>
          <w:color w:val="000000" w:themeColor="text1"/>
          <w:sz w:val="28"/>
          <w:szCs w:val="28"/>
        </w:rPr>
        <w:tab/>
        <w:t>Construction of a conditional quadruple mutant</w:t>
      </w:r>
    </w:p>
    <w:p w:rsidR="007F78F1" w:rsidRDefault="007F78F1" w:rsidP="007F78F1">
      <w:pPr>
        <w:spacing w:line="48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To investigate the combined role of glucosaminidase class enzymes in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we aimed to create a strain devoid of</w:t>
      </w:r>
      <w:r>
        <w:rPr>
          <w:rFonts w:ascii="Times New Roman" w:hAnsi="Times New Roman" w:cs="Times New Roman"/>
          <w:sz w:val="24"/>
          <w:szCs w:val="24"/>
        </w:rPr>
        <w:t xml:space="preserve"> glucosaminidase activity. Repeated attempts by several contributors to construct a quadruple knockout mutant were unsuccessful, suggesting poor viability or even the synthetic lethality of the quadruple mutant. A conditional quadruple mutant was constructed instead. This strain, SJF4094, is an SH1000 Δ</w:t>
      </w:r>
      <w:r>
        <w:rPr>
          <w:rFonts w:ascii="Times New Roman" w:hAnsi="Times New Roman" w:cs="Times New Roman"/>
          <w:i/>
          <w:sz w:val="24"/>
          <w:szCs w:val="24"/>
        </w:rPr>
        <w:t xml:space="preserve">atl::spc scaH::tetM </w:t>
      </w:r>
      <w:r>
        <w:rPr>
          <w:rFonts w:ascii="Times New Roman" w:hAnsi="Times New Roman" w:cs="Times New Roman"/>
          <w:sz w:val="24"/>
          <w:szCs w:val="24"/>
        </w:rPr>
        <w:t>SA2297</w:t>
      </w:r>
      <w:r>
        <w:rPr>
          <w:rFonts w:ascii="Times New Roman" w:hAnsi="Times New Roman" w:cs="Times New Roman"/>
          <w:i/>
          <w:sz w:val="24"/>
          <w:szCs w:val="24"/>
        </w:rPr>
        <w:t>::tetL</w:t>
      </w:r>
      <w:r>
        <w:rPr>
          <w:rFonts w:ascii="Times New Roman" w:hAnsi="Times New Roman" w:cs="Times New Roman"/>
          <w:sz w:val="24"/>
          <w:szCs w:val="24"/>
        </w:rPr>
        <w:t xml:space="preserve"> triple knockout, with a truncated copy of </w:t>
      </w:r>
      <w:r>
        <w:rPr>
          <w:rFonts w:ascii="Times New Roman" w:hAnsi="Times New Roman" w:cs="Times New Roman"/>
          <w:i/>
          <w:sz w:val="24"/>
          <w:szCs w:val="24"/>
        </w:rPr>
        <w:t>sagB</w:t>
      </w:r>
      <w:r>
        <w:rPr>
          <w:rFonts w:ascii="Times New Roman" w:hAnsi="Times New Roman" w:cs="Times New Roman"/>
          <w:sz w:val="24"/>
          <w:szCs w:val="24"/>
        </w:rPr>
        <w:t xml:space="preserve"> under control of the native promoter, and a full copy of </w:t>
      </w:r>
      <w:r>
        <w:rPr>
          <w:rFonts w:ascii="Times New Roman" w:hAnsi="Times New Roman" w:cs="Times New Roman"/>
          <w:i/>
          <w:sz w:val="24"/>
          <w:szCs w:val="24"/>
        </w:rPr>
        <w:t>sagB</w:t>
      </w:r>
      <w:r>
        <w:rPr>
          <w:rFonts w:ascii="Times New Roman" w:hAnsi="Times New Roman" w:cs="Times New Roman"/>
          <w:sz w:val="24"/>
          <w:szCs w:val="24"/>
        </w:rPr>
        <w:t xml:space="preserve"> under control of the IPTG </w:t>
      </w:r>
      <w:r>
        <w:rPr>
          <w:rFonts w:ascii="Times New Roman" w:hAnsi="Times New Roman" w:cs="Times New Roman"/>
          <w:color w:val="000000" w:themeColor="text1"/>
          <w:sz w:val="24"/>
          <w:szCs w:val="24"/>
        </w:rPr>
        <w:t xml:space="preserve">inducible Spac promoter (Figure 5.9;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{"citationID":"1egqpe0ksr","properties":{"formattedCitation":"(Yansura and Henner, 1984)","plainCitation":"(Yansura and Henner, 1984)"},"citationItems":[{"id":73,"uris":["http://zotero.org/users/944474/items/JU83USEB"],"uri":["http://zotero.org/users/944474/items/JU83USEB"],"itemData":{"id":73,"type":"article-journal","title":"Use of the Escherichia coli lac repressor and operator to control gene expression in Bacillus subtilis","container-title":"Proceedings of the National Academy of Sciences of the United States of America","page":"439-443","volume":"81","issue":"2","abstract":"The Escherichia coli lac operator has been placed on the 3' side of the promoter for the penicillinase gene of Bacillus licheniformis, creating a hybrid promoter controllable by the E. coli lac repressor. The E. coli lac repressor gene has been placed under the control of a promoter and ribosome-binding site that allows expression in Bacillus subtilis. When the penicillinase gene that contains the lac operator is expressed in B. subtilis on a plasmid that also produces the lac repressor, the expression of the penicillinase gene can be modulated by isopropyl beta-D-thiogalactoside (IPTG), an inducer of the lac operon in E. coli. A similar system was constructed from a promoter of the B. subtilis phage SPO-1 and the leukocyte interferon A gene, which allowed the controlled expression of interferon in B. subtilis. These two examples show that a functional control system can be introduced into B. subtilis from E. coli.","note":"PMID: 6420789","journalAbbreviation":"Proc. Natl. Acad. Sci. U.S.A.","author":[{"family":"Yansura","given":"D G"},{"family":"Henner","given":"D J"}],"issued":{"year":1984,"month":1},"accessed":{"year":2012,"month":3,"day":7},"page-first":"439"}}],"schema":"https://github.com/citation-style-language/schema/raw/master/csl-citation.json"}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Yansura and Henner, 1984)</w:t>
      </w:r>
      <w:r>
        <w:rPr>
          <w:rFonts w:ascii="Times New Roman" w:hAnsi="Times New Roman" w:cs="Times New Roman"/>
          <w:color w:val="000000" w:themeColor="text1"/>
          <w:sz w:val="24"/>
          <w:szCs w:val="24"/>
        </w:rPr>
        <w:fldChar w:fldCharType="end"/>
      </w:r>
      <w:r>
        <w:rPr>
          <w:rFonts w:ascii="Times New Roman" w:hAnsi="Times New Roman" w:cs="Times New Roman"/>
          <w:sz w:val="24"/>
          <w:szCs w:val="24"/>
        </w:rPr>
        <w:t xml:space="preserve">. The truncated </w:t>
      </w:r>
    </w:p>
    <w:p w:rsidR="007F78F1" w:rsidRDefault="007F78F1" w:rsidP="007F78F1">
      <w:pPr>
        <w:spacing w:after="0" w:line="480" w:lineRule="auto"/>
        <w:rPr>
          <w:rFonts w:ascii="Times New Roman" w:hAnsi="Times New Roman" w:cs="Times New Roman"/>
          <w:sz w:val="24"/>
          <w:szCs w:val="24"/>
        </w:rPr>
        <w:sectPr w:rsidR="007F78F1">
          <w:type w:val="continuous"/>
          <w:pgSz w:w="11906" w:h="16838"/>
          <w:pgMar w:top="1440" w:right="1134" w:bottom="1440" w:left="2268" w:header="709" w:footer="709" w:gutter="0"/>
          <w:cols w:space="720"/>
        </w:sectPr>
      </w:pPr>
    </w:p>
    <w:p w:rsidR="007F78F1" w:rsidRDefault="007F78F1" w:rsidP="007F78F1">
      <w:pPr>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4690745" cy="5688330"/>
            <wp:effectExtent l="19050" t="0" r="0" b="0"/>
            <wp:docPr id="95" name="Picture 2" descr="Fixed Figure 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xed Figure 5.7.png"/>
                    <pic:cNvPicPr>
                      <a:picLocks noChangeAspect="1" noChangeArrowheads="1"/>
                    </pic:cNvPicPr>
                  </pic:nvPicPr>
                  <pic:blipFill>
                    <a:blip r:embed="rId95" cstate="print"/>
                    <a:srcRect/>
                    <a:stretch>
                      <a:fillRect/>
                    </a:stretch>
                  </pic:blipFill>
                  <pic:spPr bwMode="auto">
                    <a:xfrm>
                      <a:off x="0" y="0"/>
                      <a:ext cx="4690745" cy="5688330"/>
                    </a:xfrm>
                    <a:prstGeom prst="rect">
                      <a:avLst/>
                    </a:prstGeom>
                    <a:noFill/>
                    <a:ln w="9525">
                      <a:noFill/>
                      <a:miter lim="800000"/>
                      <a:headEnd/>
                      <a:tailEnd/>
                    </a:ln>
                  </pic:spPr>
                </pic:pic>
              </a:graphicData>
            </a:graphic>
          </wp:inline>
        </w:drawing>
      </w:r>
    </w:p>
    <w:p w:rsidR="007F78F1" w:rsidRDefault="007F78F1" w:rsidP="007F78F1">
      <w:pPr>
        <w:spacing w:after="120" w:line="360" w:lineRule="auto"/>
        <w:jc w:val="both"/>
        <w:rPr>
          <w:rFonts w:ascii="Times New Roman" w:hAnsi="Times New Roman" w:cs="Times New Roman"/>
          <w:sz w:val="24"/>
          <w:szCs w:val="24"/>
        </w:rPr>
      </w:pPr>
      <w:proofErr w:type="gramStart"/>
      <w:r>
        <w:rPr>
          <w:rFonts w:ascii="Times New Roman" w:hAnsi="Times New Roman" w:cs="Times New Roman"/>
          <w:b/>
          <w:sz w:val="24"/>
          <w:szCs w:val="24"/>
        </w:rPr>
        <w:t>Figure 5.7.</w:t>
      </w:r>
      <w:proofErr w:type="gramEnd"/>
      <w:r>
        <w:rPr>
          <w:rFonts w:ascii="Times New Roman" w:hAnsi="Times New Roman" w:cs="Times New Roman"/>
          <w:b/>
          <w:sz w:val="24"/>
          <w:szCs w:val="24"/>
        </w:rPr>
        <w:t xml:space="preserve"> </w:t>
      </w:r>
      <w:proofErr w:type="gramStart"/>
      <w:r>
        <w:rPr>
          <w:rFonts w:ascii="Times New Roman" w:hAnsi="Times New Roman" w:cs="Times New Roman"/>
          <w:b/>
          <w:sz w:val="24"/>
          <w:szCs w:val="24"/>
        </w:rPr>
        <w:t>Salt sensitivity of triple mutants.</w:t>
      </w:r>
      <w:proofErr w:type="gramEnd"/>
      <w:r>
        <w:rPr>
          <w:rFonts w:ascii="Times New Roman" w:hAnsi="Times New Roman" w:cs="Times New Roman"/>
          <w:sz w:val="24"/>
          <w:szCs w:val="24"/>
        </w:rPr>
        <w:t xml:space="preserve"> (A) Percentage growth of triple mutants relative to SH1000 on TSB agar (black bars), or TSB agar supplemented with 2.0 M NaCl (striped bars). Error bars show the standard deviation for experiments carried out in triplicate. (B) Representative images showing colony growth for cell counts used in (A). The cell density of exponential phase cultures (OD</w:t>
      </w:r>
      <w:r>
        <w:rPr>
          <w:rFonts w:ascii="Times New Roman" w:hAnsi="Times New Roman" w:cs="Times New Roman"/>
          <w:sz w:val="24"/>
          <w:szCs w:val="24"/>
          <w:vertAlign w:val="subscript"/>
        </w:rPr>
        <w:t>600</w:t>
      </w:r>
      <w:r>
        <w:rPr>
          <w:rFonts w:ascii="Times New Roman" w:hAnsi="Times New Roman" w:cs="Times New Roman"/>
          <w:sz w:val="24"/>
          <w:szCs w:val="24"/>
        </w:rPr>
        <w:t xml:space="preserve"> ~0.5) was equalised and 10 µl serial dilutions spotted onto TSB agar in the presence and absence of 2.0 M NaCl supplement. Growth of cells (10</w:t>
      </w:r>
      <w:r>
        <w:rPr>
          <w:rFonts w:ascii="Times New Roman" w:hAnsi="Times New Roman" w:cs="Times New Roman"/>
          <w:sz w:val="24"/>
          <w:szCs w:val="24"/>
          <w:vertAlign w:val="superscript"/>
        </w:rPr>
        <w:t>8</w:t>
      </w:r>
      <w:r>
        <w:rPr>
          <w:rFonts w:ascii="Times New Roman" w:hAnsi="Times New Roman" w:cs="Times New Roman"/>
          <w:sz w:val="24"/>
          <w:szCs w:val="24"/>
        </w:rPr>
        <w:t>-fold dilution) on agar plates after 48 hours incubation is presented.</w:t>
      </w:r>
    </w:p>
    <w:p w:rsidR="007F78F1" w:rsidRDefault="007F78F1" w:rsidP="007F78F1">
      <w:pPr>
        <w:rPr>
          <w:rFonts w:ascii="Times New Roman" w:hAnsi="Times New Roman" w:cs="Times New Roman"/>
          <w:sz w:val="24"/>
          <w:szCs w:val="24"/>
        </w:rPr>
      </w:pPr>
      <w:r>
        <w:rPr>
          <w:rFonts w:ascii="Times New Roman" w:hAnsi="Times New Roman" w:cs="Times New Roman"/>
          <w:sz w:val="24"/>
          <w:szCs w:val="24"/>
        </w:rPr>
        <w:br w:type="page"/>
      </w:r>
    </w:p>
    <w:p w:rsidR="007F78F1" w:rsidRDefault="007F78F1" w:rsidP="007F78F1">
      <w:pPr>
        <w:spacing w:line="480" w:lineRule="auto"/>
        <w:jc w:val="both"/>
        <w:rPr>
          <w:rFonts w:ascii="Times New Roman" w:hAnsi="Times New Roman" w:cs="Times New Roman"/>
          <w:color w:val="000000" w:themeColor="text1"/>
          <w:sz w:val="24"/>
          <w:szCs w:val="24"/>
        </w:rPr>
      </w:pPr>
      <w:proofErr w:type="gramStart"/>
      <w:r>
        <w:rPr>
          <w:rFonts w:ascii="Times New Roman" w:hAnsi="Times New Roman" w:cs="Times New Roman"/>
          <w:i/>
          <w:color w:val="000000" w:themeColor="text1"/>
          <w:sz w:val="24"/>
          <w:szCs w:val="24"/>
        </w:rPr>
        <w:lastRenderedPageBreak/>
        <w:t>sagB</w:t>
      </w:r>
      <w:proofErr w:type="gramEnd"/>
      <w:r>
        <w:rPr>
          <w:rFonts w:ascii="Times New Roman" w:hAnsi="Times New Roman" w:cs="Times New Roman"/>
          <w:color w:val="000000" w:themeColor="text1"/>
          <w:sz w:val="24"/>
          <w:szCs w:val="24"/>
        </w:rPr>
        <w:t xml:space="preserve"> lacks 85 amino acids of the glucosaminidase domain C-terminus and is therefore assumed to be non-functional (Appendix I). Bioinformatic analysis indicated that </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is not part of an operon as the genes immediately downstream of </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are in the opposite orientation, excluding the possibility of polar effects due to the P</w:t>
      </w:r>
      <w:r>
        <w:rPr>
          <w:rFonts w:ascii="Times New Roman" w:hAnsi="Times New Roman" w:cs="Times New Roman"/>
          <w:color w:val="000000" w:themeColor="text1"/>
          <w:sz w:val="24"/>
          <w:szCs w:val="24"/>
          <w:vertAlign w:val="subscript"/>
        </w:rPr>
        <w:t>spac</w:t>
      </w:r>
      <w:r>
        <w:rPr>
          <w:rFonts w:ascii="Times New Roman" w:hAnsi="Times New Roman" w:cs="Times New Roman"/>
          <w:color w:val="000000" w:themeColor="text1"/>
          <w:sz w:val="24"/>
          <w:szCs w:val="24"/>
        </w:rPr>
        <w:t>-</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construct (Figure 5.9). Primers RW01_F and RW01_R were used to amplify a 623 bp </w:t>
      </w:r>
      <w:r>
        <w:rPr>
          <w:rFonts w:ascii="Times New Roman" w:hAnsi="Times New Roman" w:cs="Times New Roman"/>
          <w:i/>
          <w:color w:val="000000" w:themeColor="text1"/>
          <w:sz w:val="24"/>
          <w:szCs w:val="24"/>
        </w:rPr>
        <w:t xml:space="preserve">sagB </w:t>
      </w:r>
      <w:r>
        <w:rPr>
          <w:rFonts w:ascii="Times New Roman" w:hAnsi="Times New Roman" w:cs="Times New Roman"/>
          <w:color w:val="000000" w:themeColor="text1"/>
          <w:sz w:val="24"/>
          <w:szCs w:val="24"/>
        </w:rPr>
        <w:t xml:space="preserve">fragment including the </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ribosome binding site, using SH1000 genomic DNA as a template (Figure 5.9). RW01_F and RW01_R introduced flanking </w:t>
      </w:r>
      <w:r>
        <w:rPr>
          <w:rFonts w:ascii="Times New Roman" w:hAnsi="Times New Roman" w:cs="Times New Roman"/>
          <w:i/>
          <w:color w:val="000000" w:themeColor="text1"/>
          <w:sz w:val="24"/>
          <w:szCs w:val="24"/>
        </w:rPr>
        <w:t>Eco</w:t>
      </w:r>
      <w:r>
        <w:rPr>
          <w:rFonts w:ascii="Times New Roman" w:hAnsi="Times New Roman" w:cs="Times New Roman"/>
          <w:color w:val="000000" w:themeColor="text1"/>
          <w:sz w:val="24"/>
          <w:szCs w:val="24"/>
        </w:rPr>
        <w:t xml:space="preserve">RI and </w:t>
      </w:r>
      <w:r>
        <w:rPr>
          <w:rFonts w:ascii="Times New Roman" w:hAnsi="Times New Roman" w:cs="Times New Roman"/>
          <w:i/>
          <w:color w:val="000000" w:themeColor="text1"/>
          <w:sz w:val="24"/>
          <w:szCs w:val="24"/>
        </w:rPr>
        <w:t>Bam</w:t>
      </w:r>
      <w:r>
        <w:rPr>
          <w:rFonts w:ascii="Times New Roman" w:hAnsi="Times New Roman" w:cs="Times New Roman"/>
          <w:color w:val="000000" w:themeColor="text1"/>
          <w:sz w:val="24"/>
          <w:szCs w:val="24"/>
        </w:rPr>
        <w:t xml:space="preserve">HI restriction sequences respectively. The PCR product and </w:t>
      </w:r>
      <w:r>
        <w:rPr>
          <w:rFonts w:ascii="Times New Roman" w:hAnsi="Times New Roman" w:cs="Times New Roman"/>
          <w:i/>
          <w:color w:val="000000" w:themeColor="text1"/>
          <w:sz w:val="24"/>
          <w:szCs w:val="24"/>
        </w:rPr>
        <w:t xml:space="preserve">S. aureus </w:t>
      </w:r>
      <w:r>
        <w:rPr>
          <w:rFonts w:ascii="Times New Roman" w:hAnsi="Times New Roman" w:cs="Times New Roman"/>
          <w:color w:val="000000" w:themeColor="text1"/>
          <w:sz w:val="24"/>
          <w:szCs w:val="24"/>
        </w:rPr>
        <w:t xml:space="preserve">suicide vector pMUTIN4 were restriction digested with </w:t>
      </w:r>
      <w:r>
        <w:rPr>
          <w:rFonts w:ascii="Times New Roman" w:hAnsi="Times New Roman" w:cs="Times New Roman"/>
          <w:i/>
          <w:color w:val="000000" w:themeColor="text1"/>
          <w:sz w:val="24"/>
          <w:szCs w:val="24"/>
        </w:rPr>
        <w:t>Eco</w:t>
      </w:r>
      <w:r>
        <w:rPr>
          <w:rFonts w:ascii="Times New Roman" w:hAnsi="Times New Roman" w:cs="Times New Roman"/>
          <w:color w:val="000000" w:themeColor="text1"/>
          <w:sz w:val="24"/>
          <w:szCs w:val="24"/>
        </w:rPr>
        <w:t xml:space="preserve">RI and </w:t>
      </w:r>
      <w:r>
        <w:rPr>
          <w:rFonts w:ascii="Times New Roman" w:hAnsi="Times New Roman" w:cs="Times New Roman"/>
          <w:i/>
          <w:color w:val="000000" w:themeColor="text1"/>
          <w:sz w:val="24"/>
          <w:szCs w:val="24"/>
        </w:rPr>
        <w:t>Bam</w:t>
      </w:r>
      <w:r>
        <w:rPr>
          <w:rFonts w:ascii="Times New Roman" w:hAnsi="Times New Roman" w:cs="Times New Roman"/>
          <w:color w:val="000000" w:themeColor="text1"/>
          <w:sz w:val="24"/>
          <w:szCs w:val="24"/>
        </w:rPr>
        <w:t xml:space="preserve">HI. The </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fragment was ligated into the pMUTIN4 multiple cloning site immediately downstream of the spac promoter, producing </w:t>
      </w:r>
      <w:r>
        <w:rPr>
          <w:rFonts w:ascii="Times New Roman" w:hAnsi="Times New Roman" w:cs="Times New Roman"/>
          <w:i/>
          <w:color w:val="000000" w:themeColor="text1"/>
          <w:sz w:val="24"/>
          <w:szCs w:val="24"/>
        </w:rPr>
        <w:t xml:space="preserve">S. aureus </w:t>
      </w:r>
      <w:r>
        <w:rPr>
          <w:rFonts w:ascii="Times New Roman" w:hAnsi="Times New Roman" w:cs="Times New Roman"/>
          <w:color w:val="000000" w:themeColor="text1"/>
          <w:sz w:val="24"/>
          <w:szCs w:val="24"/>
        </w:rPr>
        <w:t xml:space="preserve">suicide vector pRW01 (Figure 5.9). The plasmid was transformed by electroporation into </w:t>
      </w:r>
      <w:r>
        <w:rPr>
          <w:rFonts w:ascii="Times New Roman" w:hAnsi="Times New Roman" w:cs="Times New Roman"/>
          <w:i/>
          <w:color w:val="000000" w:themeColor="text1"/>
          <w:sz w:val="24"/>
          <w:szCs w:val="24"/>
        </w:rPr>
        <w:t xml:space="preserve">E. coli </w:t>
      </w:r>
      <w:r>
        <w:rPr>
          <w:rFonts w:ascii="Times New Roman" w:hAnsi="Times New Roman" w:cs="Times New Roman"/>
          <w:color w:val="000000" w:themeColor="text1"/>
          <w:sz w:val="24"/>
          <w:szCs w:val="24"/>
        </w:rPr>
        <w:t>TOP10. Transformants were selected on 100 µg ml</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ampicillin. Positive clones were confirmed by PCR and </w:t>
      </w:r>
      <w:proofErr w:type="gramStart"/>
      <w:r>
        <w:rPr>
          <w:rFonts w:ascii="Times New Roman" w:hAnsi="Times New Roman" w:cs="Times New Roman"/>
          <w:color w:val="000000" w:themeColor="text1"/>
          <w:sz w:val="24"/>
          <w:szCs w:val="24"/>
        </w:rPr>
        <w:t>restriction digest</w:t>
      </w:r>
      <w:proofErr w:type="gramEnd"/>
      <w:r>
        <w:rPr>
          <w:rFonts w:ascii="Times New Roman" w:hAnsi="Times New Roman" w:cs="Times New Roman"/>
          <w:color w:val="000000" w:themeColor="text1"/>
          <w:sz w:val="24"/>
          <w:szCs w:val="24"/>
        </w:rPr>
        <w:t xml:space="preserve">. Sequencing of the </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fragment of pRW01 by</w:t>
      </w:r>
      <w:r>
        <w:rPr>
          <w:rFonts w:ascii="Times New Roman" w:eastAsia="Calibri" w:hAnsi="Times New Roman" w:cs="Times New Roman"/>
          <w:color w:val="000000" w:themeColor="text1"/>
          <w:sz w:val="24"/>
          <w:szCs w:val="24"/>
        </w:rPr>
        <w:t xml:space="preserve"> the University of Sheffield Core Genomics Facility</w:t>
      </w:r>
      <w:r>
        <w:rPr>
          <w:rFonts w:ascii="Times New Roman" w:hAnsi="Times New Roman" w:cs="Times New Roman"/>
          <w:color w:val="000000" w:themeColor="text1"/>
          <w:sz w:val="24"/>
          <w:szCs w:val="24"/>
        </w:rPr>
        <w:t xml:space="preserve"> indicated the nucleotide sequence was free from </w:t>
      </w:r>
      <w:proofErr w:type="gramStart"/>
      <w:r>
        <w:rPr>
          <w:rFonts w:ascii="Times New Roman" w:hAnsi="Times New Roman" w:cs="Times New Roman"/>
          <w:color w:val="000000" w:themeColor="text1"/>
          <w:sz w:val="24"/>
          <w:szCs w:val="24"/>
        </w:rPr>
        <w:t>errors,</w:t>
      </w:r>
      <w:proofErr w:type="gramEnd"/>
      <w:r>
        <w:rPr>
          <w:rFonts w:ascii="Times New Roman" w:hAnsi="Times New Roman" w:cs="Times New Roman"/>
          <w:color w:val="000000" w:themeColor="text1"/>
          <w:sz w:val="24"/>
          <w:szCs w:val="24"/>
        </w:rPr>
        <w:t xml:space="preserve"> and that no substitutions or frameshift mutations had occurred during PCR amplification of the </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insert (data not shown). The pRW01 construct was transformed by electroporation into </w:t>
      </w:r>
      <w:r>
        <w:rPr>
          <w:rFonts w:ascii="Times New Roman" w:hAnsi="Times New Roman" w:cs="Times New Roman"/>
          <w:i/>
          <w:color w:val="000000" w:themeColor="text1"/>
          <w:sz w:val="24"/>
          <w:szCs w:val="24"/>
        </w:rPr>
        <w:t xml:space="preserve">S. aureus </w:t>
      </w:r>
      <w:r>
        <w:rPr>
          <w:rFonts w:ascii="Times New Roman" w:hAnsi="Times New Roman" w:cs="Times New Roman"/>
          <w:color w:val="000000" w:themeColor="text1"/>
          <w:sz w:val="24"/>
          <w:szCs w:val="24"/>
        </w:rPr>
        <w:t>RN4220, producing strain SJF4090 (RN4220 P</w:t>
      </w:r>
      <w:r>
        <w:rPr>
          <w:rFonts w:ascii="Times New Roman" w:hAnsi="Times New Roman" w:cs="Times New Roman"/>
          <w:color w:val="000000" w:themeColor="text1"/>
          <w:sz w:val="24"/>
          <w:szCs w:val="24"/>
          <w:vertAlign w:val="subscript"/>
        </w:rPr>
        <w:t>spac</w:t>
      </w:r>
      <w:r>
        <w:rPr>
          <w:rFonts w:ascii="Times New Roman" w:hAnsi="Times New Roman" w:cs="Times New Roman"/>
          <w:color w:val="000000" w:themeColor="text1"/>
          <w:sz w:val="24"/>
          <w:szCs w:val="24"/>
        </w:rPr>
        <w:t>-</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Chromosomal integration of the pRW01 construct by homologous recombination with </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is shown in Figure 5.9. Integration of the pRW01 vector into the RN4220 chromosome by a single crossover at </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putting the full copy of </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under control of the P</w:t>
      </w:r>
      <w:r>
        <w:rPr>
          <w:rFonts w:ascii="Times New Roman" w:hAnsi="Times New Roman" w:cs="Times New Roman"/>
          <w:color w:val="000000" w:themeColor="text1"/>
          <w:sz w:val="24"/>
          <w:szCs w:val="24"/>
          <w:vertAlign w:val="subscript"/>
        </w:rPr>
        <w:t>spac</w:t>
      </w:r>
      <w:r>
        <w:rPr>
          <w:rFonts w:ascii="Times New Roman" w:hAnsi="Times New Roman" w:cs="Times New Roman"/>
          <w:color w:val="000000" w:themeColor="text1"/>
          <w:sz w:val="24"/>
          <w:szCs w:val="24"/>
        </w:rPr>
        <w:t xml:space="preserve"> promoter, was confirmed by PCR, using primers MM73, which anneals on the vector sequence upstream of P</w:t>
      </w:r>
      <w:r>
        <w:rPr>
          <w:rFonts w:ascii="Times New Roman" w:hAnsi="Times New Roman" w:cs="Times New Roman"/>
          <w:color w:val="000000" w:themeColor="text1"/>
          <w:sz w:val="24"/>
          <w:szCs w:val="24"/>
          <w:vertAlign w:val="subscript"/>
        </w:rPr>
        <w:t>spac</w:t>
      </w:r>
      <w:r>
        <w:rPr>
          <w:rFonts w:ascii="Times New Roman" w:hAnsi="Times New Roman" w:cs="Times New Roman"/>
          <w:color w:val="000000" w:themeColor="text1"/>
          <w:sz w:val="24"/>
          <w:szCs w:val="24"/>
        </w:rPr>
        <w:t xml:space="preserve">, and SA1825_R, which anneals on the RN4220 chromosomal region downstream of native </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w:t>
      </w:r>
    </w:p>
    <w:p w:rsidR="007F78F1" w:rsidRDefault="007F78F1" w:rsidP="007F78F1">
      <w:pPr>
        <w:spacing w:line="480" w:lineRule="auto"/>
        <w:jc w:val="both"/>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5403215" cy="4476750"/>
            <wp:effectExtent l="19050" t="0" r="6985" b="0"/>
            <wp:docPr id="94" name="Picture 70" descr="Fixed Figure 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Fixed Figure 5.8.png"/>
                    <pic:cNvPicPr>
                      <a:picLocks noChangeAspect="1" noChangeArrowheads="1"/>
                    </pic:cNvPicPr>
                  </pic:nvPicPr>
                  <pic:blipFill>
                    <a:blip r:embed="rId96" cstate="print"/>
                    <a:srcRect/>
                    <a:stretch>
                      <a:fillRect/>
                    </a:stretch>
                  </pic:blipFill>
                  <pic:spPr bwMode="auto">
                    <a:xfrm>
                      <a:off x="0" y="0"/>
                      <a:ext cx="5403215" cy="4476750"/>
                    </a:xfrm>
                    <a:prstGeom prst="rect">
                      <a:avLst/>
                    </a:prstGeom>
                    <a:noFill/>
                    <a:ln w="9525">
                      <a:noFill/>
                      <a:miter lim="800000"/>
                      <a:headEnd/>
                      <a:tailEnd/>
                    </a:ln>
                  </pic:spPr>
                </pic:pic>
              </a:graphicData>
            </a:graphic>
          </wp:inline>
        </w:drawing>
      </w:r>
    </w:p>
    <w:p w:rsidR="007F78F1" w:rsidRDefault="007F78F1" w:rsidP="007F78F1">
      <w:pPr>
        <w:autoSpaceDE w:val="0"/>
        <w:autoSpaceDN w:val="0"/>
        <w:adjustRightInd w:val="0"/>
        <w:spacing w:after="120" w:line="360" w:lineRule="auto"/>
        <w:jc w:val="both"/>
        <w:rPr>
          <w:rFonts w:ascii="Times New Roman" w:hAnsi="Times New Roman" w:cs="Times New Roman"/>
          <w:sz w:val="24"/>
          <w:szCs w:val="24"/>
        </w:rPr>
      </w:pPr>
      <w:proofErr w:type="gramStart"/>
      <w:r>
        <w:rPr>
          <w:rFonts w:ascii="Times New Roman" w:hAnsi="Times New Roman" w:cs="Times New Roman"/>
          <w:b/>
          <w:sz w:val="24"/>
          <w:szCs w:val="24"/>
        </w:rPr>
        <w:t>Figure 5.8.</w:t>
      </w:r>
      <w:proofErr w:type="gramEnd"/>
      <w:r>
        <w:rPr>
          <w:rFonts w:ascii="Times New Roman" w:hAnsi="Times New Roman" w:cs="Times New Roman"/>
          <w:sz w:val="24"/>
          <w:szCs w:val="24"/>
        </w:rPr>
        <w:t xml:space="preserve"> </w:t>
      </w:r>
      <w:r>
        <w:rPr>
          <w:rFonts w:ascii="Times New Roman" w:hAnsi="Times New Roman" w:cs="Times New Roman"/>
          <w:b/>
          <w:sz w:val="24"/>
          <w:szCs w:val="24"/>
        </w:rPr>
        <w:t xml:space="preserve">Glycan strand length distribution in </w:t>
      </w:r>
      <w:r>
        <w:rPr>
          <w:rFonts w:ascii="Times New Roman" w:hAnsi="Times New Roman" w:cs="Times New Roman"/>
          <w:b/>
          <w:i/>
          <w:sz w:val="24"/>
          <w:szCs w:val="24"/>
        </w:rPr>
        <w:t xml:space="preserve">S. aureus </w:t>
      </w:r>
      <w:r>
        <w:rPr>
          <w:rFonts w:ascii="Times New Roman" w:hAnsi="Times New Roman" w:cs="Times New Roman"/>
          <w:b/>
          <w:sz w:val="24"/>
          <w:szCs w:val="24"/>
        </w:rPr>
        <w:t>triple mutants.</w:t>
      </w:r>
      <w:r>
        <w:rPr>
          <w:rFonts w:ascii="Times New Roman" w:hAnsi="Times New Roman" w:cs="Times New Roman"/>
          <w:sz w:val="24"/>
          <w:szCs w:val="24"/>
        </w:rPr>
        <w:t xml:space="preserve"> Radiolabelled peptidoglycan sacculi were digested with recombinant </w:t>
      </w:r>
      <w:r>
        <w:rPr>
          <w:rFonts w:ascii="Times New Roman" w:hAnsi="Times New Roman" w:cs="Times New Roman"/>
          <w:i/>
          <w:sz w:val="24"/>
          <w:szCs w:val="24"/>
        </w:rPr>
        <w:t xml:space="preserve">S. aureus </w:t>
      </w:r>
      <w:r>
        <w:rPr>
          <w:rFonts w:ascii="Times New Roman" w:hAnsi="Times New Roman" w:cs="Times New Roman"/>
          <w:sz w:val="24"/>
          <w:szCs w:val="24"/>
        </w:rPr>
        <w:t>Atl amidase. Glycan strand distribution was determined by gel filtration HPLC using a TSK</w:t>
      </w:r>
      <w:r>
        <w:rPr>
          <w:rFonts w:ascii="Times New Roman" w:hAnsi="Times New Roman" w:cs="Times New Roman"/>
          <w:sz w:val="24"/>
          <w:szCs w:val="24"/>
          <w:vertAlign w:val="subscript"/>
        </w:rPr>
        <w:t>SW</w:t>
      </w:r>
      <w:r>
        <w:rPr>
          <w:rFonts w:ascii="Times New Roman" w:hAnsi="Times New Roman" w:cs="Times New Roman"/>
          <w:sz w:val="24"/>
          <w:szCs w:val="24"/>
        </w:rPr>
        <w:t>2000 column with optimal theoretical resolution of dextran standards between 1 and 30 kDa. Samples containing 10 000–20 000 cpm were eluted at a flow rate of 1 ml min</w:t>
      </w:r>
      <w:r>
        <w:rPr>
          <w:rFonts w:ascii="Times New Roman" w:hAnsi="Times New Roman" w:cs="Times New Roman"/>
          <w:sz w:val="24"/>
          <w:szCs w:val="24"/>
          <w:vertAlign w:val="superscript"/>
        </w:rPr>
        <w:t>-1</w:t>
      </w:r>
      <w:r>
        <w:rPr>
          <w:rFonts w:ascii="Times New Roman" w:hAnsi="Times New Roman" w:cs="Times New Roman"/>
          <w:sz w:val="24"/>
          <w:szCs w:val="24"/>
        </w:rPr>
        <w:t xml:space="preserve">. Fractions were collected every 15 s and analysed by scintillation counting. To take into account the fact that longer strands will incorporate more radioactive </w:t>
      </w:r>
      <w:r>
        <w:rPr>
          <w:rFonts w:ascii="Times New Roman" w:hAnsi="Times New Roman" w:cs="Times New Roman"/>
          <w:i/>
          <w:iCs/>
          <w:sz w:val="24"/>
          <w:szCs w:val="24"/>
        </w:rPr>
        <w:t>N</w:t>
      </w:r>
      <w:r>
        <w:rPr>
          <w:rFonts w:ascii="Times New Roman" w:hAnsi="Times New Roman" w:cs="Times New Roman"/>
          <w:sz w:val="24"/>
          <w:szCs w:val="24"/>
        </w:rPr>
        <w:t>-acetylglucosamine, the radioactivity counts (cpm) were divided by the corresponding theoretical molecular weight (MW). Glycan chain abundance was plotted as a percentage relative to maximal (cpm/MW) ratio. Chain length analysis was performed in collaboration with Stéphane Mesnage.</w:t>
      </w:r>
    </w:p>
    <w:p w:rsidR="007F78F1" w:rsidRDefault="007F78F1" w:rsidP="007F78F1">
      <w:pPr>
        <w:rPr>
          <w:rFonts w:ascii="Times New Roman" w:hAnsi="Times New Roman" w:cs="Times New Roman"/>
          <w:sz w:val="24"/>
          <w:szCs w:val="24"/>
        </w:rPr>
      </w:pPr>
      <w:r>
        <w:rPr>
          <w:rFonts w:ascii="Times New Roman" w:hAnsi="Times New Roman" w:cs="Times New Roman"/>
          <w:sz w:val="24"/>
          <w:szCs w:val="24"/>
        </w:rPr>
        <w:br w:type="page"/>
      </w:r>
    </w:p>
    <w:p w:rsidR="007F78F1" w:rsidRDefault="007F78F1" w:rsidP="007F78F1">
      <w:pPr>
        <w:spacing w:after="120" w:line="360" w:lineRule="auto"/>
        <w:jc w:val="both"/>
        <w:rPr>
          <w:rStyle w:val="justifytxt"/>
        </w:rPr>
      </w:pPr>
      <w:proofErr w:type="gramStart"/>
      <w:r>
        <w:rPr>
          <w:rStyle w:val="justifytxt"/>
          <w:rFonts w:ascii="Times New Roman" w:hAnsi="Times New Roman" w:cs="Times New Roman"/>
          <w:b/>
          <w:sz w:val="24"/>
          <w:szCs w:val="24"/>
        </w:rPr>
        <w:lastRenderedPageBreak/>
        <w:t>Table 5.2.</w:t>
      </w:r>
      <w:proofErr w:type="gramEnd"/>
      <w:r>
        <w:rPr>
          <w:rStyle w:val="justifytxt"/>
          <w:rFonts w:ascii="Times New Roman" w:hAnsi="Times New Roman" w:cs="Times New Roman"/>
          <w:b/>
          <w:sz w:val="24"/>
          <w:szCs w:val="24"/>
        </w:rPr>
        <w:t xml:space="preserve"> </w:t>
      </w:r>
      <w:proofErr w:type="gramStart"/>
      <w:r>
        <w:rPr>
          <w:rStyle w:val="justifytxt"/>
          <w:rFonts w:ascii="Times New Roman" w:hAnsi="Times New Roman" w:cs="Times New Roman"/>
          <w:b/>
          <w:sz w:val="24"/>
          <w:szCs w:val="24"/>
        </w:rPr>
        <w:t xml:space="preserve">Distribution of glycan chain length </w:t>
      </w:r>
      <w:r>
        <w:rPr>
          <w:rStyle w:val="justifytxt"/>
          <w:rFonts w:ascii="Times New Roman" w:hAnsi="Times New Roman" w:cs="Times New Roman"/>
          <w:b/>
          <w:i/>
          <w:sz w:val="24"/>
          <w:szCs w:val="24"/>
        </w:rPr>
        <w:t xml:space="preserve">S. aureus </w:t>
      </w:r>
      <w:r>
        <w:rPr>
          <w:rStyle w:val="justifytxt"/>
          <w:rFonts w:ascii="Times New Roman" w:hAnsi="Times New Roman" w:cs="Times New Roman"/>
          <w:b/>
          <w:sz w:val="24"/>
          <w:szCs w:val="24"/>
        </w:rPr>
        <w:t>glucosaminidase mutants.</w:t>
      </w:r>
      <w:proofErr w:type="gramEnd"/>
      <w:r>
        <w:rPr>
          <w:rStyle w:val="justifytxt"/>
          <w:rFonts w:ascii="Times New Roman" w:hAnsi="Times New Roman" w:cs="Times New Roman"/>
          <w:sz w:val="24"/>
          <w:szCs w:val="24"/>
        </w:rPr>
        <w:t xml:space="preserve"> The relative abundance of glycan chains below 10 kDa or above 10 and 25 kDa was determined as </w:t>
      </w:r>
      <w:r>
        <w:rPr>
          <w:rStyle w:val="justifytxt"/>
          <w:rFonts w:ascii="Times New Roman" w:hAnsi="Times New Roman" w:cs="Times New Roman"/>
          <w:color w:val="000000" w:themeColor="text1"/>
          <w:sz w:val="24"/>
          <w:szCs w:val="24"/>
        </w:rPr>
        <w:t>described in Chapter 2.16, using a TSK</w:t>
      </w:r>
      <w:r>
        <w:rPr>
          <w:rStyle w:val="justifytxt"/>
          <w:rFonts w:ascii="Times New Roman" w:hAnsi="Times New Roman" w:cs="Times New Roman"/>
          <w:color w:val="000000" w:themeColor="text1"/>
          <w:sz w:val="24"/>
          <w:szCs w:val="24"/>
          <w:vertAlign w:val="subscript"/>
        </w:rPr>
        <w:t>SW</w:t>
      </w:r>
      <w:r>
        <w:rPr>
          <w:rStyle w:val="justifytxt"/>
          <w:rFonts w:ascii="Times New Roman" w:hAnsi="Times New Roman" w:cs="Times New Roman"/>
          <w:color w:val="000000" w:themeColor="text1"/>
          <w:sz w:val="24"/>
          <w:szCs w:val="24"/>
        </w:rPr>
        <w:t>2000</w:t>
      </w:r>
      <w:r>
        <w:rPr>
          <w:rStyle w:val="justifytxt"/>
          <w:rFonts w:ascii="Times New Roman" w:hAnsi="Times New Roman" w:cs="Times New Roman"/>
          <w:sz w:val="24"/>
          <w:szCs w:val="24"/>
        </w:rPr>
        <w:t xml:space="preserve"> size-exclusion column.</w:t>
      </w:r>
    </w:p>
    <w:p w:rsidR="007F78F1" w:rsidRDefault="007F78F1" w:rsidP="007F78F1">
      <w:pPr>
        <w:spacing w:after="120" w:line="360" w:lineRule="auto"/>
        <w:jc w:val="both"/>
        <w:rPr>
          <w:rStyle w:val="justifytxt"/>
          <w:rFonts w:ascii="Times New Roman" w:hAnsi="Times New Roman" w:cs="Times New Roman"/>
          <w:sz w:val="24"/>
          <w:szCs w:val="24"/>
        </w:rPr>
      </w:pPr>
    </w:p>
    <w:tbl>
      <w:tblPr>
        <w:tblStyle w:val="TableGrid"/>
        <w:tblW w:w="0" w:type="auto"/>
        <w:tblLook w:val="04A0"/>
      </w:tblPr>
      <w:tblGrid>
        <w:gridCol w:w="3227"/>
        <w:gridCol w:w="1417"/>
        <w:gridCol w:w="2268"/>
        <w:gridCol w:w="1616"/>
      </w:tblGrid>
      <w:tr w:rsidR="007F78F1" w:rsidTr="007F78F1">
        <w:tc>
          <w:tcPr>
            <w:tcW w:w="3227" w:type="dxa"/>
            <w:tcBorders>
              <w:top w:val="single" w:sz="4" w:space="0" w:color="auto"/>
              <w:left w:val="nil"/>
              <w:bottom w:val="nil"/>
              <w:right w:val="dotted" w:sz="4" w:space="0" w:color="auto"/>
            </w:tcBorders>
          </w:tcPr>
          <w:p w:rsidR="007F78F1" w:rsidRDefault="007F78F1">
            <w:pPr>
              <w:spacing w:before="120" w:after="120"/>
              <w:rPr>
                <w:rStyle w:val="justifytxt"/>
              </w:rPr>
            </w:pPr>
          </w:p>
        </w:tc>
        <w:tc>
          <w:tcPr>
            <w:tcW w:w="5301" w:type="dxa"/>
            <w:gridSpan w:val="3"/>
            <w:tcBorders>
              <w:top w:val="single" w:sz="4" w:space="0" w:color="auto"/>
              <w:left w:val="dotted" w:sz="4" w:space="0" w:color="auto"/>
              <w:bottom w:val="nil"/>
              <w:right w:val="nil"/>
            </w:tcBorders>
            <w:hideMark/>
          </w:tcPr>
          <w:p w:rsidR="007F78F1" w:rsidRDefault="007F78F1">
            <w:pPr>
              <w:spacing w:before="120" w:after="120"/>
              <w:jc w:val="center"/>
              <w:rPr>
                <w:rStyle w:val="justifytxt"/>
              </w:rPr>
            </w:pPr>
            <w:r>
              <w:rPr>
                <w:rStyle w:val="justifytxt"/>
                <w:b/>
                <w:sz w:val="24"/>
                <w:szCs w:val="24"/>
              </w:rPr>
              <w:t>% Glycan chains</w:t>
            </w:r>
          </w:p>
        </w:tc>
      </w:tr>
      <w:tr w:rsidR="007F78F1" w:rsidTr="007F78F1">
        <w:tc>
          <w:tcPr>
            <w:tcW w:w="3227" w:type="dxa"/>
            <w:tcBorders>
              <w:top w:val="nil"/>
              <w:left w:val="nil"/>
              <w:bottom w:val="single" w:sz="4" w:space="0" w:color="auto"/>
              <w:right w:val="dotted" w:sz="4" w:space="0" w:color="auto"/>
            </w:tcBorders>
            <w:tcMar>
              <w:top w:w="0" w:type="dxa"/>
              <w:left w:w="0" w:type="dxa"/>
              <w:bottom w:w="0" w:type="dxa"/>
              <w:right w:w="0" w:type="dxa"/>
            </w:tcMar>
            <w:hideMark/>
          </w:tcPr>
          <w:p w:rsidR="007F78F1" w:rsidRDefault="007F78F1">
            <w:pPr>
              <w:spacing w:before="120" w:after="120"/>
              <w:jc w:val="center"/>
              <w:rPr>
                <w:rStyle w:val="justifytxt"/>
              </w:rPr>
            </w:pPr>
            <w:r>
              <w:rPr>
                <w:rStyle w:val="justifytxt"/>
                <w:b/>
                <w:i/>
                <w:sz w:val="24"/>
                <w:szCs w:val="24"/>
              </w:rPr>
              <w:t>S. aureus</w:t>
            </w:r>
            <w:r>
              <w:rPr>
                <w:rStyle w:val="justifytxt"/>
                <w:b/>
                <w:sz w:val="24"/>
                <w:szCs w:val="24"/>
              </w:rPr>
              <w:t xml:space="preserve"> strain</w:t>
            </w:r>
          </w:p>
        </w:tc>
        <w:tc>
          <w:tcPr>
            <w:tcW w:w="1417" w:type="dxa"/>
            <w:tcBorders>
              <w:top w:val="nil"/>
              <w:left w:val="dotted" w:sz="4" w:space="0" w:color="auto"/>
              <w:bottom w:val="single" w:sz="4" w:space="0" w:color="auto"/>
              <w:right w:val="nil"/>
            </w:tcBorders>
            <w:hideMark/>
          </w:tcPr>
          <w:p w:rsidR="007F78F1" w:rsidRDefault="007F78F1">
            <w:pPr>
              <w:spacing w:before="120" w:after="120"/>
              <w:jc w:val="center"/>
              <w:rPr>
                <w:rStyle w:val="justifytxt"/>
              </w:rPr>
            </w:pPr>
            <w:r>
              <w:rPr>
                <w:rStyle w:val="justifytxt"/>
                <w:sz w:val="24"/>
                <w:szCs w:val="24"/>
              </w:rPr>
              <w:t>&lt;10 kDa</w:t>
            </w:r>
          </w:p>
          <w:p w:rsidR="007F78F1" w:rsidRDefault="007F78F1">
            <w:pPr>
              <w:spacing w:before="120" w:after="120"/>
              <w:jc w:val="center"/>
              <w:rPr>
                <w:rStyle w:val="justifytxt"/>
                <w:sz w:val="24"/>
                <w:szCs w:val="24"/>
              </w:rPr>
            </w:pPr>
            <w:r>
              <w:rPr>
                <w:rStyle w:val="justifytxt"/>
                <w:sz w:val="24"/>
                <w:szCs w:val="24"/>
              </w:rPr>
              <w:t>(20 DS)</w:t>
            </w:r>
          </w:p>
        </w:tc>
        <w:tc>
          <w:tcPr>
            <w:tcW w:w="2268" w:type="dxa"/>
            <w:tcBorders>
              <w:top w:val="nil"/>
              <w:left w:val="nil"/>
              <w:bottom w:val="single" w:sz="4" w:space="0" w:color="auto"/>
              <w:right w:val="nil"/>
            </w:tcBorders>
            <w:hideMark/>
          </w:tcPr>
          <w:p w:rsidR="007F78F1" w:rsidRDefault="007F78F1">
            <w:pPr>
              <w:spacing w:before="120" w:after="120"/>
              <w:jc w:val="center"/>
              <w:rPr>
                <w:rStyle w:val="justifytxt"/>
              </w:rPr>
            </w:pPr>
            <w:r>
              <w:rPr>
                <w:rStyle w:val="justifytxt"/>
                <w:sz w:val="24"/>
                <w:szCs w:val="24"/>
              </w:rPr>
              <w:t>&gt;10 kDa</w:t>
            </w:r>
          </w:p>
          <w:p w:rsidR="007F78F1" w:rsidRDefault="007F78F1">
            <w:pPr>
              <w:spacing w:before="120" w:after="120"/>
              <w:jc w:val="center"/>
              <w:rPr>
                <w:rStyle w:val="justifytxt"/>
                <w:sz w:val="24"/>
                <w:szCs w:val="24"/>
              </w:rPr>
            </w:pPr>
            <w:r>
              <w:rPr>
                <w:rStyle w:val="justifytxt"/>
                <w:sz w:val="24"/>
                <w:szCs w:val="24"/>
              </w:rPr>
              <w:t>(20 DS)</w:t>
            </w:r>
          </w:p>
        </w:tc>
        <w:tc>
          <w:tcPr>
            <w:tcW w:w="1616" w:type="dxa"/>
            <w:tcBorders>
              <w:top w:val="nil"/>
              <w:left w:val="nil"/>
              <w:bottom w:val="single" w:sz="4" w:space="0" w:color="auto"/>
              <w:right w:val="nil"/>
            </w:tcBorders>
            <w:hideMark/>
          </w:tcPr>
          <w:p w:rsidR="007F78F1" w:rsidRDefault="007F78F1">
            <w:pPr>
              <w:spacing w:before="120" w:after="120"/>
              <w:jc w:val="center"/>
              <w:rPr>
                <w:rStyle w:val="justifytxt"/>
              </w:rPr>
            </w:pPr>
            <w:r>
              <w:rPr>
                <w:rStyle w:val="justifytxt"/>
                <w:sz w:val="24"/>
                <w:szCs w:val="24"/>
              </w:rPr>
              <w:t>&gt;25 kDa</w:t>
            </w:r>
          </w:p>
          <w:p w:rsidR="007F78F1" w:rsidRDefault="007F78F1">
            <w:pPr>
              <w:spacing w:before="120" w:after="120"/>
              <w:jc w:val="center"/>
              <w:rPr>
                <w:rStyle w:val="justifytxt"/>
                <w:sz w:val="24"/>
                <w:szCs w:val="24"/>
              </w:rPr>
            </w:pPr>
            <w:r>
              <w:rPr>
                <w:rStyle w:val="justifytxt"/>
                <w:sz w:val="24"/>
                <w:szCs w:val="24"/>
              </w:rPr>
              <w:t>(50 DS)</w:t>
            </w:r>
          </w:p>
        </w:tc>
      </w:tr>
      <w:tr w:rsidR="007F78F1" w:rsidTr="007F78F1">
        <w:tc>
          <w:tcPr>
            <w:tcW w:w="3227" w:type="dxa"/>
            <w:tcBorders>
              <w:top w:val="single" w:sz="4" w:space="0" w:color="auto"/>
              <w:left w:val="nil"/>
              <w:bottom w:val="nil"/>
              <w:right w:val="dotted" w:sz="4" w:space="0" w:color="auto"/>
            </w:tcBorders>
            <w:tcMar>
              <w:top w:w="0" w:type="dxa"/>
              <w:left w:w="0" w:type="dxa"/>
              <w:bottom w:w="0" w:type="dxa"/>
              <w:right w:w="0" w:type="dxa"/>
            </w:tcMar>
          </w:tcPr>
          <w:p w:rsidR="007F78F1" w:rsidRDefault="007F78F1">
            <w:pPr>
              <w:spacing w:before="60" w:after="60"/>
              <w:jc w:val="center"/>
              <w:rPr>
                <w:rStyle w:val="justifytxt"/>
              </w:rPr>
            </w:pPr>
            <w:r>
              <w:rPr>
                <w:rStyle w:val="justifytxt"/>
                <w:sz w:val="24"/>
                <w:szCs w:val="24"/>
              </w:rPr>
              <w:t>COL</w:t>
            </w:r>
          </w:p>
          <w:p w:rsidR="007F78F1" w:rsidRDefault="007F78F1">
            <w:pPr>
              <w:spacing w:before="60" w:after="60"/>
              <w:jc w:val="center"/>
              <w:rPr>
                <w:rStyle w:val="justifytxt"/>
              </w:rPr>
            </w:pPr>
          </w:p>
        </w:tc>
        <w:tc>
          <w:tcPr>
            <w:tcW w:w="1417" w:type="dxa"/>
            <w:tcBorders>
              <w:top w:val="single" w:sz="4" w:space="0" w:color="auto"/>
              <w:left w:val="dotted" w:sz="4" w:space="0" w:color="auto"/>
              <w:bottom w:val="nil"/>
              <w:right w:val="nil"/>
            </w:tcBorders>
            <w:hideMark/>
          </w:tcPr>
          <w:p w:rsidR="007F78F1" w:rsidRDefault="007F78F1">
            <w:pPr>
              <w:spacing w:before="60" w:after="60"/>
              <w:jc w:val="center"/>
              <w:rPr>
                <w:rStyle w:val="justifytxt"/>
              </w:rPr>
            </w:pPr>
            <w:r>
              <w:rPr>
                <w:rStyle w:val="justifytxt"/>
                <w:sz w:val="24"/>
                <w:szCs w:val="24"/>
              </w:rPr>
              <w:t>54.0</w:t>
            </w:r>
          </w:p>
        </w:tc>
        <w:tc>
          <w:tcPr>
            <w:tcW w:w="2268" w:type="dxa"/>
            <w:tcBorders>
              <w:top w:val="single" w:sz="4" w:space="0" w:color="auto"/>
              <w:left w:val="nil"/>
              <w:bottom w:val="nil"/>
              <w:right w:val="nil"/>
            </w:tcBorders>
            <w:hideMark/>
          </w:tcPr>
          <w:p w:rsidR="007F78F1" w:rsidRDefault="007F78F1">
            <w:pPr>
              <w:spacing w:before="60" w:after="60"/>
              <w:ind w:left="317" w:hanging="317"/>
              <w:jc w:val="center"/>
              <w:rPr>
                <w:rStyle w:val="justifytxt"/>
              </w:rPr>
            </w:pPr>
            <w:r>
              <w:rPr>
                <w:rStyle w:val="justifytxt"/>
                <w:sz w:val="24"/>
                <w:szCs w:val="24"/>
              </w:rPr>
              <w:t>46.0</w:t>
            </w:r>
          </w:p>
        </w:tc>
        <w:tc>
          <w:tcPr>
            <w:tcW w:w="1616" w:type="dxa"/>
            <w:tcBorders>
              <w:top w:val="single" w:sz="4" w:space="0" w:color="auto"/>
              <w:left w:val="nil"/>
              <w:bottom w:val="nil"/>
              <w:right w:val="nil"/>
            </w:tcBorders>
            <w:hideMark/>
          </w:tcPr>
          <w:p w:rsidR="007F78F1" w:rsidRDefault="007F78F1">
            <w:pPr>
              <w:spacing w:before="60" w:after="60"/>
              <w:ind w:left="317" w:hanging="317"/>
              <w:jc w:val="center"/>
              <w:rPr>
                <w:rStyle w:val="justifytxt"/>
              </w:rPr>
            </w:pPr>
            <w:r>
              <w:rPr>
                <w:rStyle w:val="justifytxt"/>
                <w:sz w:val="24"/>
                <w:szCs w:val="24"/>
              </w:rPr>
              <w:t>15.8</w:t>
            </w:r>
          </w:p>
        </w:tc>
      </w:tr>
      <w:tr w:rsidR="007F78F1" w:rsidTr="007F78F1">
        <w:tc>
          <w:tcPr>
            <w:tcW w:w="3227" w:type="dxa"/>
            <w:tcBorders>
              <w:top w:val="nil"/>
              <w:left w:val="nil"/>
              <w:bottom w:val="nil"/>
              <w:right w:val="dotted" w:sz="4" w:space="0" w:color="auto"/>
            </w:tcBorders>
            <w:tcMar>
              <w:top w:w="0" w:type="dxa"/>
              <w:left w:w="0" w:type="dxa"/>
              <w:bottom w:w="0" w:type="dxa"/>
              <w:right w:w="0" w:type="dxa"/>
            </w:tcMar>
          </w:tcPr>
          <w:p w:rsidR="007F78F1" w:rsidRDefault="007F78F1">
            <w:pPr>
              <w:spacing w:before="60" w:after="60"/>
              <w:jc w:val="center"/>
              <w:rPr>
                <w:rStyle w:val="justifytxt"/>
              </w:rPr>
            </w:pPr>
            <w:r>
              <w:rPr>
                <w:rStyle w:val="justifytxt"/>
                <w:sz w:val="24"/>
                <w:szCs w:val="24"/>
              </w:rPr>
              <w:t>SH1000</w:t>
            </w:r>
          </w:p>
          <w:p w:rsidR="007F78F1" w:rsidRDefault="007F78F1">
            <w:pPr>
              <w:spacing w:before="60" w:after="60"/>
              <w:jc w:val="center"/>
              <w:rPr>
                <w:rStyle w:val="justifytxt"/>
              </w:rPr>
            </w:pPr>
          </w:p>
        </w:tc>
        <w:tc>
          <w:tcPr>
            <w:tcW w:w="1417" w:type="dxa"/>
            <w:tcBorders>
              <w:top w:val="nil"/>
              <w:left w:val="dotted" w:sz="4" w:space="0" w:color="auto"/>
              <w:bottom w:val="nil"/>
              <w:right w:val="nil"/>
            </w:tcBorders>
            <w:hideMark/>
          </w:tcPr>
          <w:p w:rsidR="007F78F1" w:rsidRDefault="007F78F1">
            <w:pPr>
              <w:spacing w:before="60" w:after="60"/>
              <w:jc w:val="center"/>
              <w:rPr>
                <w:rStyle w:val="justifytxt"/>
              </w:rPr>
            </w:pPr>
            <w:r>
              <w:rPr>
                <w:rStyle w:val="justifytxt"/>
                <w:sz w:val="24"/>
                <w:szCs w:val="24"/>
              </w:rPr>
              <w:t>57.8</w:t>
            </w:r>
          </w:p>
        </w:tc>
        <w:tc>
          <w:tcPr>
            <w:tcW w:w="2268" w:type="dxa"/>
            <w:tcBorders>
              <w:top w:val="nil"/>
              <w:left w:val="nil"/>
              <w:bottom w:val="nil"/>
              <w:right w:val="nil"/>
            </w:tcBorders>
            <w:hideMark/>
          </w:tcPr>
          <w:p w:rsidR="007F78F1" w:rsidRDefault="007F78F1">
            <w:pPr>
              <w:spacing w:before="60" w:after="60"/>
              <w:ind w:left="317" w:hanging="317"/>
              <w:jc w:val="center"/>
              <w:rPr>
                <w:rStyle w:val="justifytxt"/>
              </w:rPr>
            </w:pPr>
            <w:r>
              <w:rPr>
                <w:rStyle w:val="justifytxt"/>
                <w:sz w:val="24"/>
                <w:szCs w:val="24"/>
              </w:rPr>
              <w:t>42.2</w:t>
            </w:r>
          </w:p>
        </w:tc>
        <w:tc>
          <w:tcPr>
            <w:tcW w:w="1616" w:type="dxa"/>
            <w:tcBorders>
              <w:top w:val="nil"/>
              <w:left w:val="nil"/>
              <w:bottom w:val="nil"/>
              <w:right w:val="nil"/>
            </w:tcBorders>
            <w:hideMark/>
          </w:tcPr>
          <w:p w:rsidR="007F78F1" w:rsidRDefault="007F78F1">
            <w:pPr>
              <w:spacing w:before="60" w:after="60"/>
              <w:ind w:left="317" w:hanging="317"/>
              <w:jc w:val="center"/>
              <w:rPr>
                <w:rStyle w:val="justifytxt"/>
              </w:rPr>
            </w:pPr>
            <w:r>
              <w:rPr>
                <w:rStyle w:val="justifytxt"/>
                <w:sz w:val="24"/>
                <w:szCs w:val="24"/>
              </w:rPr>
              <w:t>11.1</w:t>
            </w:r>
          </w:p>
        </w:tc>
      </w:tr>
      <w:tr w:rsidR="007F78F1" w:rsidTr="007F78F1">
        <w:tc>
          <w:tcPr>
            <w:tcW w:w="3227" w:type="dxa"/>
            <w:tcBorders>
              <w:top w:val="nil"/>
              <w:left w:val="nil"/>
              <w:bottom w:val="nil"/>
              <w:right w:val="dotted" w:sz="4" w:space="0" w:color="auto"/>
            </w:tcBorders>
            <w:tcMar>
              <w:top w:w="0" w:type="dxa"/>
              <w:left w:w="0" w:type="dxa"/>
              <w:bottom w:w="0" w:type="dxa"/>
              <w:right w:w="0" w:type="dxa"/>
            </w:tcMar>
            <w:hideMark/>
          </w:tcPr>
          <w:p w:rsidR="007F78F1" w:rsidRDefault="007F78F1">
            <w:pPr>
              <w:spacing w:before="60" w:after="60"/>
              <w:jc w:val="center"/>
              <w:rPr>
                <w:rStyle w:val="justifytxt"/>
              </w:rPr>
            </w:pPr>
            <w:r>
              <w:rPr>
                <w:rStyle w:val="justifytxt"/>
                <w:sz w:val="24"/>
                <w:szCs w:val="24"/>
              </w:rPr>
              <w:t>SJF2124</w:t>
            </w:r>
          </w:p>
          <w:p w:rsidR="007F78F1" w:rsidRDefault="007F78F1">
            <w:pPr>
              <w:spacing w:before="60" w:after="60"/>
              <w:jc w:val="center"/>
              <w:rPr>
                <w:rStyle w:val="justifytxt"/>
                <w:i/>
              </w:rPr>
            </w:pPr>
            <w:r>
              <w:rPr>
                <w:rStyle w:val="justifytxt"/>
                <w:i/>
                <w:sz w:val="20"/>
                <w:szCs w:val="20"/>
              </w:rPr>
              <w:t>atl::</w:t>
            </w:r>
            <w:r>
              <w:rPr>
                <w:i/>
                <w:sz w:val="20"/>
                <w:szCs w:val="20"/>
              </w:rPr>
              <w:t>pAZ106</w:t>
            </w:r>
            <w:r>
              <w:rPr>
                <w:rStyle w:val="justifytxt"/>
                <w:i/>
                <w:sz w:val="20"/>
                <w:szCs w:val="20"/>
              </w:rPr>
              <w:t xml:space="preserve"> scaH::tetM </w:t>
            </w:r>
            <w:r>
              <w:rPr>
                <w:rStyle w:val="justifytxt"/>
                <w:sz w:val="20"/>
                <w:szCs w:val="20"/>
              </w:rPr>
              <w:t>SA2297</w:t>
            </w:r>
            <w:r>
              <w:rPr>
                <w:rStyle w:val="justifytxt"/>
                <w:i/>
                <w:sz w:val="20"/>
                <w:szCs w:val="20"/>
              </w:rPr>
              <w:t>::tetL</w:t>
            </w:r>
          </w:p>
        </w:tc>
        <w:tc>
          <w:tcPr>
            <w:tcW w:w="1417" w:type="dxa"/>
            <w:tcBorders>
              <w:top w:val="nil"/>
              <w:left w:val="dotted" w:sz="4" w:space="0" w:color="auto"/>
              <w:bottom w:val="nil"/>
              <w:right w:val="nil"/>
            </w:tcBorders>
            <w:hideMark/>
          </w:tcPr>
          <w:p w:rsidR="007F78F1" w:rsidRDefault="007F78F1">
            <w:pPr>
              <w:spacing w:before="60" w:after="60"/>
              <w:jc w:val="center"/>
              <w:rPr>
                <w:rStyle w:val="justifytxt"/>
              </w:rPr>
            </w:pPr>
            <w:r>
              <w:rPr>
                <w:rStyle w:val="justifytxt"/>
                <w:sz w:val="24"/>
                <w:szCs w:val="24"/>
              </w:rPr>
              <w:t>60.5</w:t>
            </w:r>
          </w:p>
        </w:tc>
        <w:tc>
          <w:tcPr>
            <w:tcW w:w="2268" w:type="dxa"/>
            <w:tcBorders>
              <w:top w:val="nil"/>
              <w:left w:val="nil"/>
              <w:bottom w:val="nil"/>
              <w:right w:val="nil"/>
            </w:tcBorders>
            <w:hideMark/>
          </w:tcPr>
          <w:p w:rsidR="007F78F1" w:rsidRDefault="007F78F1">
            <w:pPr>
              <w:spacing w:before="60" w:after="60"/>
              <w:ind w:left="317" w:hanging="317"/>
              <w:jc w:val="center"/>
              <w:rPr>
                <w:rStyle w:val="justifytxt"/>
              </w:rPr>
            </w:pPr>
            <w:r>
              <w:rPr>
                <w:rStyle w:val="justifytxt"/>
                <w:sz w:val="24"/>
                <w:szCs w:val="24"/>
              </w:rPr>
              <w:t>39.5</w:t>
            </w:r>
          </w:p>
        </w:tc>
        <w:tc>
          <w:tcPr>
            <w:tcW w:w="1616" w:type="dxa"/>
            <w:tcBorders>
              <w:top w:val="nil"/>
              <w:left w:val="nil"/>
              <w:bottom w:val="nil"/>
              <w:right w:val="nil"/>
            </w:tcBorders>
            <w:hideMark/>
          </w:tcPr>
          <w:p w:rsidR="007F78F1" w:rsidRDefault="007F78F1">
            <w:pPr>
              <w:spacing w:before="60" w:after="60"/>
              <w:ind w:left="317" w:hanging="317"/>
              <w:jc w:val="center"/>
              <w:rPr>
                <w:rStyle w:val="justifytxt"/>
              </w:rPr>
            </w:pPr>
            <w:r>
              <w:rPr>
                <w:rStyle w:val="justifytxt"/>
                <w:sz w:val="24"/>
                <w:szCs w:val="24"/>
              </w:rPr>
              <w:t>9.3</w:t>
            </w:r>
          </w:p>
        </w:tc>
      </w:tr>
      <w:tr w:rsidR="007F78F1" w:rsidTr="007F78F1">
        <w:tc>
          <w:tcPr>
            <w:tcW w:w="3227" w:type="dxa"/>
            <w:tcBorders>
              <w:top w:val="nil"/>
              <w:left w:val="nil"/>
              <w:bottom w:val="nil"/>
              <w:right w:val="dotted" w:sz="4" w:space="0" w:color="auto"/>
            </w:tcBorders>
            <w:tcMar>
              <w:top w:w="0" w:type="dxa"/>
              <w:left w:w="0" w:type="dxa"/>
              <w:bottom w:w="0" w:type="dxa"/>
              <w:right w:w="0" w:type="dxa"/>
            </w:tcMar>
            <w:hideMark/>
          </w:tcPr>
          <w:p w:rsidR="007F78F1" w:rsidRDefault="007F78F1">
            <w:pPr>
              <w:spacing w:before="60" w:after="60"/>
              <w:jc w:val="center"/>
              <w:rPr>
                <w:rStyle w:val="justifytxt"/>
              </w:rPr>
            </w:pPr>
            <w:r>
              <w:rPr>
                <w:rStyle w:val="justifytxt"/>
                <w:sz w:val="24"/>
                <w:szCs w:val="24"/>
              </w:rPr>
              <w:t>SJF2125</w:t>
            </w:r>
          </w:p>
          <w:p w:rsidR="007F78F1" w:rsidRDefault="007F78F1">
            <w:pPr>
              <w:spacing w:before="60" w:after="60"/>
              <w:jc w:val="center"/>
              <w:rPr>
                <w:rStyle w:val="justifytxt"/>
                <w:i/>
              </w:rPr>
            </w:pPr>
            <w:r>
              <w:rPr>
                <w:rStyle w:val="justifytxt"/>
                <w:i/>
                <w:sz w:val="20"/>
                <w:szCs w:val="20"/>
              </w:rPr>
              <w:t>atl::</w:t>
            </w:r>
            <w:r>
              <w:rPr>
                <w:i/>
                <w:sz w:val="20"/>
                <w:szCs w:val="20"/>
              </w:rPr>
              <w:t>pAZ106</w:t>
            </w:r>
            <w:r>
              <w:rPr>
                <w:rStyle w:val="justifytxt"/>
                <w:i/>
                <w:sz w:val="20"/>
                <w:szCs w:val="20"/>
              </w:rPr>
              <w:t xml:space="preserve"> sagB::kan scaH::tetM</w:t>
            </w:r>
          </w:p>
        </w:tc>
        <w:tc>
          <w:tcPr>
            <w:tcW w:w="1417" w:type="dxa"/>
            <w:tcBorders>
              <w:top w:val="nil"/>
              <w:left w:val="dotted" w:sz="4" w:space="0" w:color="auto"/>
              <w:bottom w:val="nil"/>
              <w:right w:val="nil"/>
            </w:tcBorders>
            <w:hideMark/>
          </w:tcPr>
          <w:p w:rsidR="007F78F1" w:rsidRDefault="007F78F1">
            <w:pPr>
              <w:spacing w:before="60" w:after="60"/>
              <w:jc w:val="center"/>
              <w:rPr>
                <w:rStyle w:val="justifytxt"/>
              </w:rPr>
            </w:pPr>
            <w:r>
              <w:rPr>
                <w:rStyle w:val="justifytxt"/>
                <w:sz w:val="24"/>
                <w:szCs w:val="24"/>
              </w:rPr>
              <w:t>24.5</w:t>
            </w:r>
          </w:p>
        </w:tc>
        <w:tc>
          <w:tcPr>
            <w:tcW w:w="2268" w:type="dxa"/>
            <w:tcBorders>
              <w:top w:val="nil"/>
              <w:left w:val="nil"/>
              <w:bottom w:val="nil"/>
              <w:right w:val="nil"/>
            </w:tcBorders>
            <w:hideMark/>
          </w:tcPr>
          <w:p w:rsidR="007F78F1" w:rsidRDefault="007F78F1">
            <w:pPr>
              <w:spacing w:before="60" w:after="60"/>
              <w:jc w:val="center"/>
              <w:rPr>
                <w:rStyle w:val="justifytxt"/>
              </w:rPr>
            </w:pPr>
            <w:r>
              <w:rPr>
                <w:rStyle w:val="justifytxt"/>
                <w:sz w:val="24"/>
                <w:szCs w:val="24"/>
              </w:rPr>
              <w:t>75.5</w:t>
            </w:r>
          </w:p>
        </w:tc>
        <w:tc>
          <w:tcPr>
            <w:tcW w:w="1616" w:type="dxa"/>
            <w:tcBorders>
              <w:top w:val="nil"/>
              <w:left w:val="nil"/>
              <w:bottom w:val="nil"/>
              <w:right w:val="nil"/>
            </w:tcBorders>
            <w:hideMark/>
          </w:tcPr>
          <w:p w:rsidR="007F78F1" w:rsidRDefault="007F78F1">
            <w:pPr>
              <w:spacing w:before="60" w:after="60"/>
              <w:jc w:val="center"/>
              <w:rPr>
                <w:rStyle w:val="justifytxt"/>
              </w:rPr>
            </w:pPr>
            <w:r>
              <w:rPr>
                <w:rStyle w:val="justifytxt"/>
                <w:sz w:val="24"/>
                <w:szCs w:val="24"/>
              </w:rPr>
              <w:t>43.3</w:t>
            </w:r>
          </w:p>
        </w:tc>
      </w:tr>
      <w:tr w:rsidR="007F78F1" w:rsidTr="007F78F1">
        <w:tc>
          <w:tcPr>
            <w:tcW w:w="3227" w:type="dxa"/>
            <w:tcBorders>
              <w:top w:val="nil"/>
              <w:left w:val="nil"/>
              <w:bottom w:val="nil"/>
              <w:right w:val="dotted" w:sz="4" w:space="0" w:color="auto"/>
            </w:tcBorders>
            <w:tcMar>
              <w:top w:w="0" w:type="dxa"/>
              <w:left w:w="0" w:type="dxa"/>
              <w:bottom w:w="0" w:type="dxa"/>
              <w:right w:w="0" w:type="dxa"/>
            </w:tcMar>
            <w:hideMark/>
          </w:tcPr>
          <w:p w:rsidR="007F78F1" w:rsidRDefault="007F78F1">
            <w:pPr>
              <w:spacing w:before="60" w:after="60"/>
              <w:jc w:val="center"/>
              <w:rPr>
                <w:rStyle w:val="justifytxt"/>
              </w:rPr>
            </w:pPr>
            <w:r>
              <w:rPr>
                <w:rStyle w:val="justifytxt"/>
                <w:sz w:val="24"/>
                <w:szCs w:val="24"/>
              </w:rPr>
              <w:t>SJF2120</w:t>
            </w:r>
          </w:p>
          <w:p w:rsidR="007F78F1" w:rsidRDefault="007F78F1">
            <w:pPr>
              <w:spacing w:before="60" w:after="60"/>
              <w:jc w:val="center"/>
              <w:rPr>
                <w:rStyle w:val="justifytxt"/>
              </w:rPr>
            </w:pPr>
            <w:r>
              <w:rPr>
                <w:rStyle w:val="justifytxt"/>
                <w:i/>
                <w:sz w:val="20"/>
                <w:szCs w:val="20"/>
              </w:rPr>
              <w:t>atl::</w:t>
            </w:r>
            <w:r>
              <w:rPr>
                <w:i/>
                <w:sz w:val="20"/>
                <w:szCs w:val="20"/>
              </w:rPr>
              <w:t>pAZ106</w:t>
            </w:r>
            <w:r>
              <w:rPr>
                <w:rStyle w:val="justifytxt"/>
                <w:i/>
                <w:sz w:val="20"/>
                <w:szCs w:val="20"/>
              </w:rPr>
              <w:t xml:space="preserve"> sagB::kan </w:t>
            </w:r>
            <w:r>
              <w:rPr>
                <w:rStyle w:val="justifytxt"/>
                <w:sz w:val="20"/>
                <w:szCs w:val="20"/>
              </w:rPr>
              <w:t>SA2297</w:t>
            </w:r>
            <w:r>
              <w:rPr>
                <w:rStyle w:val="justifytxt"/>
                <w:i/>
                <w:sz w:val="20"/>
                <w:szCs w:val="20"/>
              </w:rPr>
              <w:t>::tetL</w:t>
            </w:r>
          </w:p>
        </w:tc>
        <w:tc>
          <w:tcPr>
            <w:tcW w:w="1417" w:type="dxa"/>
            <w:tcBorders>
              <w:top w:val="nil"/>
              <w:left w:val="dotted" w:sz="4" w:space="0" w:color="auto"/>
              <w:bottom w:val="nil"/>
              <w:right w:val="nil"/>
            </w:tcBorders>
            <w:hideMark/>
          </w:tcPr>
          <w:p w:rsidR="007F78F1" w:rsidRDefault="007F78F1">
            <w:pPr>
              <w:spacing w:before="60" w:after="60"/>
              <w:jc w:val="center"/>
              <w:rPr>
                <w:rStyle w:val="justifytxt"/>
              </w:rPr>
            </w:pPr>
            <w:r>
              <w:rPr>
                <w:rStyle w:val="justifytxt"/>
                <w:sz w:val="24"/>
                <w:szCs w:val="24"/>
              </w:rPr>
              <w:t>26.2</w:t>
            </w:r>
          </w:p>
        </w:tc>
        <w:tc>
          <w:tcPr>
            <w:tcW w:w="2268" w:type="dxa"/>
            <w:tcBorders>
              <w:top w:val="nil"/>
              <w:left w:val="nil"/>
              <w:bottom w:val="nil"/>
              <w:right w:val="nil"/>
            </w:tcBorders>
            <w:hideMark/>
          </w:tcPr>
          <w:p w:rsidR="007F78F1" w:rsidRDefault="007F78F1">
            <w:pPr>
              <w:spacing w:before="60" w:after="60"/>
              <w:ind w:left="317" w:hanging="317"/>
              <w:jc w:val="center"/>
              <w:rPr>
                <w:rStyle w:val="justifytxt"/>
              </w:rPr>
            </w:pPr>
            <w:r>
              <w:rPr>
                <w:rStyle w:val="justifytxt"/>
                <w:sz w:val="24"/>
                <w:szCs w:val="24"/>
              </w:rPr>
              <w:t>73.8</w:t>
            </w:r>
          </w:p>
        </w:tc>
        <w:tc>
          <w:tcPr>
            <w:tcW w:w="1616" w:type="dxa"/>
            <w:tcBorders>
              <w:top w:val="nil"/>
              <w:left w:val="nil"/>
              <w:bottom w:val="nil"/>
              <w:right w:val="nil"/>
            </w:tcBorders>
            <w:hideMark/>
          </w:tcPr>
          <w:p w:rsidR="007F78F1" w:rsidRDefault="007F78F1">
            <w:pPr>
              <w:spacing w:before="60" w:after="60"/>
              <w:ind w:left="317" w:hanging="317"/>
              <w:jc w:val="center"/>
              <w:rPr>
                <w:rStyle w:val="justifytxt"/>
              </w:rPr>
            </w:pPr>
            <w:r>
              <w:rPr>
                <w:rStyle w:val="justifytxt"/>
                <w:sz w:val="24"/>
                <w:szCs w:val="24"/>
              </w:rPr>
              <w:t>38.9</w:t>
            </w:r>
          </w:p>
        </w:tc>
      </w:tr>
      <w:tr w:rsidR="007F78F1" w:rsidTr="007F78F1">
        <w:tc>
          <w:tcPr>
            <w:tcW w:w="3227" w:type="dxa"/>
            <w:tcBorders>
              <w:top w:val="nil"/>
              <w:left w:val="nil"/>
              <w:bottom w:val="single" w:sz="4" w:space="0" w:color="auto"/>
              <w:right w:val="dotted" w:sz="4" w:space="0" w:color="auto"/>
            </w:tcBorders>
            <w:tcMar>
              <w:top w:w="0" w:type="dxa"/>
              <w:left w:w="0" w:type="dxa"/>
              <w:bottom w:w="0" w:type="dxa"/>
              <w:right w:w="0" w:type="dxa"/>
            </w:tcMar>
            <w:hideMark/>
          </w:tcPr>
          <w:p w:rsidR="007F78F1" w:rsidRDefault="007F78F1">
            <w:pPr>
              <w:spacing w:before="60" w:after="60"/>
              <w:jc w:val="center"/>
              <w:rPr>
                <w:rStyle w:val="justifytxt"/>
                <w:lang w:val="de-DE"/>
              </w:rPr>
            </w:pPr>
            <w:r>
              <w:rPr>
                <w:rStyle w:val="justifytxt"/>
                <w:sz w:val="24"/>
                <w:szCs w:val="24"/>
                <w:lang w:val="de-DE"/>
              </w:rPr>
              <w:t>SJF2126</w:t>
            </w:r>
          </w:p>
          <w:p w:rsidR="007F78F1" w:rsidRDefault="007F78F1">
            <w:pPr>
              <w:spacing w:before="60" w:after="60"/>
              <w:jc w:val="center"/>
              <w:rPr>
                <w:rStyle w:val="justifytxt"/>
                <w:i/>
                <w:lang w:val="de-DE"/>
              </w:rPr>
            </w:pPr>
            <w:r>
              <w:rPr>
                <w:rStyle w:val="justifytxt"/>
                <w:i/>
                <w:sz w:val="20"/>
                <w:szCs w:val="20"/>
                <w:lang w:val="de-DE"/>
              </w:rPr>
              <w:t xml:space="preserve">sagB::kan scaH::tetM </w:t>
            </w:r>
            <w:r>
              <w:rPr>
                <w:rStyle w:val="justifytxt"/>
                <w:sz w:val="20"/>
                <w:szCs w:val="20"/>
                <w:lang w:val="de-DE"/>
              </w:rPr>
              <w:t>SA2297</w:t>
            </w:r>
            <w:r>
              <w:rPr>
                <w:rStyle w:val="justifytxt"/>
                <w:i/>
                <w:sz w:val="20"/>
                <w:szCs w:val="20"/>
                <w:lang w:val="de-DE"/>
              </w:rPr>
              <w:t>::tetL</w:t>
            </w:r>
          </w:p>
        </w:tc>
        <w:tc>
          <w:tcPr>
            <w:tcW w:w="1417" w:type="dxa"/>
            <w:tcBorders>
              <w:top w:val="nil"/>
              <w:left w:val="dotted" w:sz="4" w:space="0" w:color="auto"/>
              <w:bottom w:val="single" w:sz="4" w:space="0" w:color="auto"/>
              <w:right w:val="nil"/>
            </w:tcBorders>
            <w:hideMark/>
          </w:tcPr>
          <w:p w:rsidR="007F78F1" w:rsidRDefault="007F78F1">
            <w:pPr>
              <w:spacing w:before="60" w:after="60"/>
              <w:jc w:val="center"/>
              <w:rPr>
                <w:rStyle w:val="justifytxt"/>
              </w:rPr>
            </w:pPr>
            <w:r>
              <w:rPr>
                <w:rStyle w:val="justifytxt"/>
                <w:sz w:val="24"/>
                <w:szCs w:val="24"/>
              </w:rPr>
              <w:t>24.6</w:t>
            </w:r>
          </w:p>
        </w:tc>
        <w:tc>
          <w:tcPr>
            <w:tcW w:w="2268" w:type="dxa"/>
            <w:tcBorders>
              <w:top w:val="nil"/>
              <w:left w:val="nil"/>
              <w:bottom w:val="single" w:sz="4" w:space="0" w:color="auto"/>
              <w:right w:val="nil"/>
            </w:tcBorders>
            <w:hideMark/>
          </w:tcPr>
          <w:p w:rsidR="007F78F1" w:rsidRDefault="007F78F1">
            <w:pPr>
              <w:spacing w:before="60" w:after="60"/>
              <w:jc w:val="center"/>
              <w:rPr>
                <w:rStyle w:val="justifytxt"/>
              </w:rPr>
            </w:pPr>
            <w:r>
              <w:rPr>
                <w:rStyle w:val="justifytxt"/>
                <w:sz w:val="24"/>
                <w:szCs w:val="24"/>
              </w:rPr>
              <w:t>75.4</w:t>
            </w:r>
          </w:p>
        </w:tc>
        <w:tc>
          <w:tcPr>
            <w:tcW w:w="1616" w:type="dxa"/>
            <w:tcBorders>
              <w:top w:val="nil"/>
              <w:left w:val="nil"/>
              <w:bottom w:val="single" w:sz="4" w:space="0" w:color="auto"/>
              <w:right w:val="nil"/>
            </w:tcBorders>
            <w:hideMark/>
          </w:tcPr>
          <w:p w:rsidR="007F78F1" w:rsidRDefault="007F78F1">
            <w:pPr>
              <w:spacing w:before="60" w:after="60"/>
              <w:jc w:val="center"/>
              <w:rPr>
                <w:rStyle w:val="justifytxt"/>
              </w:rPr>
            </w:pPr>
            <w:r>
              <w:rPr>
                <w:rStyle w:val="justifytxt"/>
                <w:sz w:val="24"/>
                <w:szCs w:val="24"/>
              </w:rPr>
              <w:t>40.2</w:t>
            </w:r>
          </w:p>
        </w:tc>
      </w:tr>
    </w:tbl>
    <w:p w:rsidR="007F78F1" w:rsidRDefault="007F78F1" w:rsidP="007F78F1">
      <w:pPr>
        <w:rPr>
          <w:rFonts w:ascii="Times New Roman" w:hAnsi="Times New Roman" w:cs="Times New Roman"/>
          <w:sz w:val="28"/>
          <w:szCs w:val="28"/>
        </w:rPr>
      </w:pPr>
      <w:r>
        <w:rPr>
          <w:rFonts w:ascii="Times New Roman" w:hAnsi="Times New Roman" w:cs="Times New Roman"/>
          <w:sz w:val="28"/>
          <w:szCs w:val="28"/>
        </w:rPr>
        <w:br w:type="page"/>
      </w:r>
    </w:p>
    <w:p w:rsidR="007F78F1" w:rsidRDefault="007F78F1" w:rsidP="007F78F1">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The pMUTIN4 vector has an </w:t>
      </w:r>
      <w:r>
        <w:rPr>
          <w:rFonts w:ascii="Times New Roman" w:hAnsi="Times New Roman" w:cs="Times New Roman"/>
          <w:i/>
          <w:color w:val="000000" w:themeColor="text1"/>
          <w:sz w:val="24"/>
          <w:szCs w:val="24"/>
        </w:rPr>
        <w:t>ery</w:t>
      </w:r>
      <w:r>
        <w:rPr>
          <w:rFonts w:ascii="Times New Roman" w:hAnsi="Times New Roman" w:cs="Times New Roman"/>
          <w:i/>
          <w:color w:val="000000" w:themeColor="text1"/>
          <w:sz w:val="24"/>
          <w:szCs w:val="24"/>
          <w:vertAlign w:val="superscript"/>
        </w:rPr>
        <w:t>R</w:t>
      </w:r>
      <w:r>
        <w:rPr>
          <w:rFonts w:ascii="Times New Roman" w:hAnsi="Times New Roman" w:cs="Times New Roman"/>
          <w:color w:val="000000" w:themeColor="text1"/>
          <w:sz w:val="24"/>
          <w:szCs w:val="24"/>
        </w:rPr>
        <w:t xml:space="preserve"> marker for selection and maintenance in Gram-positive organisms, which would conflict with the </w:t>
      </w:r>
      <w:r>
        <w:rPr>
          <w:rFonts w:ascii="Times New Roman" w:hAnsi="Times New Roman" w:cs="Times New Roman"/>
          <w:i/>
          <w:color w:val="000000" w:themeColor="text1"/>
          <w:sz w:val="24"/>
          <w:szCs w:val="24"/>
        </w:rPr>
        <w:t>atl::pAZ106</w:t>
      </w:r>
      <w:r>
        <w:rPr>
          <w:rFonts w:ascii="Times New Roman" w:hAnsi="Times New Roman" w:cs="Times New Roman"/>
          <w:color w:val="000000" w:themeColor="text1"/>
          <w:sz w:val="24"/>
          <w:szCs w:val="24"/>
        </w:rPr>
        <w:t xml:space="preserve"> construct already generated. It was therefore necessary to generate a triple mutant with an alternative </w:t>
      </w:r>
      <w:r>
        <w:rPr>
          <w:rFonts w:ascii="Times New Roman" w:hAnsi="Times New Roman" w:cs="Times New Roman"/>
          <w:i/>
          <w:color w:val="000000" w:themeColor="text1"/>
          <w:sz w:val="24"/>
          <w:szCs w:val="24"/>
        </w:rPr>
        <w:t>atl</w:t>
      </w:r>
      <w:r>
        <w:rPr>
          <w:rFonts w:ascii="Times New Roman" w:hAnsi="Times New Roman" w:cs="Times New Roman"/>
          <w:color w:val="000000" w:themeColor="text1"/>
          <w:sz w:val="24"/>
          <w:szCs w:val="24"/>
        </w:rPr>
        <w:t xml:space="preserve"> knockout marker gene. A Φ11 lysate was prepared from SJF4091 (SA113 Δ</w:t>
      </w:r>
      <w:r>
        <w:rPr>
          <w:rFonts w:ascii="Times New Roman" w:hAnsi="Times New Roman" w:cs="Times New Roman"/>
          <w:i/>
          <w:color w:val="000000" w:themeColor="text1"/>
          <w:sz w:val="24"/>
          <w:szCs w:val="24"/>
        </w:rPr>
        <w:t>atl::spc</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{"citationID":"51evlqqj","properties":{"formattedCitation":"(Pasztor et al., 2010)","plainCitation":"(Pasztor et al., 2010)"},"citationItems":[{"id":158,"uris":["http://zotero.org/users/944474/items/3U25CE59"],"uri":["http://zotero.org/users/944474/items/3U25CE59"],"itemData":{"id":158,"type":"article-journal","title":"Staphylococcal major autolysin (Atl) is involved in excretion of cytoplasmic proteins","container-title":"The Journal of Biological Chemistry","page":"36794-36803","volume":"285","issue":"47","abstract":"Many microorganisms excrete typical cytoplasmic proteins into the culture supernatant. As none of the classical secretion systems appears to be involved, this type of secretion was referred to as \"nonclassical protein secretion.\" Here, we demonstrate that in Staphylococcus aureus the major autolysin plays a crucial role in release of cytoplasmic proteins. Comparative secretome analysis revealed that in the wild type S. aureus strain, 22 typical cytoplasmic proteins were excreted into the culture supernatant, although in the atl mutant they were significantly decreased. The presence or absence of prophages had little influence on the secretome pattern. In the atl mutant, secondary peptidoglycan hydrolases were increased in the secretome; the corresponding genes were transcriptionally up-regulated suggesting a compensatory mechanism for the atl mutation. Using glyceraldehyde-3-phosphate dehydrogenase (GAPDH) as a cytoplasmic indicator enzyme, we showed that all clinical isolates tested excreted this protein. In the wall teichoic acid-deficient tagO mutant with its increased autolysis activity, GAPDH was excreted in even higher amounts than in the WT, confirming the importance of autolysis in excretion of cytoplasmic proteins. To answer the question of how discriminatory the excretion of cytoplasmic proteins is, we performed a two-dimensional PAGE of cytoplasmic proteins isolated from WT. Surprisingly, the most abundant proteins in the cytoplasm were not found in the secretome of the WT, suggesting that there exists a selection mechanism in the excretion of cytoplasmic proteins. As the major autolysin binds at the septum site, we assume that the proteins are preferentially released at and during septum formation.","DOI":"10.1074/jbc.M110.167312","note":"PMID: 20847047","journalAbbreviation":"J. Biol. Chem.","author":[{"family":"Pasztor","given":"Linda"},{"family":"Ziebandt","given":"Anne-Kathrin"},{"family":"Nega","given":"Mulugeta"},{"family":"Schlag","given":"Martin"},{"family":"Haase","given":"Sabine"},{"family":"Franz-Wachtel","given":"Mirita"},{"family":"Madlung","given":"Johannes"},{"family":"Nordheim","given":"Alfred"},{"family":"Heinrichs","given":"David E"},{"family":"Götz","given":"Friedrich"}],"issued":{"year":2010,"month":11,"day":19},"accessed":{"year":2012,"month":4,"day":25},"page-first":"36794"}}],"schema":"https://github.com/citation-style-language/schema/raw/master/csl-citation.json"}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(Pasztor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2010)</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and used to transduce the Δ</w:t>
      </w:r>
      <w:r>
        <w:rPr>
          <w:rFonts w:ascii="Times New Roman" w:hAnsi="Times New Roman" w:cs="Times New Roman"/>
          <w:i/>
          <w:color w:val="000000" w:themeColor="text1"/>
          <w:sz w:val="24"/>
          <w:szCs w:val="24"/>
        </w:rPr>
        <w:t>atl::spc</w:t>
      </w:r>
      <w:r>
        <w:rPr>
          <w:rFonts w:ascii="Times New Roman" w:hAnsi="Times New Roman" w:cs="Times New Roman"/>
          <w:color w:val="000000" w:themeColor="text1"/>
          <w:sz w:val="24"/>
          <w:szCs w:val="24"/>
        </w:rPr>
        <w:t xml:space="preserve"> cassette into SJF2122 (SH1000 </w:t>
      </w:r>
      <w:r>
        <w:rPr>
          <w:rFonts w:ascii="Times New Roman" w:hAnsi="Times New Roman" w:cs="Times New Roman"/>
          <w:i/>
          <w:color w:val="000000" w:themeColor="text1"/>
          <w:sz w:val="24"/>
          <w:szCs w:val="24"/>
        </w:rPr>
        <w:t xml:space="preserve">scaH::tetM </w:t>
      </w:r>
      <w:r>
        <w:rPr>
          <w:rFonts w:ascii="Times New Roman" w:hAnsi="Times New Roman" w:cs="Times New Roman"/>
          <w:color w:val="000000" w:themeColor="text1"/>
          <w:sz w:val="24"/>
          <w:szCs w:val="24"/>
        </w:rPr>
        <w:t>SA2297</w:t>
      </w:r>
      <w:r>
        <w:rPr>
          <w:rFonts w:ascii="Times New Roman" w:hAnsi="Times New Roman" w:cs="Times New Roman"/>
          <w:i/>
          <w:color w:val="000000" w:themeColor="text1"/>
          <w:sz w:val="24"/>
          <w:szCs w:val="24"/>
        </w:rPr>
        <w:t>::tetL</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creating strain SJF4095 (SH1000 Δ</w:t>
      </w:r>
      <w:r>
        <w:rPr>
          <w:rFonts w:ascii="Times New Roman" w:hAnsi="Times New Roman" w:cs="Times New Roman"/>
          <w:i/>
          <w:color w:val="000000" w:themeColor="text1"/>
          <w:sz w:val="24"/>
          <w:szCs w:val="24"/>
        </w:rPr>
        <w:t>atl::spc</w:t>
      </w:r>
      <w:r>
        <w:rPr>
          <w:rFonts w:ascii="Times New Roman" w:hAnsi="Times New Roman" w:cs="Times New Roman"/>
          <w:color w:val="000000" w:themeColor="text1"/>
          <w:sz w:val="24"/>
          <w:szCs w:val="24"/>
        </w:rPr>
        <w:t xml:space="preserve"> </w:t>
      </w:r>
      <w:r>
        <w:rPr>
          <w:rFonts w:ascii="Times New Roman" w:hAnsi="Times New Roman" w:cs="Times New Roman"/>
          <w:i/>
          <w:color w:val="000000" w:themeColor="text1"/>
          <w:sz w:val="24"/>
          <w:szCs w:val="24"/>
        </w:rPr>
        <w:t xml:space="preserve">scaH::tetM </w:t>
      </w:r>
      <w:r>
        <w:rPr>
          <w:rFonts w:ascii="Times New Roman" w:hAnsi="Times New Roman" w:cs="Times New Roman"/>
          <w:color w:val="000000" w:themeColor="text1"/>
          <w:sz w:val="24"/>
          <w:szCs w:val="24"/>
        </w:rPr>
        <w:t>SA2297</w:t>
      </w:r>
      <w:r>
        <w:rPr>
          <w:rFonts w:ascii="Times New Roman" w:hAnsi="Times New Roman" w:cs="Times New Roman"/>
          <w:i/>
          <w:color w:val="000000" w:themeColor="text1"/>
          <w:sz w:val="24"/>
          <w:szCs w:val="24"/>
        </w:rPr>
        <w:t>::tetL</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 xml:space="preserve">. Inactivition of </w:t>
      </w:r>
      <w:r>
        <w:rPr>
          <w:rFonts w:ascii="Times New Roman" w:hAnsi="Times New Roman" w:cs="Times New Roman"/>
          <w:i/>
          <w:color w:val="000000" w:themeColor="text1"/>
          <w:sz w:val="24"/>
          <w:szCs w:val="24"/>
        </w:rPr>
        <w:t>atl</w:t>
      </w:r>
      <w:r>
        <w:rPr>
          <w:rFonts w:ascii="Times New Roman" w:hAnsi="Times New Roman" w:cs="Times New Roman"/>
          <w:color w:val="000000" w:themeColor="text1"/>
          <w:sz w:val="24"/>
          <w:szCs w:val="24"/>
        </w:rPr>
        <w:t xml:space="preserve"> was confirmed by PCR and by failure of colonies to produce a zone of clearing on TSB agar supplemented with </w:t>
      </w:r>
      <w:r>
        <w:rPr>
          <w:rFonts w:ascii="Times New Roman" w:hAnsi="Times New Roman" w:cs="Times New Roman"/>
          <w:i/>
          <w:color w:val="000000" w:themeColor="text1"/>
          <w:sz w:val="24"/>
          <w:szCs w:val="24"/>
        </w:rPr>
        <w:t>M. lysodeikticus</w:t>
      </w:r>
      <w:r>
        <w:rPr>
          <w:rFonts w:ascii="Times New Roman" w:hAnsi="Times New Roman" w:cs="Times New Roman"/>
          <w:color w:val="000000" w:themeColor="text1"/>
          <w:sz w:val="24"/>
          <w:szCs w:val="24"/>
        </w:rPr>
        <w:t xml:space="preserve"> cell walls (Chapter 2.1.11).</w:t>
      </w:r>
    </w:p>
    <w:p w:rsidR="007F78F1" w:rsidRDefault="007F78F1" w:rsidP="007F78F1">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 Φ11 lysate was prepared from SJF4090 (RN4220 P</w:t>
      </w:r>
      <w:r>
        <w:rPr>
          <w:rFonts w:ascii="Times New Roman" w:hAnsi="Times New Roman" w:cs="Times New Roman"/>
          <w:color w:val="000000" w:themeColor="text1"/>
          <w:sz w:val="24"/>
          <w:szCs w:val="24"/>
          <w:vertAlign w:val="subscript"/>
        </w:rPr>
        <w:t>spac</w:t>
      </w:r>
      <w:r>
        <w:rPr>
          <w:rFonts w:ascii="Times New Roman" w:hAnsi="Times New Roman" w:cs="Times New Roman"/>
          <w:color w:val="000000" w:themeColor="text1"/>
          <w:sz w:val="24"/>
          <w:szCs w:val="24"/>
        </w:rPr>
        <w:t>-</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for transduction of the chromosomally integrated pRW01 vector into the SH1000 background. The P</w:t>
      </w:r>
      <w:r>
        <w:rPr>
          <w:rFonts w:ascii="Times New Roman" w:hAnsi="Times New Roman" w:cs="Times New Roman"/>
          <w:color w:val="000000" w:themeColor="text1"/>
          <w:sz w:val="24"/>
          <w:szCs w:val="24"/>
          <w:vertAlign w:val="subscript"/>
        </w:rPr>
        <w:t>spac</w:t>
      </w:r>
      <w:r>
        <w:rPr>
          <w:rFonts w:ascii="Times New Roman" w:hAnsi="Times New Roman" w:cs="Times New Roman"/>
          <w:color w:val="000000" w:themeColor="text1"/>
          <w:sz w:val="24"/>
          <w:szCs w:val="24"/>
        </w:rPr>
        <w:t>-</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construct was transduced into SJF4095 (SH1000 Δ</w:t>
      </w:r>
      <w:r>
        <w:rPr>
          <w:rFonts w:ascii="Times New Roman" w:hAnsi="Times New Roman" w:cs="Times New Roman"/>
          <w:i/>
          <w:color w:val="000000" w:themeColor="text1"/>
          <w:sz w:val="24"/>
          <w:szCs w:val="24"/>
        </w:rPr>
        <w:t>atl::spc</w:t>
      </w:r>
      <w:r>
        <w:rPr>
          <w:rFonts w:ascii="Times New Roman" w:hAnsi="Times New Roman" w:cs="Times New Roman"/>
          <w:color w:val="000000" w:themeColor="text1"/>
          <w:sz w:val="24"/>
          <w:szCs w:val="24"/>
        </w:rPr>
        <w:t xml:space="preserve"> </w:t>
      </w:r>
      <w:r>
        <w:rPr>
          <w:rFonts w:ascii="Times New Roman" w:hAnsi="Times New Roman" w:cs="Times New Roman"/>
          <w:i/>
          <w:color w:val="000000" w:themeColor="text1"/>
          <w:sz w:val="24"/>
          <w:szCs w:val="24"/>
        </w:rPr>
        <w:t xml:space="preserve">scaH::tetM </w:t>
      </w:r>
      <w:r>
        <w:rPr>
          <w:rFonts w:ascii="Times New Roman" w:hAnsi="Times New Roman" w:cs="Times New Roman"/>
          <w:color w:val="000000" w:themeColor="text1"/>
          <w:sz w:val="24"/>
          <w:szCs w:val="24"/>
        </w:rPr>
        <w:t>SA2297</w:t>
      </w:r>
      <w:r>
        <w:rPr>
          <w:rFonts w:ascii="Times New Roman" w:hAnsi="Times New Roman" w:cs="Times New Roman"/>
          <w:i/>
          <w:color w:val="000000" w:themeColor="text1"/>
          <w:sz w:val="24"/>
          <w:szCs w:val="24"/>
        </w:rPr>
        <w:t>::tetL</w:t>
      </w:r>
      <w:proofErr w:type="gramStart"/>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2</w:t>
      </w:r>
      <w:proofErr w:type="gramEnd"/>
      <w:r>
        <w:rPr>
          <w:rFonts w:ascii="Times New Roman" w:hAnsi="Times New Roman" w:cs="Times New Roman"/>
          <w:color w:val="000000" w:themeColor="text1"/>
          <w:sz w:val="24"/>
          <w:szCs w:val="24"/>
        </w:rPr>
        <w:t>, in the presence of 1 mM IPTG. The resulting strain was SJF4151 (SH1000 P</w:t>
      </w:r>
      <w:r>
        <w:rPr>
          <w:rFonts w:ascii="Times New Roman" w:hAnsi="Times New Roman" w:cs="Times New Roman"/>
          <w:color w:val="000000" w:themeColor="text1"/>
          <w:sz w:val="24"/>
          <w:szCs w:val="24"/>
          <w:vertAlign w:val="subscript"/>
        </w:rPr>
        <w:t>spac</w:t>
      </w:r>
      <w:r>
        <w:rPr>
          <w:rFonts w:ascii="Times New Roman" w:hAnsi="Times New Roman" w:cs="Times New Roman"/>
          <w:color w:val="000000" w:themeColor="text1"/>
          <w:sz w:val="24"/>
          <w:szCs w:val="24"/>
        </w:rPr>
        <w:t>-</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Δ</w:t>
      </w:r>
      <w:r>
        <w:rPr>
          <w:rFonts w:ascii="Times New Roman" w:hAnsi="Times New Roman" w:cs="Times New Roman"/>
          <w:i/>
          <w:color w:val="000000" w:themeColor="text1"/>
          <w:sz w:val="24"/>
          <w:szCs w:val="24"/>
        </w:rPr>
        <w:t>atl::spc</w:t>
      </w:r>
      <w:r>
        <w:rPr>
          <w:rFonts w:ascii="Times New Roman" w:hAnsi="Times New Roman" w:cs="Times New Roman"/>
          <w:color w:val="000000" w:themeColor="text1"/>
          <w:sz w:val="24"/>
          <w:szCs w:val="24"/>
        </w:rPr>
        <w:t xml:space="preserve"> </w:t>
      </w:r>
      <w:r>
        <w:rPr>
          <w:rFonts w:ascii="Times New Roman" w:hAnsi="Times New Roman" w:cs="Times New Roman"/>
          <w:i/>
          <w:color w:val="000000" w:themeColor="text1"/>
          <w:sz w:val="24"/>
          <w:szCs w:val="24"/>
        </w:rPr>
        <w:t xml:space="preserve">scaH::tetM </w:t>
      </w:r>
      <w:r>
        <w:rPr>
          <w:rFonts w:ascii="Times New Roman" w:hAnsi="Times New Roman" w:cs="Times New Roman"/>
          <w:color w:val="000000" w:themeColor="text1"/>
          <w:sz w:val="24"/>
          <w:szCs w:val="24"/>
        </w:rPr>
        <w:t>SA2297</w:t>
      </w:r>
      <w:r>
        <w:rPr>
          <w:rFonts w:ascii="Times New Roman" w:hAnsi="Times New Roman" w:cs="Times New Roman"/>
          <w:i/>
          <w:color w:val="000000" w:themeColor="text1"/>
          <w:sz w:val="24"/>
          <w:szCs w:val="24"/>
        </w:rPr>
        <w:t>::tetL</w:t>
      </w:r>
      <w:proofErr w:type="gramStart"/>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3</w:t>
      </w:r>
      <w:proofErr w:type="gramEnd"/>
      <w:r>
        <w:rPr>
          <w:rFonts w:ascii="Times New Roman" w:hAnsi="Times New Roman" w:cs="Times New Roman"/>
          <w:color w:val="000000" w:themeColor="text1"/>
          <w:sz w:val="24"/>
          <w:szCs w:val="24"/>
        </w:rPr>
        <w:t>. Presence of the construct was confirmed by PCR. Correct integration of the construct was further confirmed by growth on X-gal plates without IPTG, as positive colonies appeared blue indicating constitutive expression of lacZ from the P</w:t>
      </w:r>
      <w:r>
        <w:rPr>
          <w:rFonts w:ascii="Times New Roman" w:hAnsi="Times New Roman" w:cs="Times New Roman"/>
          <w:i/>
          <w:color w:val="000000" w:themeColor="text1"/>
          <w:sz w:val="24"/>
          <w:szCs w:val="24"/>
          <w:vertAlign w:val="subscript"/>
        </w:rPr>
        <w:t>sagB</w:t>
      </w:r>
      <w:r>
        <w:rPr>
          <w:rFonts w:ascii="Times New Roman" w:hAnsi="Times New Roman" w:cs="Times New Roman"/>
          <w:color w:val="000000" w:themeColor="text1"/>
          <w:sz w:val="24"/>
          <w:szCs w:val="24"/>
        </w:rPr>
        <w:t xml:space="preserve"> promoter.</w:t>
      </w:r>
    </w:p>
    <w:p w:rsidR="007F78F1" w:rsidRDefault="007F78F1" w:rsidP="007F78F1">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Basal expression from the Spac promoter may occur even in the absence of IPTG induction. Leaky expression can be minimised by constitutive overexpression of the </w:t>
      </w:r>
      <w:r>
        <w:rPr>
          <w:rFonts w:ascii="Times New Roman" w:hAnsi="Times New Roman" w:cs="Times New Roman"/>
          <w:i/>
          <w:color w:val="000000" w:themeColor="text1"/>
          <w:sz w:val="24"/>
          <w:szCs w:val="24"/>
        </w:rPr>
        <w:t>lacI</w:t>
      </w:r>
      <w:r>
        <w:rPr>
          <w:rFonts w:ascii="Times New Roman" w:hAnsi="Times New Roman" w:cs="Times New Roman"/>
          <w:color w:val="000000" w:themeColor="text1"/>
          <w:sz w:val="24"/>
          <w:szCs w:val="24"/>
        </w:rPr>
        <w:t xml:space="preserve"> repressor from the multicopy plasmid, pGL485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{"citationID":"160vrcvigl","properties":{"formattedCitation":"(Cooper et al., 2009)","plainCitation":"(Cooper et al., 2009)"},"citationItems":[{"id":55,"uris":["http://zotero.org/users/944474/items/THNFR9XD"],"uri":["http://zotero.org/users/944474/items/THNFR9XD"],"itemData":{"id":55,"type":"article-journal","title":"YsxC, an essential protein in Staphylococcus aureus crucial for ribosome assembly/stability","container-title":"BMC Microbiology","page":"266","volume":"9","abstract":"Background\nBacterial growth and division requires a core set of essential proteins, several of which are still of unknown function. They are also attractive targets for the development of new antibiotics. YsxC is a member of a family of GTPases highly conserved across eubacteria with a possible ribosome associated function.\n\nResults\nHere, we demonstrate by the creation of a conditional lethal mutant that ysxC is apparently essential for growth in S. aureus. To begin to elucidate YsxC function, a translational fusion of YsxC to the CBP-ProteinA tag in the staphylococcal chromosome was made, enabling Tandem Affinity Purification (TAP) of YsxC-interacting partners. These included the ribosomal proteins S2, S10 and L17, as well as the β' subunit of the RNA polymerase. YsxC was then shown to copurify with ribosomes as an accessory protein specifically localizing to the 50 S subunit. YsxC depletion led to a decrease in the presence of mature ribosomes, indicating a role in ribosome assembly and/or stability in S. aureus.\n\nConclusions\nIn this study we demonstrate that YsxC of S. aureus localizes to the ribosomes, is crucial for ribosomal stability and is apparently essential for the life of S. aureus.","DOI":"10.1186/1471-2180-9-266","note":"PMID: 20021644\nPMCID: 2811118","journalAbbreviation":"BMC Microbiol","author":[{"family":"Cooper","given":"Elizabeth L"},{"family":"García-Lara","given":"Jorge"},{"family":"Foster","given":"Simon J"}],"issued":{"year":2009,"month":12,"day":18},"page-first":"266"}}],"schema":"https://github.com/citation-style-language/schema/raw/master/csl-citation.json"}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(Cooper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2009)</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A Φ11 lysate was prepared from VF17 (SH1000 pGL485) and the pGL485 vector transferred to SJF4151 (SH1000 P</w:t>
      </w:r>
      <w:r>
        <w:rPr>
          <w:rFonts w:ascii="Times New Roman" w:hAnsi="Times New Roman" w:cs="Times New Roman"/>
          <w:color w:val="000000" w:themeColor="text1"/>
          <w:sz w:val="24"/>
          <w:szCs w:val="24"/>
          <w:vertAlign w:val="subscript"/>
        </w:rPr>
        <w:t>spac</w:t>
      </w:r>
      <w:r>
        <w:rPr>
          <w:rFonts w:ascii="Times New Roman" w:hAnsi="Times New Roman" w:cs="Times New Roman"/>
          <w:color w:val="000000" w:themeColor="text1"/>
          <w:sz w:val="24"/>
          <w:szCs w:val="24"/>
        </w:rPr>
        <w:t>-</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Δ</w:t>
      </w:r>
      <w:r>
        <w:rPr>
          <w:rFonts w:ascii="Times New Roman" w:hAnsi="Times New Roman" w:cs="Times New Roman"/>
          <w:i/>
          <w:color w:val="000000" w:themeColor="text1"/>
          <w:sz w:val="24"/>
          <w:szCs w:val="24"/>
        </w:rPr>
        <w:t>atl::spc</w:t>
      </w:r>
      <w:r>
        <w:rPr>
          <w:rFonts w:ascii="Times New Roman" w:hAnsi="Times New Roman" w:cs="Times New Roman"/>
          <w:color w:val="000000" w:themeColor="text1"/>
          <w:sz w:val="24"/>
          <w:szCs w:val="24"/>
        </w:rPr>
        <w:t xml:space="preserve"> </w:t>
      </w:r>
      <w:r>
        <w:rPr>
          <w:rFonts w:ascii="Times New Roman" w:hAnsi="Times New Roman" w:cs="Times New Roman"/>
          <w:i/>
          <w:color w:val="000000" w:themeColor="text1"/>
          <w:sz w:val="24"/>
          <w:szCs w:val="24"/>
        </w:rPr>
        <w:t xml:space="preserve">scaH::tetM </w:t>
      </w:r>
      <w:r>
        <w:rPr>
          <w:rFonts w:ascii="Times New Roman" w:hAnsi="Times New Roman" w:cs="Times New Roman"/>
          <w:color w:val="000000" w:themeColor="text1"/>
          <w:sz w:val="24"/>
          <w:szCs w:val="24"/>
        </w:rPr>
        <w:t>SA2297</w:t>
      </w:r>
      <w:r>
        <w:rPr>
          <w:rFonts w:ascii="Times New Roman" w:hAnsi="Times New Roman" w:cs="Times New Roman"/>
          <w:i/>
          <w:color w:val="000000" w:themeColor="text1"/>
          <w:sz w:val="24"/>
          <w:szCs w:val="24"/>
        </w:rPr>
        <w:t>::tetL</w:t>
      </w:r>
      <w:proofErr w:type="gramStart"/>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3</w:t>
      </w:r>
      <w:proofErr w:type="gramEnd"/>
      <w:r>
        <w:rPr>
          <w:rFonts w:ascii="Times New Roman" w:hAnsi="Times New Roman" w:cs="Times New Roman"/>
          <w:color w:val="000000" w:themeColor="text1"/>
          <w:sz w:val="24"/>
          <w:szCs w:val="24"/>
        </w:rPr>
        <w:t xml:space="preserve"> and SJF4095 (SH1000 Δ</w:t>
      </w:r>
      <w:r>
        <w:rPr>
          <w:rFonts w:ascii="Times New Roman" w:hAnsi="Times New Roman" w:cs="Times New Roman"/>
          <w:i/>
          <w:color w:val="000000" w:themeColor="text1"/>
          <w:sz w:val="24"/>
          <w:szCs w:val="24"/>
        </w:rPr>
        <w:t>atl::spc</w:t>
      </w:r>
      <w:r>
        <w:rPr>
          <w:rFonts w:ascii="Times New Roman" w:hAnsi="Times New Roman" w:cs="Times New Roman"/>
          <w:color w:val="000000" w:themeColor="text1"/>
          <w:sz w:val="24"/>
          <w:szCs w:val="24"/>
        </w:rPr>
        <w:t xml:space="preserve"> </w:t>
      </w:r>
      <w:r>
        <w:rPr>
          <w:rFonts w:ascii="Times New Roman" w:hAnsi="Times New Roman" w:cs="Times New Roman"/>
          <w:i/>
          <w:color w:val="000000" w:themeColor="text1"/>
          <w:sz w:val="24"/>
          <w:szCs w:val="24"/>
        </w:rPr>
        <w:t xml:space="preserve">scaH::tetM </w:t>
      </w:r>
      <w:r>
        <w:rPr>
          <w:rFonts w:ascii="Times New Roman" w:hAnsi="Times New Roman" w:cs="Times New Roman"/>
          <w:color w:val="000000" w:themeColor="text1"/>
          <w:sz w:val="24"/>
          <w:szCs w:val="24"/>
        </w:rPr>
        <w:t>SA2297</w:t>
      </w:r>
      <w:r>
        <w:rPr>
          <w:rFonts w:ascii="Times New Roman" w:hAnsi="Times New Roman" w:cs="Times New Roman"/>
          <w:i/>
          <w:color w:val="000000" w:themeColor="text1"/>
          <w:sz w:val="24"/>
          <w:szCs w:val="24"/>
        </w:rPr>
        <w:t>::tetL</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 xml:space="preserve"> by transduction, producing strains SJF4094 (SH1000 P</w:t>
      </w:r>
      <w:r>
        <w:rPr>
          <w:rFonts w:ascii="Times New Roman" w:hAnsi="Times New Roman" w:cs="Times New Roman"/>
          <w:color w:val="000000" w:themeColor="text1"/>
          <w:sz w:val="24"/>
          <w:szCs w:val="24"/>
          <w:vertAlign w:val="subscript"/>
        </w:rPr>
        <w:t>spac</w:t>
      </w:r>
      <w:r>
        <w:rPr>
          <w:rFonts w:ascii="Times New Roman" w:hAnsi="Times New Roman" w:cs="Times New Roman"/>
          <w:color w:val="000000" w:themeColor="text1"/>
          <w:sz w:val="24"/>
          <w:szCs w:val="24"/>
        </w:rPr>
        <w:t>-</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Δ</w:t>
      </w:r>
      <w:r>
        <w:rPr>
          <w:rFonts w:ascii="Times New Roman" w:hAnsi="Times New Roman" w:cs="Times New Roman"/>
          <w:i/>
          <w:color w:val="000000" w:themeColor="text1"/>
          <w:sz w:val="24"/>
          <w:szCs w:val="24"/>
        </w:rPr>
        <w:t xml:space="preserve">atl::spc scaH::tetM </w:t>
      </w:r>
      <w:r>
        <w:rPr>
          <w:rFonts w:ascii="Times New Roman" w:hAnsi="Times New Roman" w:cs="Times New Roman"/>
          <w:color w:val="000000" w:themeColor="text1"/>
          <w:sz w:val="24"/>
          <w:szCs w:val="24"/>
        </w:rPr>
        <w:t>SA2297</w:t>
      </w:r>
      <w:r>
        <w:rPr>
          <w:rFonts w:ascii="Times New Roman" w:hAnsi="Times New Roman" w:cs="Times New Roman"/>
          <w:i/>
          <w:color w:val="000000" w:themeColor="text1"/>
          <w:sz w:val="24"/>
          <w:szCs w:val="24"/>
        </w:rPr>
        <w:t>::tetL</w:t>
      </w:r>
      <w:r>
        <w:rPr>
          <w:rFonts w:ascii="Times New Roman" w:hAnsi="Times New Roman" w:cs="Times New Roman"/>
          <w:color w:val="000000" w:themeColor="text1"/>
          <w:sz w:val="24"/>
          <w:szCs w:val="24"/>
        </w:rPr>
        <w:t xml:space="preserve"> pGL485)</w:t>
      </w:r>
      <w:r>
        <w:rPr>
          <w:rFonts w:ascii="Times New Roman" w:hAnsi="Times New Roman" w:cs="Times New Roman"/>
          <w:color w:val="000000" w:themeColor="text1"/>
          <w:sz w:val="24"/>
          <w:szCs w:val="24"/>
          <w:vertAlign w:val="superscript"/>
        </w:rPr>
        <w:t>3</w:t>
      </w:r>
      <w:r>
        <w:rPr>
          <w:rFonts w:ascii="Times New Roman" w:hAnsi="Times New Roman" w:cs="Times New Roman"/>
          <w:color w:val="000000" w:themeColor="text1"/>
          <w:sz w:val="24"/>
          <w:szCs w:val="24"/>
        </w:rPr>
        <w:t xml:space="preserve"> in which </w:t>
      </w:r>
      <w:r>
        <w:rPr>
          <w:rFonts w:ascii="Times New Roman" w:hAnsi="Times New Roman" w:cs="Times New Roman"/>
          <w:i/>
          <w:color w:val="000000" w:themeColor="text1"/>
          <w:sz w:val="24"/>
          <w:szCs w:val="24"/>
        </w:rPr>
        <w:t xml:space="preserve">sagB </w:t>
      </w:r>
      <w:r>
        <w:rPr>
          <w:rFonts w:ascii="Times New Roman" w:hAnsi="Times New Roman" w:cs="Times New Roman"/>
          <w:color w:val="000000" w:themeColor="text1"/>
          <w:sz w:val="24"/>
          <w:szCs w:val="24"/>
        </w:rPr>
        <w:t xml:space="preserve">expression is IPTG inducible, and isogenic triple mutant SJF4092 (SH1000  </w:t>
      </w:r>
    </w:p>
    <w:p w:rsidR="007F78F1" w:rsidRDefault="007F78F1" w:rsidP="007F78F1">
      <w:pPr>
        <w:spacing w:after="0" w:line="480" w:lineRule="auto"/>
        <w:rPr>
          <w:rFonts w:ascii="Times New Roman" w:hAnsi="Times New Roman" w:cs="Times New Roman"/>
          <w:color w:val="000000" w:themeColor="text1"/>
          <w:sz w:val="24"/>
          <w:szCs w:val="24"/>
        </w:rPr>
        <w:sectPr w:rsidR="007F78F1">
          <w:type w:val="continuous"/>
          <w:pgSz w:w="11906" w:h="16838"/>
          <w:pgMar w:top="1440" w:right="1134" w:bottom="1440" w:left="2268" w:header="709" w:footer="709" w:gutter="0"/>
          <w:cols w:space="720"/>
        </w:sectPr>
      </w:pPr>
    </w:p>
    <w:p w:rsidR="007F78F1" w:rsidRDefault="007F78F1" w:rsidP="007F78F1">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272405" cy="4773930"/>
            <wp:effectExtent l="19050" t="0" r="4445" b="0"/>
            <wp:docPr id="93" name="Picture 1" descr="Figure 5.10 redra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5.10 redraft.png"/>
                    <pic:cNvPicPr>
                      <a:picLocks noChangeAspect="1" noChangeArrowheads="1"/>
                    </pic:cNvPicPr>
                  </pic:nvPicPr>
                  <pic:blipFill>
                    <a:blip r:embed="rId97" cstate="print"/>
                    <a:srcRect/>
                    <a:stretch>
                      <a:fillRect/>
                    </a:stretch>
                  </pic:blipFill>
                  <pic:spPr bwMode="auto">
                    <a:xfrm>
                      <a:off x="0" y="0"/>
                      <a:ext cx="5272405" cy="4773930"/>
                    </a:xfrm>
                    <a:prstGeom prst="rect">
                      <a:avLst/>
                    </a:prstGeom>
                    <a:noFill/>
                    <a:ln w="9525">
                      <a:noFill/>
                      <a:miter lim="800000"/>
                      <a:headEnd/>
                      <a:tailEnd/>
                    </a:ln>
                  </pic:spPr>
                </pic:pic>
              </a:graphicData>
            </a:graphic>
          </wp:inline>
        </w:drawing>
      </w:r>
    </w:p>
    <w:p w:rsidR="007F78F1" w:rsidRDefault="007F78F1" w:rsidP="007F78F1">
      <w:pPr>
        <w:rPr>
          <w:rFonts w:ascii="Times New Roman" w:hAnsi="Times New Roman" w:cs="Times New Roman"/>
          <w:sz w:val="24"/>
          <w:szCs w:val="24"/>
        </w:rPr>
      </w:pPr>
    </w:p>
    <w:p w:rsidR="007F78F1" w:rsidRDefault="007F78F1" w:rsidP="007F78F1">
      <w:pPr>
        <w:spacing w:after="0" w:line="360" w:lineRule="auto"/>
        <w:jc w:val="both"/>
        <w:rPr>
          <w:rFonts w:ascii="Times New Roman" w:hAnsi="Times New Roman" w:cs="Times New Roman"/>
          <w:i/>
          <w:sz w:val="24"/>
          <w:szCs w:val="24"/>
        </w:rPr>
      </w:pPr>
      <w:proofErr w:type="gramStart"/>
      <w:r>
        <w:rPr>
          <w:rFonts w:ascii="Times New Roman" w:hAnsi="Times New Roman" w:cs="Times New Roman"/>
          <w:b/>
          <w:sz w:val="24"/>
          <w:szCs w:val="24"/>
        </w:rPr>
        <w:t>Figure 5.9.</w:t>
      </w:r>
      <w:proofErr w:type="gramEnd"/>
      <w:r>
        <w:rPr>
          <w:rFonts w:ascii="Times New Roman" w:hAnsi="Times New Roman" w:cs="Times New Roman"/>
          <w:b/>
          <w:sz w:val="24"/>
          <w:szCs w:val="24"/>
        </w:rPr>
        <w:t xml:space="preserve"> </w:t>
      </w:r>
      <w:proofErr w:type="gramStart"/>
      <w:r>
        <w:rPr>
          <w:rFonts w:ascii="Times New Roman" w:hAnsi="Times New Roman" w:cs="Times New Roman"/>
          <w:b/>
          <w:sz w:val="24"/>
          <w:szCs w:val="24"/>
        </w:rPr>
        <w:t xml:space="preserve">Construction of the IPTG-inducible </w:t>
      </w:r>
      <w:r>
        <w:rPr>
          <w:rFonts w:ascii="Times New Roman" w:hAnsi="Times New Roman" w:cs="Times New Roman"/>
          <w:b/>
          <w:i/>
          <w:sz w:val="24"/>
          <w:szCs w:val="24"/>
        </w:rPr>
        <w:t>sagB</w:t>
      </w:r>
      <w:r>
        <w:rPr>
          <w:rFonts w:ascii="Times New Roman" w:hAnsi="Times New Roman" w:cs="Times New Roman"/>
          <w:b/>
          <w:sz w:val="24"/>
          <w:szCs w:val="24"/>
        </w:rPr>
        <w:t xml:space="preserve"> strain SJF4090 (RN4220 P</w:t>
      </w:r>
      <w:r>
        <w:rPr>
          <w:rFonts w:ascii="Times New Roman" w:hAnsi="Times New Roman" w:cs="Times New Roman"/>
          <w:b/>
          <w:sz w:val="24"/>
          <w:szCs w:val="24"/>
          <w:vertAlign w:val="subscript"/>
        </w:rPr>
        <w:t>Spac</w:t>
      </w:r>
      <w:r>
        <w:rPr>
          <w:rFonts w:ascii="Times New Roman" w:hAnsi="Times New Roman" w:cs="Times New Roman"/>
          <w:b/>
          <w:sz w:val="24"/>
          <w:szCs w:val="24"/>
        </w:rPr>
        <w:t>-</w:t>
      </w:r>
      <w:r>
        <w:rPr>
          <w:rFonts w:ascii="Times New Roman" w:hAnsi="Times New Roman" w:cs="Times New Roman"/>
          <w:b/>
          <w:i/>
          <w:sz w:val="24"/>
          <w:szCs w:val="24"/>
        </w:rPr>
        <w:t>sagB</w:t>
      </w:r>
      <w:r>
        <w:rPr>
          <w:rFonts w:ascii="Times New Roman" w:hAnsi="Times New Roman" w:cs="Times New Roman"/>
          <w:b/>
          <w:sz w:val="24"/>
          <w:szCs w:val="24"/>
        </w:rPr>
        <w:t>).</w:t>
      </w:r>
      <w:proofErr w:type="gramEnd"/>
      <w:r>
        <w:rPr>
          <w:rFonts w:ascii="Times New Roman" w:hAnsi="Times New Roman" w:cs="Times New Roman"/>
          <w:sz w:val="24"/>
          <w:szCs w:val="24"/>
        </w:rPr>
        <w:t xml:space="preserve"> A 623 bp fragment of </w:t>
      </w:r>
      <w:r>
        <w:rPr>
          <w:rFonts w:ascii="Times New Roman" w:hAnsi="Times New Roman" w:cs="Times New Roman"/>
          <w:i/>
          <w:sz w:val="24"/>
          <w:szCs w:val="24"/>
        </w:rPr>
        <w:t>sagB</w:t>
      </w:r>
      <w:r>
        <w:rPr>
          <w:rFonts w:ascii="Times New Roman" w:hAnsi="Times New Roman" w:cs="Times New Roman"/>
          <w:sz w:val="24"/>
          <w:szCs w:val="24"/>
        </w:rPr>
        <w:t xml:space="preserve">, including the ribosome binding site, was PCR amplified and ligated into the pMUTIN4 vector, producing </w:t>
      </w:r>
      <w:r>
        <w:rPr>
          <w:rFonts w:ascii="Times New Roman" w:hAnsi="Times New Roman" w:cs="Times New Roman"/>
          <w:i/>
          <w:sz w:val="24"/>
          <w:szCs w:val="24"/>
        </w:rPr>
        <w:t xml:space="preserve">S. aureus </w:t>
      </w:r>
      <w:r>
        <w:rPr>
          <w:rFonts w:ascii="Times New Roman" w:hAnsi="Times New Roman" w:cs="Times New Roman"/>
          <w:sz w:val="24"/>
          <w:szCs w:val="24"/>
        </w:rPr>
        <w:t xml:space="preserve">suicide vector pRW01. Integration of pRW01 into the </w:t>
      </w:r>
      <w:r>
        <w:rPr>
          <w:rFonts w:ascii="Times New Roman" w:hAnsi="Times New Roman" w:cs="Times New Roman"/>
          <w:i/>
          <w:sz w:val="24"/>
          <w:szCs w:val="24"/>
        </w:rPr>
        <w:t xml:space="preserve">S. aureus </w:t>
      </w:r>
      <w:r>
        <w:rPr>
          <w:rFonts w:ascii="Times New Roman" w:hAnsi="Times New Roman" w:cs="Times New Roman"/>
          <w:sz w:val="24"/>
          <w:szCs w:val="24"/>
        </w:rPr>
        <w:t xml:space="preserve">RN4220 chromosome by single cross-over results in an non-functional truncated </w:t>
      </w:r>
      <w:r>
        <w:rPr>
          <w:rFonts w:ascii="Times New Roman" w:hAnsi="Times New Roman" w:cs="Times New Roman"/>
          <w:i/>
          <w:sz w:val="24"/>
          <w:szCs w:val="24"/>
        </w:rPr>
        <w:t>sagB</w:t>
      </w:r>
      <w:r>
        <w:rPr>
          <w:rFonts w:ascii="Times New Roman" w:hAnsi="Times New Roman" w:cs="Times New Roman"/>
          <w:sz w:val="24"/>
          <w:szCs w:val="24"/>
        </w:rPr>
        <w:t xml:space="preserve">’ under the native </w:t>
      </w:r>
      <w:r>
        <w:rPr>
          <w:rFonts w:ascii="Times New Roman" w:hAnsi="Times New Roman" w:cs="Times New Roman"/>
          <w:i/>
          <w:sz w:val="24"/>
          <w:szCs w:val="24"/>
        </w:rPr>
        <w:t>sagB</w:t>
      </w:r>
      <w:r>
        <w:rPr>
          <w:rFonts w:ascii="Times New Roman" w:hAnsi="Times New Roman" w:cs="Times New Roman"/>
          <w:sz w:val="24"/>
          <w:szCs w:val="24"/>
        </w:rPr>
        <w:t xml:space="preserve"> promoter, and a full copy of </w:t>
      </w:r>
      <w:r>
        <w:rPr>
          <w:rFonts w:ascii="Times New Roman" w:hAnsi="Times New Roman" w:cs="Times New Roman"/>
          <w:i/>
          <w:sz w:val="24"/>
          <w:szCs w:val="24"/>
        </w:rPr>
        <w:t>sagB</w:t>
      </w:r>
      <w:r>
        <w:rPr>
          <w:rFonts w:ascii="Times New Roman" w:hAnsi="Times New Roman" w:cs="Times New Roman"/>
          <w:sz w:val="24"/>
          <w:szCs w:val="24"/>
        </w:rPr>
        <w:t xml:space="preserve"> under the control of the IPTG inducible Spac promoter (P</w:t>
      </w:r>
      <w:r>
        <w:rPr>
          <w:rFonts w:ascii="Times New Roman" w:hAnsi="Times New Roman" w:cs="Times New Roman"/>
          <w:sz w:val="24"/>
          <w:szCs w:val="24"/>
          <w:vertAlign w:val="subscript"/>
        </w:rPr>
        <w:t>spac</w:t>
      </w:r>
      <w:r>
        <w:rPr>
          <w:rFonts w:ascii="Times New Roman" w:hAnsi="Times New Roman" w:cs="Times New Roman"/>
          <w:sz w:val="24"/>
          <w:szCs w:val="24"/>
        </w:rPr>
        <w:t xml:space="preserve">). This strain was SJF4090. The construct was then transduced into the SH1000 background. Gene annotations correspond to </w:t>
      </w:r>
      <w:r>
        <w:rPr>
          <w:rFonts w:ascii="Times New Roman" w:hAnsi="Times New Roman" w:cs="Times New Roman"/>
          <w:i/>
          <w:sz w:val="24"/>
          <w:szCs w:val="24"/>
        </w:rPr>
        <w:t>S. aureus</w:t>
      </w:r>
      <w:r>
        <w:rPr>
          <w:rFonts w:ascii="Times New Roman" w:hAnsi="Times New Roman" w:cs="Times New Roman"/>
          <w:sz w:val="24"/>
          <w:szCs w:val="24"/>
        </w:rPr>
        <w:t xml:space="preserve"> COL.</w:t>
      </w:r>
    </w:p>
    <w:p w:rsidR="007F78F1" w:rsidRDefault="007F78F1" w:rsidP="007F78F1">
      <w:pPr>
        <w:spacing w:after="120" w:line="360" w:lineRule="auto"/>
        <w:jc w:val="both"/>
        <w:rPr>
          <w:rFonts w:ascii="Times New Roman" w:hAnsi="Times New Roman" w:cs="Times New Roman"/>
          <w:b/>
          <w:sz w:val="24"/>
          <w:szCs w:val="24"/>
        </w:rPr>
      </w:pPr>
      <w:r>
        <w:rPr>
          <w:rFonts w:ascii="Times New Roman" w:hAnsi="Times New Roman" w:cs="Times New Roman"/>
          <w:b/>
          <w:sz w:val="24"/>
          <w:szCs w:val="24"/>
        </w:rPr>
        <w:br w:type="page"/>
      </w:r>
    </w:p>
    <w:p w:rsidR="007F78F1" w:rsidRDefault="007F78F1" w:rsidP="007F78F1">
      <w:pPr>
        <w:spacing w:line="480" w:lineRule="auto"/>
        <w:jc w:val="both"/>
        <w:rPr>
          <w:rFonts w:ascii="Times New Roman" w:hAnsi="Times New Roman" w:cs="Times New Roman"/>
          <w:color w:val="000000" w:themeColor="text1"/>
          <w:sz w:val="28"/>
          <w:szCs w:val="28"/>
        </w:rPr>
      </w:pPr>
      <w:proofErr w:type="gramStart"/>
      <w:r>
        <w:rPr>
          <w:rFonts w:ascii="Times New Roman" w:hAnsi="Times New Roman" w:cs="Times New Roman"/>
          <w:sz w:val="24"/>
          <w:szCs w:val="24"/>
        </w:rPr>
        <w:lastRenderedPageBreak/>
        <w:t>Δ</w:t>
      </w:r>
      <w:r>
        <w:rPr>
          <w:rFonts w:ascii="Times New Roman" w:hAnsi="Times New Roman" w:cs="Times New Roman"/>
          <w:i/>
          <w:sz w:val="24"/>
          <w:szCs w:val="24"/>
        </w:rPr>
        <w:t xml:space="preserve">atl::spc scaH::tetM </w:t>
      </w:r>
      <w:r>
        <w:rPr>
          <w:rFonts w:ascii="Times New Roman" w:hAnsi="Times New Roman" w:cs="Times New Roman"/>
          <w:sz w:val="24"/>
          <w:szCs w:val="24"/>
        </w:rPr>
        <w:t>SA2297</w:t>
      </w:r>
      <w:r>
        <w:rPr>
          <w:rFonts w:ascii="Times New Roman" w:hAnsi="Times New Roman" w:cs="Times New Roman"/>
          <w:i/>
          <w:sz w:val="24"/>
          <w:szCs w:val="24"/>
        </w:rPr>
        <w:t>::tetL</w:t>
      </w:r>
      <w:r>
        <w:rPr>
          <w:rFonts w:ascii="Times New Roman" w:hAnsi="Times New Roman" w:cs="Times New Roman"/>
          <w:sz w:val="24"/>
          <w:szCs w:val="24"/>
        </w:rPr>
        <w:t xml:space="preserve"> pGL485)</w:t>
      </w:r>
      <w:r>
        <w:rPr>
          <w:rFonts w:ascii="Times New Roman" w:hAnsi="Times New Roman" w:cs="Times New Roman"/>
          <w:sz w:val="24"/>
          <w:szCs w:val="24"/>
          <w:vertAlign w:val="superscript"/>
        </w:rPr>
        <w:t>2</w:t>
      </w:r>
      <w:r>
        <w:rPr>
          <w:rFonts w:ascii="Times New Roman" w:hAnsi="Times New Roman" w:cs="Times New Roman"/>
          <w:sz w:val="24"/>
          <w:szCs w:val="24"/>
        </w:rPr>
        <w:t xml:space="preserve">, which constitutively expresses </w:t>
      </w:r>
      <w:r>
        <w:rPr>
          <w:rFonts w:ascii="Times New Roman" w:hAnsi="Times New Roman" w:cs="Times New Roman"/>
          <w:i/>
          <w:sz w:val="24"/>
          <w:szCs w:val="24"/>
        </w:rPr>
        <w:t>sagB</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r>
        <w:rPr>
          <w:rFonts w:ascii="Times New Roman" w:hAnsi="Times New Roman" w:cs="Times New Roman"/>
          <w:color w:val="000000" w:themeColor="text1"/>
          <w:sz w:val="24"/>
          <w:szCs w:val="24"/>
        </w:rPr>
        <w:t xml:space="preserve">Growth media was supplemented with 1mM IPTG for transduction of the </w:t>
      </w:r>
      <w:r>
        <w:rPr>
          <w:rFonts w:ascii="Times New Roman" w:hAnsi="Times New Roman" w:cs="Times New Roman"/>
          <w:i/>
          <w:color w:val="000000" w:themeColor="text1"/>
          <w:sz w:val="24"/>
          <w:szCs w:val="24"/>
        </w:rPr>
        <w:t>P</w:t>
      </w:r>
      <w:r>
        <w:rPr>
          <w:rFonts w:ascii="Times New Roman" w:hAnsi="Times New Roman" w:cs="Times New Roman"/>
          <w:i/>
          <w:color w:val="000000" w:themeColor="text1"/>
          <w:sz w:val="24"/>
          <w:szCs w:val="24"/>
          <w:vertAlign w:val="subscript"/>
        </w:rPr>
        <w:t>spac</w:t>
      </w:r>
      <w:r>
        <w:rPr>
          <w:rFonts w:ascii="Times New Roman" w:hAnsi="Times New Roman" w:cs="Times New Roman"/>
          <w:color w:val="000000" w:themeColor="text1"/>
          <w:sz w:val="24"/>
          <w:szCs w:val="24"/>
        </w:rPr>
        <w:t>-</w:t>
      </w:r>
      <w:r>
        <w:rPr>
          <w:rFonts w:ascii="Times New Roman" w:hAnsi="Times New Roman" w:cs="Times New Roman"/>
          <w:i/>
          <w:color w:val="000000" w:themeColor="text1"/>
          <w:sz w:val="24"/>
          <w:szCs w:val="24"/>
        </w:rPr>
        <w:t>sagB</w:t>
      </w:r>
      <w:r>
        <w:rPr>
          <w:rFonts w:ascii="Times New Roman" w:hAnsi="Times New Roman" w:cs="Times New Roman"/>
          <w:i/>
          <w:color w:val="000000" w:themeColor="text1"/>
          <w:sz w:val="24"/>
          <w:szCs w:val="24"/>
          <w:vertAlign w:val="subscript"/>
        </w:rPr>
        <w:t xml:space="preserve"> </w:t>
      </w:r>
      <w:r>
        <w:rPr>
          <w:rFonts w:ascii="Times New Roman" w:hAnsi="Times New Roman" w:cs="Times New Roman"/>
          <w:color w:val="000000" w:themeColor="text1"/>
          <w:sz w:val="24"/>
          <w:szCs w:val="24"/>
        </w:rPr>
        <w:t xml:space="preserve">constructs. Positive colonies were selected by growth on TSB agar plates supplemented </w:t>
      </w:r>
      <w:proofErr w:type="gramStart"/>
      <w:r>
        <w:rPr>
          <w:rFonts w:ascii="Times New Roman" w:hAnsi="Times New Roman" w:cs="Times New Roman"/>
          <w:color w:val="000000" w:themeColor="text1"/>
          <w:sz w:val="24"/>
          <w:szCs w:val="24"/>
        </w:rPr>
        <w:t>with 30 µg ml</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 xml:space="preserve"> chloramphenicol</w:t>
      </w:r>
      <w:proofErr w:type="gramEnd"/>
      <w:r>
        <w:rPr>
          <w:rFonts w:ascii="Times New Roman" w:hAnsi="Times New Roman" w:cs="Times New Roman"/>
          <w:color w:val="000000" w:themeColor="text1"/>
          <w:sz w:val="24"/>
          <w:szCs w:val="24"/>
        </w:rPr>
        <w:t>.</w:t>
      </w:r>
    </w:p>
    <w:p w:rsidR="007F78F1" w:rsidRDefault="007F78F1" w:rsidP="007F78F1">
      <w:pPr>
        <w:spacing w:line="480" w:lineRule="auto"/>
        <w:jc w:val="both"/>
        <w:rPr>
          <w:rFonts w:ascii="Times New Roman" w:hAnsi="Times New Roman" w:cs="Times New Roman"/>
          <w:color w:val="000000" w:themeColor="text1"/>
          <w:sz w:val="28"/>
          <w:szCs w:val="28"/>
        </w:rPr>
      </w:pPr>
    </w:p>
    <w:p w:rsidR="007F78F1" w:rsidRDefault="007F78F1" w:rsidP="007F78F1">
      <w:pPr>
        <w:spacing w:line="480" w:lineRule="auto"/>
        <w:jc w:val="both"/>
        <w:rPr>
          <w:rFonts w:ascii="Times New Roman" w:hAnsi="Times New Roman" w:cs="Times New Roman"/>
          <w:b/>
          <w:color w:val="000000" w:themeColor="text1"/>
          <w:sz w:val="24"/>
          <w:szCs w:val="24"/>
        </w:rPr>
      </w:pPr>
      <w:r>
        <w:rPr>
          <w:rFonts w:ascii="Times New Roman" w:hAnsi="Times New Roman" w:cs="Times New Roman"/>
          <w:color w:val="000000" w:themeColor="text1"/>
          <w:sz w:val="28"/>
          <w:szCs w:val="28"/>
        </w:rPr>
        <w:t>5.2.7</w:t>
      </w:r>
      <w:r>
        <w:rPr>
          <w:rFonts w:ascii="Times New Roman" w:hAnsi="Times New Roman" w:cs="Times New Roman"/>
          <w:color w:val="000000" w:themeColor="text1"/>
          <w:sz w:val="28"/>
          <w:szCs w:val="28"/>
        </w:rPr>
        <w:tab/>
      </w:r>
      <w:r>
        <w:rPr>
          <w:rFonts w:ascii="Times New Roman" w:hAnsi="Times New Roman" w:cs="Times New Roman"/>
          <w:color w:val="000000" w:themeColor="text1"/>
          <w:sz w:val="28"/>
          <w:szCs w:val="28"/>
        </w:rPr>
        <w:tab/>
        <w:t>Growth of a conditional quadruple mutant</w:t>
      </w:r>
    </w:p>
    <w:p w:rsidR="007F78F1" w:rsidRDefault="007F78F1" w:rsidP="007F78F1">
      <w:pPr>
        <w:spacing w:line="480" w:lineRule="auto"/>
        <w:jc w:val="both"/>
        <w:rPr>
          <w:rFonts w:ascii="Times New Roman" w:hAnsi="Times New Roman" w:cs="Times New Roman"/>
          <w:sz w:val="28"/>
          <w:szCs w:val="28"/>
        </w:rPr>
      </w:pPr>
      <w:r>
        <w:rPr>
          <w:rFonts w:ascii="Times New Roman" w:hAnsi="Times New Roman" w:cs="Times New Roman"/>
          <w:color w:val="000000" w:themeColor="text1"/>
          <w:sz w:val="24"/>
          <w:szCs w:val="24"/>
        </w:rPr>
        <w:t>In the absence of IPTG induction, the SJF4094 (SH1000 P</w:t>
      </w:r>
      <w:r>
        <w:rPr>
          <w:rFonts w:ascii="Times New Roman" w:hAnsi="Times New Roman" w:cs="Times New Roman"/>
          <w:color w:val="000000" w:themeColor="text1"/>
          <w:sz w:val="24"/>
          <w:szCs w:val="24"/>
          <w:vertAlign w:val="subscript"/>
        </w:rPr>
        <w:t>spac</w:t>
      </w:r>
      <w:r>
        <w:rPr>
          <w:rFonts w:ascii="Times New Roman" w:hAnsi="Times New Roman" w:cs="Times New Roman"/>
          <w:color w:val="000000" w:themeColor="text1"/>
          <w:sz w:val="24"/>
          <w:szCs w:val="24"/>
        </w:rPr>
        <w:t>-</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Δ</w:t>
      </w:r>
      <w:r>
        <w:rPr>
          <w:rFonts w:ascii="Times New Roman" w:hAnsi="Times New Roman" w:cs="Times New Roman"/>
          <w:i/>
          <w:color w:val="000000" w:themeColor="text1"/>
          <w:sz w:val="24"/>
          <w:szCs w:val="24"/>
        </w:rPr>
        <w:t xml:space="preserve">atl::spc scaH::tetM </w:t>
      </w:r>
      <w:r>
        <w:rPr>
          <w:rFonts w:ascii="Times New Roman" w:hAnsi="Times New Roman" w:cs="Times New Roman"/>
          <w:color w:val="000000" w:themeColor="text1"/>
          <w:sz w:val="24"/>
          <w:szCs w:val="24"/>
        </w:rPr>
        <w:t>SA2297</w:t>
      </w:r>
      <w:r>
        <w:rPr>
          <w:rFonts w:ascii="Times New Roman" w:hAnsi="Times New Roman" w:cs="Times New Roman"/>
          <w:i/>
          <w:color w:val="000000" w:themeColor="text1"/>
          <w:sz w:val="24"/>
          <w:szCs w:val="24"/>
        </w:rPr>
        <w:t>::tetL</w:t>
      </w:r>
      <w:r>
        <w:rPr>
          <w:rFonts w:ascii="Times New Roman" w:hAnsi="Times New Roman" w:cs="Times New Roman"/>
          <w:color w:val="000000" w:themeColor="text1"/>
          <w:sz w:val="24"/>
          <w:szCs w:val="24"/>
        </w:rPr>
        <w:t xml:space="preserve"> pGL485)</w:t>
      </w:r>
      <w:r>
        <w:rPr>
          <w:rFonts w:ascii="Times New Roman" w:hAnsi="Times New Roman" w:cs="Times New Roman"/>
          <w:color w:val="000000" w:themeColor="text1"/>
          <w:sz w:val="24"/>
          <w:szCs w:val="24"/>
          <w:vertAlign w:val="superscript"/>
        </w:rPr>
        <w:t>3</w:t>
      </w:r>
      <w:r>
        <w:rPr>
          <w:rFonts w:ascii="Times New Roman" w:hAnsi="Times New Roman" w:cs="Times New Roman"/>
          <w:color w:val="000000" w:themeColor="text1"/>
          <w:sz w:val="24"/>
          <w:szCs w:val="24"/>
        </w:rPr>
        <w:t xml:space="preserve"> strain had a severe defect on solid media, at times failing to grow at all, but grew consistently when </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expression was induced with 1 mM IPTG. In liquid media the SJF4094 strain could be cultured in the absence of IPTG, but had a growth defect (doubling time ~55 min; Figure 5.10) in comparison to the parent strain VF17 (SH1000 pGL485; doubling time = 30 min; Figure 5.10). The doubling times were determined by cfu counts following dispersion of cell aggregates by sonication. Efficient dispersion of aggregates was indicated by the fact that stationary phase wild type and mutant cultures gave comparable cfu counts (data not shown). When </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expression was induced by 1 mM IPTG, the growth rate of SJF4094 (P</w:t>
      </w:r>
      <w:r>
        <w:rPr>
          <w:rFonts w:ascii="Times New Roman" w:hAnsi="Times New Roman" w:cs="Times New Roman"/>
          <w:color w:val="000000" w:themeColor="text1"/>
          <w:sz w:val="24"/>
          <w:szCs w:val="24"/>
          <w:vertAlign w:val="subscript"/>
        </w:rPr>
        <w:t>spac</w:t>
      </w:r>
      <w:r>
        <w:rPr>
          <w:rFonts w:ascii="Times New Roman" w:hAnsi="Times New Roman" w:cs="Times New Roman"/>
          <w:color w:val="000000" w:themeColor="text1"/>
          <w:sz w:val="24"/>
          <w:szCs w:val="24"/>
        </w:rPr>
        <w:t>-</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Δ</w:t>
      </w:r>
      <w:r>
        <w:rPr>
          <w:rFonts w:ascii="Times New Roman" w:hAnsi="Times New Roman" w:cs="Times New Roman"/>
          <w:i/>
          <w:color w:val="000000" w:themeColor="text1"/>
          <w:sz w:val="24"/>
          <w:szCs w:val="24"/>
        </w:rPr>
        <w:t>atl::spc scaH::tetM SA2297::tetL</w:t>
      </w:r>
      <w:r>
        <w:rPr>
          <w:rFonts w:ascii="Times New Roman" w:hAnsi="Times New Roman" w:cs="Times New Roman"/>
          <w:color w:val="000000" w:themeColor="text1"/>
          <w:sz w:val="24"/>
          <w:szCs w:val="24"/>
        </w:rPr>
        <w:t xml:space="preserve"> pGL485)</w:t>
      </w:r>
      <w:r>
        <w:rPr>
          <w:rFonts w:ascii="Times New Roman" w:hAnsi="Times New Roman" w:cs="Times New Roman"/>
          <w:color w:val="000000" w:themeColor="text1"/>
          <w:sz w:val="24"/>
          <w:szCs w:val="24"/>
          <w:vertAlign w:val="superscript"/>
        </w:rPr>
        <w:t>3</w:t>
      </w:r>
      <w:r>
        <w:rPr>
          <w:rFonts w:ascii="Times New Roman" w:hAnsi="Times New Roman" w:cs="Times New Roman"/>
          <w:color w:val="000000" w:themeColor="text1"/>
          <w:sz w:val="24"/>
          <w:szCs w:val="24"/>
        </w:rPr>
        <w:t xml:space="preserve"> was equivalent to that of the isogenic triple mutant constitutively expressing SagB, SJF4092 (SH1000 Δ</w:t>
      </w:r>
      <w:r>
        <w:rPr>
          <w:rFonts w:ascii="Times New Roman" w:hAnsi="Times New Roman" w:cs="Times New Roman"/>
          <w:i/>
          <w:color w:val="000000" w:themeColor="text1"/>
          <w:sz w:val="24"/>
          <w:szCs w:val="24"/>
        </w:rPr>
        <w:t>atl::spc scaH::tetM</w:t>
      </w:r>
      <w:r>
        <w:rPr>
          <w:rFonts w:ascii="Times New Roman" w:hAnsi="Times New Roman" w:cs="Times New Roman"/>
          <w:color w:val="000000" w:themeColor="text1"/>
          <w:sz w:val="24"/>
          <w:szCs w:val="24"/>
        </w:rPr>
        <w:t xml:space="preserve"> SA2297</w:t>
      </w:r>
      <w:r>
        <w:rPr>
          <w:rFonts w:ascii="Times New Roman" w:hAnsi="Times New Roman" w:cs="Times New Roman"/>
          <w:i/>
          <w:color w:val="000000" w:themeColor="text1"/>
          <w:sz w:val="24"/>
          <w:szCs w:val="24"/>
        </w:rPr>
        <w:t xml:space="preserve">::tetL </w:t>
      </w:r>
      <w:r>
        <w:rPr>
          <w:rFonts w:ascii="Times New Roman" w:hAnsi="Times New Roman" w:cs="Times New Roman"/>
          <w:color w:val="000000" w:themeColor="text1"/>
          <w:sz w:val="24"/>
          <w:szCs w:val="24"/>
        </w:rPr>
        <w:t>pGL485</w:t>
      </w:r>
      <w:r>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 xml:space="preserve">; doubling time approximately 45 min), suggesting that transcription of </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from the P</w:t>
      </w:r>
      <w:r>
        <w:rPr>
          <w:rFonts w:ascii="Times New Roman" w:hAnsi="Times New Roman" w:cs="Times New Roman"/>
          <w:color w:val="000000" w:themeColor="text1"/>
          <w:sz w:val="24"/>
          <w:szCs w:val="24"/>
          <w:vertAlign w:val="subscript"/>
        </w:rPr>
        <w:t>spac</w:t>
      </w:r>
      <w:r>
        <w:rPr>
          <w:rFonts w:ascii="Times New Roman" w:hAnsi="Times New Roman" w:cs="Times New Roman"/>
          <w:color w:val="000000" w:themeColor="text1"/>
          <w:sz w:val="24"/>
          <w:szCs w:val="24"/>
        </w:rPr>
        <w:t xml:space="preserve"> promoter was sufficient to restore normal levels of </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activity (Figure 5.10). It should be noted that the triple mutants (SJF2120, SFJ2124, SJF2125 and SJF2126) had comparable growth rates (data not shown). Therefore it is unlikely that the growth rate of SJF4094 (P</w:t>
      </w:r>
      <w:r>
        <w:rPr>
          <w:rFonts w:ascii="Times New Roman" w:hAnsi="Times New Roman" w:cs="Times New Roman"/>
          <w:color w:val="000000" w:themeColor="text1"/>
          <w:sz w:val="24"/>
          <w:szCs w:val="24"/>
          <w:vertAlign w:val="subscript"/>
        </w:rPr>
        <w:t>spac</w:t>
      </w:r>
      <w:r>
        <w:rPr>
          <w:rFonts w:ascii="Times New Roman" w:hAnsi="Times New Roman" w:cs="Times New Roman"/>
          <w:color w:val="000000" w:themeColor="text1"/>
          <w:sz w:val="24"/>
          <w:szCs w:val="24"/>
        </w:rPr>
        <w:t>-</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Δ</w:t>
      </w:r>
      <w:r>
        <w:rPr>
          <w:rFonts w:ascii="Times New Roman" w:hAnsi="Times New Roman" w:cs="Times New Roman"/>
          <w:i/>
          <w:color w:val="000000" w:themeColor="text1"/>
          <w:sz w:val="24"/>
          <w:szCs w:val="24"/>
        </w:rPr>
        <w:t>atl::spc scaH::tetL SA2297::tetM</w:t>
      </w:r>
      <w:r>
        <w:rPr>
          <w:rFonts w:ascii="Times New Roman" w:hAnsi="Times New Roman" w:cs="Times New Roman"/>
          <w:color w:val="000000" w:themeColor="text1"/>
          <w:sz w:val="24"/>
          <w:szCs w:val="24"/>
        </w:rPr>
        <w:t xml:space="preserve"> pGL485)</w:t>
      </w:r>
      <w:r>
        <w:rPr>
          <w:rFonts w:ascii="Times New Roman" w:hAnsi="Times New Roman" w:cs="Times New Roman"/>
          <w:color w:val="000000" w:themeColor="text1"/>
          <w:sz w:val="24"/>
          <w:szCs w:val="24"/>
          <w:vertAlign w:val="superscript"/>
        </w:rPr>
        <w:t>3</w:t>
      </w:r>
      <w:r>
        <w:rPr>
          <w:rFonts w:ascii="Times New Roman" w:hAnsi="Times New Roman" w:cs="Times New Roman"/>
          <w:color w:val="000000" w:themeColor="text1"/>
          <w:sz w:val="24"/>
          <w:szCs w:val="24"/>
        </w:rPr>
        <w:t xml:space="preserve"> would be equivalent to </w:t>
      </w:r>
      <w:r>
        <w:rPr>
          <w:rFonts w:ascii="Times New Roman" w:hAnsi="Times New Roman" w:cs="Times New Roman"/>
          <w:i/>
          <w:color w:val="000000" w:themeColor="text1"/>
          <w:sz w:val="24"/>
          <w:szCs w:val="24"/>
        </w:rPr>
        <w:t xml:space="preserve">atl, sagB, scaH </w:t>
      </w:r>
      <w:r>
        <w:rPr>
          <w:rFonts w:ascii="Times New Roman" w:hAnsi="Times New Roman" w:cs="Times New Roman"/>
          <w:color w:val="000000" w:themeColor="text1"/>
          <w:sz w:val="24"/>
          <w:szCs w:val="24"/>
        </w:rPr>
        <w:br w:type="page"/>
      </w:r>
      <w:r>
        <w:rPr>
          <w:rFonts w:ascii="Times New Roman" w:hAnsi="Times New Roman" w:cs="Times New Roman"/>
          <w:noProof/>
          <w:sz w:val="28"/>
          <w:szCs w:val="28"/>
          <w:lang w:eastAsia="en-GB"/>
        </w:rPr>
        <w:lastRenderedPageBreak/>
        <w:drawing>
          <wp:inline distT="0" distB="0" distL="0" distR="0">
            <wp:extent cx="5272405" cy="3859530"/>
            <wp:effectExtent l="19050" t="0" r="4445" b="0"/>
            <wp:docPr id="92" name="Picture 17" descr="Figure 5.11 with error ba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gure 5.11 with error bars.png"/>
                    <pic:cNvPicPr>
                      <a:picLocks noChangeAspect="1" noChangeArrowheads="1"/>
                    </pic:cNvPicPr>
                  </pic:nvPicPr>
                  <pic:blipFill>
                    <a:blip r:embed="rId98" cstate="print"/>
                    <a:srcRect/>
                    <a:stretch>
                      <a:fillRect/>
                    </a:stretch>
                  </pic:blipFill>
                  <pic:spPr bwMode="auto">
                    <a:xfrm>
                      <a:off x="0" y="0"/>
                      <a:ext cx="5272405" cy="3859530"/>
                    </a:xfrm>
                    <a:prstGeom prst="rect">
                      <a:avLst/>
                    </a:prstGeom>
                    <a:noFill/>
                    <a:ln w="9525">
                      <a:noFill/>
                      <a:miter lim="800000"/>
                      <a:headEnd/>
                      <a:tailEnd/>
                    </a:ln>
                  </pic:spPr>
                </pic:pic>
              </a:graphicData>
            </a:graphic>
          </wp:inline>
        </w:drawing>
      </w:r>
    </w:p>
    <w:p w:rsidR="007F78F1" w:rsidRDefault="007F78F1" w:rsidP="007F78F1">
      <w:pPr>
        <w:spacing w:after="120" w:line="360" w:lineRule="auto"/>
        <w:jc w:val="both"/>
        <w:rPr>
          <w:rFonts w:ascii="Times New Roman" w:hAnsi="Times New Roman" w:cs="Times New Roman"/>
          <w:sz w:val="24"/>
          <w:szCs w:val="24"/>
        </w:rPr>
      </w:pPr>
      <w:proofErr w:type="gramStart"/>
      <w:r>
        <w:rPr>
          <w:rFonts w:ascii="Times New Roman" w:hAnsi="Times New Roman" w:cs="Times New Roman"/>
          <w:b/>
          <w:sz w:val="24"/>
          <w:szCs w:val="24"/>
        </w:rPr>
        <w:t>Figure 5.10.</w:t>
      </w:r>
      <w:proofErr w:type="gramEnd"/>
      <w:r>
        <w:rPr>
          <w:rFonts w:ascii="Times New Roman" w:hAnsi="Times New Roman" w:cs="Times New Roman"/>
          <w:b/>
          <w:sz w:val="24"/>
          <w:szCs w:val="24"/>
        </w:rPr>
        <w:t xml:space="preserve"> </w:t>
      </w:r>
      <w:proofErr w:type="gramStart"/>
      <w:r>
        <w:rPr>
          <w:rFonts w:ascii="Times New Roman" w:hAnsi="Times New Roman" w:cs="Times New Roman"/>
          <w:b/>
          <w:sz w:val="24"/>
          <w:szCs w:val="24"/>
        </w:rPr>
        <w:t>Defective growth of a conditional quadruple mutant.</w:t>
      </w:r>
      <w:proofErr w:type="gramEnd"/>
      <w:r>
        <w:rPr>
          <w:rFonts w:ascii="Times New Roman" w:hAnsi="Times New Roman" w:cs="Times New Roman"/>
          <w:sz w:val="24"/>
          <w:szCs w:val="24"/>
        </w:rPr>
        <w:t xml:space="preserve"> The conditional quadruple mutant SJF4094 (SH1000 P</w:t>
      </w:r>
      <w:r>
        <w:rPr>
          <w:rFonts w:ascii="Times New Roman" w:hAnsi="Times New Roman" w:cs="Times New Roman"/>
          <w:sz w:val="24"/>
          <w:szCs w:val="24"/>
          <w:vertAlign w:val="subscript"/>
        </w:rPr>
        <w:t>spac</w:t>
      </w:r>
      <w:r>
        <w:rPr>
          <w:rFonts w:ascii="Times New Roman" w:hAnsi="Times New Roman" w:cs="Times New Roman"/>
          <w:sz w:val="24"/>
          <w:szCs w:val="24"/>
        </w:rPr>
        <w:t>-</w:t>
      </w:r>
      <w:r>
        <w:rPr>
          <w:rFonts w:ascii="Times New Roman" w:hAnsi="Times New Roman" w:cs="Times New Roman"/>
          <w:i/>
          <w:sz w:val="24"/>
          <w:szCs w:val="24"/>
        </w:rPr>
        <w:t>sagB</w:t>
      </w:r>
      <w:r>
        <w:rPr>
          <w:rFonts w:ascii="Times New Roman" w:hAnsi="Times New Roman" w:cs="Times New Roman"/>
          <w:sz w:val="24"/>
          <w:szCs w:val="24"/>
        </w:rPr>
        <w:t xml:space="preserve"> Δ</w:t>
      </w:r>
      <w:r>
        <w:rPr>
          <w:rFonts w:ascii="Times New Roman" w:hAnsi="Times New Roman" w:cs="Times New Roman"/>
          <w:i/>
          <w:sz w:val="24"/>
          <w:szCs w:val="24"/>
        </w:rPr>
        <w:t>atl::spc scaH::tetL SA2297::tetM</w:t>
      </w:r>
      <w:r>
        <w:rPr>
          <w:rFonts w:ascii="Times New Roman" w:hAnsi="Times New Roman" w:cs="Times New Roman"/>
          <w:sz w:val="24"/>
          <w:szCs w:val="24"/>
        </w:rPr>
        <w:t xml:space="preserve"> pGL485) was grown without IPTG induction (SJF4094 -IPTG) and in the presence of 1 mM IPTG (SJF4094 +IPTG). Growth was compared against the parent strain VF17 (SH1000 pGL485) and SJF4092 (SH1000 Δ</w:t>
      </w:r>
      <w:r>
        <w:rPr>
          <w:rFonts w:ascii="Times New Roman" w:hAnsi="Times New Roman" w:cs="Times New Roman"/>
          <w:i/>
          <w:sz w:val="24"/>
          <w:szCs w:val="24"/>
        </w:rPr>
        <w:t>atl::spc scaH::tetL SA2297::tetM</w:t>
      </w:r>
      <w:r>
        <w:rPr>
          <w:rFonts w:ascii="Times New Roman" w:hAnsi="Times New Roman" w:cs="Times New Roman"/>
          <w:sz w:val="24"/>
          <w:szCs w:val="24"/>
        </w:rPr>
        <w:t xml:space="preserve"> pGL485) which constitutively expresses </w:t>
      </w:r>
      <w:r>
        <w:rPr>
          <w:rFonts w:ascii="Times New Roman" w:hAnsi="Times New Roman" w:cs="Times New Roman"/>
          <w:i/>
          <w:sz w:val="24"/>
          <w:szCs w:val="24"/>
        </w:rPr>
        <w:t>sagB</w:t>
      </w:r>
      <w:r>
        <w:rPr>
          <w:rFonts w:ascii="Times New Roman" w:hAnsi="Times New Roman" w:cs="Times New Roman"/>
          <w:sz w:val="24"/>
          <w:szCs w:val="24"/>
        </w:rPr>
        <w:t>. Independent cultures were prepared in triplicate. At each time point 3 ml of culture was removed under continual shaking at 70 rpm to ensure even dispersal of cells, and sonicated gently to disperse cell aggregates. Serial dilutions were prepared in PBS and 5 µl spotted onto TSB agar plates. This growth curve was performed on two separate occasions giving similar results. Error bars show standard deviation from the mean.</w:t>
      </w:r>
    </w:p>
    <w:p w:rsidR="007F78F1" w:rsidRDefault="007F78F1" w:rsidP="007F78F1">
      <w:pPr>
        <w:rPr>
          <w:rFonts w:ascii="Times New Roman" w:hAnsi="Times New Roman" w:cs="Times New Roman"/>
          <w:sz w:val="28"/>
          <w:szCs w:val="28"/>
        </w:rPr>
      </w:pPr>
      <w:r>
        <w:rPr>
          <w:rFonts w:ascii="Times New Roman" w:hAnsi="Times New Roman" w:cs="Times New Roman"/>
          <w:sz w:val="28"/>
          <w:szCs w:val="28"/>
        </w:rPr>
        <w:br w:type="page"/>
      </w:r>
    </w:p>
    <w:p w:rsidR="007F78F1" w:rsidRDefault="007F78F1" w:rsidP="007F78F1">
      <w:pPr>
        <w:spacing w:line="480" w:lineRule="auto"/>
        <w:jc w:val="both"/>
        <w:rPr>
          <w:rFonts w:ascii="Times New Roman" w:hAnsi="Times New Roman" w:cs="Times New Roman"/>
          <w:sz w:val="28"/>
          <w:szCs w:val="28"/>
        </w:rPr>
      </w:pPr>
      <w:proofErr w:type="gramStart"/>
      <w:r>
        <w:rPr>
          <w:rFonts w:ascii="Times New Roman" w:hAnsi="Times New Roman" w:cs="Times New Roman"/>
          <w:color w:val="000000" w:themeColor="text1"/>
          <w:sz w:val="24"/>
          <w:szCs w:val="24"/>
        </w:rPr>
        <w:lastRenderedPageBreak/>
        <w:t>insertionally-inactivated</w:t>
      </w:r>
      <w:proofErr w:type="gramEnd"/>
      <w:r>
        <w:rPr>
          <w:rFonts w:ascii="Times New Roman" w:hAnsi="Times New Roman" w:cs="Times New Roman"/>
          <w:color w:val="000000" w:themeColor="text1"/>
          <w:sz w:val="24"/>
          <w:szCs w:val="24"/>
        </w:rPr>
        <w:t xml:space="preserve"> strain. In the absence of IPTG, SJF4094 (SH1000 P</w:t>
      </w:r>
      <w:r>
        <w:rPr>
          <w:rFonts w:ascii="Times New Roman" w:hAnsi="Times New Roman" w:cs="Times New Roman"/>
          <w:color w:val="000000" w:themeColor="text1"/>
          <w:sz w:val="24"/>
          <w:szCs w:val="24"/>
          <w:vertAlign w:val="subscript"/>
        </w:rPr>
        <w:t>spac</w:t>
      </w:r>
      <w:r>
        <w:rPr>
          <w:rFonts w:ascii="Times New Roman" w:hAnsi="Times New Roman" w:cs="Times New Roman"/>
          <w:color w:val="000000" w:themeColor="text1"/>
          <w:sz w:val="24"/>
          <w:szCs w:val="24"/>
        </w:rPr>
        <w:t>-</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Δ</w:t>
      </w:r>
      <w:r>
        <w:rPr>
          <w:rFonts w:ascii="Times New Roman" w:hAnsi="Times New Roman" w:cs="Times New Roman"/>
          <w:i/>
          <w:color w:val="000000" w:themeColor="text1"/>
          <w:sz w:val="24"/>
          <w:szCs w:val="24"/>
        </w:rPr>
        <w:t>atl::spc scaH::tetL SA2297::tetM</w:t>
      </w:r>
      <w:r>
        <w:rPr>
          <w:rFonts w:ascii="Times New Roman" w:hAnsi="Times New Roman" w:cs="Times New Roman"/>
          <w:color w:val="000000" w:themeColor="text1"/>
          <w:sz w:val="24"/>
          <w:szCs w:val="24"/>
        </w:rPr>
        <w:t xml:space="preserve"> pGL485)</w:t>
      </w:r>
      <w:r>
        <w:rPr>
          <w:rFonts w:ascii="Times New Roman" w:hAnsi="Times New Roman" w:cs="Times New Roman"/>
          <w:color w:val="000000" w:themeColor="text1"/>
          <w:sz w:val="24"/>
          <w:szCs w:val="24"/>
          <w:vertAlign w:val="superscript"/>
        </w:rPr>
        <w:t>3</w:t>
      </w:r>
      <w:r>
        <w:rPr>
          <w:rFonts w:ascii="Times New Roman" w:hAnsi="Times New Roman" w:cs="Times New Roman"/>
          <w:color w:val="000000" w:themeColor="text1"/>
          <w:sz w:val="24"/>
          <w:szCs w:val="24"/>
        </w:rPr>
        <w:t xml:space="preserve"> formed large macroscopic aggregates which sedimented rapidly when culture agitation was halted.</w:t>
      </w:r>
    </w:p>
    <w:p w:rsidR="007F78F1" w:rsidRDefault="007F78F1" w:rsidP="007F78F1">
      <w:pPr>
        <w:spacing w:before="480" w:after="120" w:line="480" w:lineRule="auto"/>
        <w:jc w:val="both"/>
        <w:rPr>
          <w:rFonts w:ascii="Times New Roman" w:hAnsi="Times New Roman" w:cs="Times New Roman"/>
          <w:sz w:val="28"/>
          <w:szCs w:val="28"/>
        </w:rPr>
      </w:pPr>
      <w:r>
        <w:rPr>
          <w:rFonts w:ascii="Times New Roman" w:hAnsi="Times New Roman" w:cs="Times New Roman"/>
          <w:sz w:val="28"/>
          <w:szCs w:val="28"/>
        </w:rPr>
        <w:t>5.2.8</w:t>
      </w:r>
      <w:r>
        <w:rPr>
          <w:rFonts w:ascii="Times New Roman" w:hAnsi="Times New Roman" w:cs="Times New Roman"/>
          <w:sz w:val="28"/>
          <w:szCs w:val="28"/>
        </w:rPr>
        <w:tab/>
      </w:r>
      <w:r>
        <w:rPr>
          <w:rFonts w:ascii="Times New Roman" w:hAnsi="Times New Roman" w:cs="Times New Roman"/>
          <w:sz w:val="28"/>
          <w:szCs w:val="28"/>
        </w:rPr>
        <w:tab/>
        <w:t>Phenotype analysis of a conditional quadruple mutant by light microscopy</w:t>
      </w:r>
    </w:p>
    <w:p w:rsidR="007F78F1" w:rsidRDefault="007F78F1" w:rsidP="007F78F1">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Glycan chain length is a key determinant of peptidoglycan architecture. Disruption of glycan chain length regulation is likely to impact on the ability of cells to grow and divide. The morphology of </w:t>
      </w:r>
      <w:r>
        <w:rPr>
          <w:rFonts w:ascii="Times New Roman" w:hAnsi="Times New Roman" w:cs="Times New Roman"/>
          <w:i/>
          <w:color w:val="000000" w:themeColor="text1"/>
          <w:sz w:val="24"/>
          <w:szCs w:val="24"/>
        </w:rPr>
        <w:t xml:space="preserve">S. aureus </w:t>
      </w:r>
      <w:r>
        <w:rPr>
          <w:rFonts w:ascii="Times New Roman" w:hAnsi="Times New Roman" w:cs="Times New Roman"/>
          <w:color w:val="000000" w:themeColor="text1"/>
          <w:sz w:val="24"/>
          <w:szCs w:val="24"/>
        </w:rPr>
        <w:t>cells devoid of multiple glucosaminidase activities was investigated by fluorescence microscopy. Fluorescent vancomycin was used to accurately visualise the cell walls and formation of septa. In the absence of IPTG induction, SJF4094 (SH1000 P</w:t>
      </w:r>
      <w:r>
        <w:rPr>
          <w:rFonts w:ascii="Times New Roman" w:hAnsi="Times New Roman" w:cs="Times New Roman"/>
          <w:color w:val="000000" w:themeColor="text1"/>
          <w:sz w:val="24"/>
          <w:szCs w:val="24"/>
          <w:vertAlign w:val="subscript"/>
        </w:rPr>
        <w:t>spac</w:t>
      </w:r>
      <w:r>
        <w:rPr>
          <w:rFonts w:ascii="Times New Roman" w:hAnsi="Times New Roman" w:cs="Times New Roman"/>
          <w:color w:val="000000" w:themeColor="text1"/>
          <w:sz w:val="24"/>
          <w:szCs w:val="24"/>
        </w:rPr>
        <w:t>-</w:t>
      </w:r>
      <w:r>
        <w:rPr>
          <w:rFonts w:ascii="Times New Roman" w:hAnsi="Times New Roman" w:cs="Times New Roman"/>
          <w:i/>
          <w:color w:val="000000" w:themeColor="text1"/>
          <w:sz w:val="24"/>
          <w:szCs w:val="24"/>
        </w:rPr>
        <w:t xml:space="preserve">sagB </w:t>
      </w:r>
      <w:r>
        <w:rPr>
          <w:rFonts w:ascii="Times New Roman" w:hAnsi="Times New Roman" w:cs="Times New Roman"/>
          <w:color w:val="000000" w:themeColor="text1"/>
          <w:sz w:val="24"/>
          <w:szCs w:val="24"/>
        </w:rPr>
        <w:t>Δ</w:t>
      </w:r>
      <w:r>
        <w:rPr>
          <w:rFonts w:ascii="Times New Roman" w:hAnsi="Times New Roman" w:cs="Times New Roman"/>
          <w:i/>
          <w:color w:val="000000" w:themeColor="text1"/>
          <w:sz w:val="24"/>
          <w:szCs w:val="24"/>
        </w:rPr>
        <w:t>atl::spc scaH::tetM</w:t>
      </w:r>
      <w:r>
        <w:rPr>
          <w:rFonts w:ascii="Times New Roman" w:hAnsi="Times New Roman" w:cs="Times New Roman"/>
          <w:color w:val="000000" w:themeColor="text1"/>
          <w:sz w:val="24"/>
          <w:szCs w:val="24"/>
        </w:rPr>
        <w:t xml:space="preserve"> SA2297</w:t>
      </w:r>
      <w:r>
        <w:rPr>
          <w:rFonts w:ascii="Times New Roman" w:hAnsi="Times New Roman" w:cs="Times New Roman"/>
          <w:i/>
          <w:color w:val="000000" w:themeColor="text1"/>
          <w:sz w:val="24"/>
          <w:szCs w:val="24"/>
        </w:rPr>
        <w:t xml:space="preserve">::tetL </w:t>
      </w:r>
      <w:r>
        <w:rPr>
          <w:rFonts w:ascii="Times New Roman" w:hAnsi="Times New Roman" w:cs="Times New Roman"/>
          <w:color w:val="000000" w:themeColor="text1"/>
          <w:sz w:val="24"/>
          <w:szCs w:val="24"/>
        </w:rPr>
        <w:t>pGL485)</w:t>
      </w:r>
      <w:r>
        <w:rPr>
          <w:rFonts w:ascii="Times New Roman" w:hAnsi="Times New Roman" w:cs="Times New Roman"/>
          <w:color w:val="000000" w:themeColor="text1"/>
          <w:sz w:val="24"/>
          <w:szCs w:val="24"/>
          <w:vertAlign w:val="superscript"/>
        </w:rPr>
        <w:t>3</w:t>
      </w:r>
      <w:r>
        <w:rPr>
          <w:rFonts w:ascii="Times New Roman" w:hAnsi="Times New Roman" w:cs="Times New Roman"/>
          <w:color w:val="000000" w:themeColor="text1"/>
          <w:sz w:val="24"/>
          <w:szCs w:val="24"/>
        </w:rPr>
        <w:t xml:space="preserve"> displayed altered shape and size, and formed clusters of cells that had failed to split across the septum (Figure 5.11A and D). A high proportion of individual cells were hemispherical in shape (25.8% compared with only 2% of VF17 (SH1000 pGL485) cells). Of these hemispherical cells, 26.5% had initiated the next round of septation at an orthogonal plane. This observation suggested that the conditional quadruple mutant failed to undergo volume increase to spherical shape, and continued to divide as hemispherical cells (Figure 5.11B-D). Quadruplet cells were observed which had failed to separate for two rounds of cell division, and were quadrisected by crosswall on two orthogonal planes (Figure 5.11D).</w:t>
      </w:r>
    </w:p>
    <w:p w:rsidR="007F78F1" w:rsidRDefault="007F78F1" w:rsidP="007F78F1">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Cell separation presented a bottleneck in the cell cycle as whilst the majority of SJF4094 (SH1000 P</w:t>
      </w:r>
      <w:r>
        <w:rPr>
          <w:rFonts w:ascii="Times New Roman" w:hAnsi="Times New Roman" w:cs="Times New Roman"/>
          <w:color w:val="000000" w:themeColor="text1"/>
          <w:sz w:val="24"/>
          <w:szCs w:val="24"/>
          <w:vertAlign w:val="subscript"/>
        </w:rPr>
        <w:t>spac</w:t>
      </w:r>
      <w:r>
        <w:rPr>
          <w:rFonts w:ascii="Times New Roman" w:hAnsi="Times New Roman" w:cs="Times New Roman"/>
          <w:color w:val="000000" w:themeColor="text1"/>
          <w:sz w:val="24"/>
          <w:szCs w:val="24"/>
        </w:rPr>
        <w:t>-</w:t>
      </w:r>
      <w:r>
        <w:rPr>
          <w:rFonts w:ascii="Times New Roman" w:hAnsi="Times New Roman" w:cs="Times New Roman"/>
          <w:i/>
          <w:color w:val="000000" w:themeColor="text1"/>
          <w:sz w:val="24"/>
          <w:szCs w:val="24"/>
        </w:rPr>
        <w:t xml:space="preserve">sagB </w:t>
      </w:r>
      <w:r>
        <w:rPr>
          <w:rFonts w:ascii="Times New Roman" w:hAnsi="Times New Roman" w:cs="Times New Roman"/>
          <w:color w:val="000000" w:themeColor="text1"/>
          <w:sz w:val="24"/>
          <w:szCs w:val="24"/>
        </w:rPr>
        <w:t>Δ</w:t>
      </w:r>
      <w:r>
        <w:rPr>
          <w:rFonts w:ascii="Times New Roman" w:hAnsi="Times New Roman" w:cs="Times New Roman"/>
          <w:i/>
          <w:color w:val="000000" w:themeColor="text1"/>
          <w:sz w:val="24"/>
          <w:szCs w:val="24"/>
        </w:rPr>
        <w:t>atl::spc scaH::tetM</w:t>
      </w:r>
      <w:r>
        <w:rPr>
          <w:rFonts w:ascii="Times New Roman" w:hAnsi="Times New Roman" w:cs="Times New Roman"/>
          <w:color w:val="000000" w:themeColor="text1"/>
          <w:sz w:val="24"/>
          <w:szCs w:val="24"/>
        </w:rPr>
        <w:t xml:space="preserve"> SA2297</w:t>
      </w:r>
      <w:r>
        <w:rPr>
          <w:rFonts w:ascii="Times New Roman" w:hAnsi="Times New Roman" w:cs="Times New Roman"/>
          <w:i/>
          <w:color w:val="000000" w:themeColor="text1"/>
          <w:sz w:val="24"/>
          <w:szCs w:val="24"/>
        </w:rPr>
        <w:t xml:space="preserve">::tetL </w:t>
      </w:r>
      <w:r>
        <w:rPr>
          <w:rFonts w:ascii="Times New Roman" w:hAnsi="Times New Roman" w:cs="Times New Roman"/>
          <w:color w:val="000000" w:themeColor="text1"/>
          <w:sz w:val="24"/>
          <w:szCs w:val="24"/>
        </w:rPr>
        <w:t>pGL485)</w:t>
      </w:r>
      <w:r>
        <w:rPr>
          <w:rFonts w:ascii="Times New Roman" w:hAnsi="Times New Roman" w:cs="Times New Roman"/>
          <w:color w:val="000000" w:themeColor="text1"/>
          <w:sz w:val="24"/>
          <w:szCs w:val="24"/>
          <w:vertAlign w:val="superscript"/>
        </w:rPr>
        <w:t>3</w:t>
      </w:r>
      <w:r>
        <w:rPr>
          <w:rFonts w:ascii="Times New Roman" w:hAnsi="Times New Roman" w:cs="Times New Roman"/>
          <w:color w:val="000000" w:themeColor="text1"/>
          <w:sz w:val="24"/>
          <w:szCs w:val="24"/>
        </w:rPr>
        <w:t xml:space="preserve"> cells (68.2%) displayed orthogonal new growth in the absence of IPTG induction, only 20.4% of cells had initiated cell separation (Figure 5.11E). By constrast, only 38.1% of </w:t>
      </w:r>
      <w:r>
        <w:rPr>
          <w:rFonts w:ascii="Times New Roman" w:hAnsi="Times New Roman" w:cs="Times New Roman"/>
          <w:color w:val="000000" w:themeColor="text1"/>
          <w:sz w:val="24"/>
          <w:szCs w:val="24"/>
        </w:rPr>
        <w:lastRenderedPageBreak/>
        <w:t>VF17 (SH1000 pGL485) cells displayed orthogonal new growth, whilst over half of the cells (55.6%) had initiated cell separation (Figure 5.11E). SJF4092 (SH1000 Δ</w:t>
      </w:r>
      <w:r>
        <w:rPr>
          <w:rFonts w:ascii="Times New Roman" w:hAnsi="Times New Roman" w:cs="Times New Roman"/>
          <w:i/>
          <w:color w:val="000000" w:themeColor="text1"/>
          <w:sz w:val="24"/>
          <w:szCs w:val="24"/>
        </w:rPr>
        <w:t>atl::spc</w:t>
      </w:r>
      <w:r>
        <w:rPr>
          <w:rFonts w:ascii="Times New Roman" w:hAnsi="Times New Roman" w:cs="Times New Roman"/>
          <w:i/>
          <w:sz w:val="24"/>
          <w:szCs w:val="24"/>
        </w:rPr>
        <w:t xml:space="preserve"> scaH::tetM</w:t>
      </w:r>
      <w:r>
        <w:rPr>
          <w:rFonts w:ascii="Times New Roman" w:hAnsi="Times New Roman" w:cs="Times New Roman"/>
          <w:sz w:val="24"/>
          <w:szCs w:val="24"/>
        </w:rPr>
        <w:t xml:space="preserve"> SA2297</w:t>
      </w:r>
      <w:r>
        <w:rPr>
          <w:rFonts w:ascii="Times New Roman" w:hAnsi="Times New Roman" w:cs="Times New Roman"/>
          <w:i/>
          <w:sz w:val="24"/>
          <w:szCs w:val="24"/>
        </w:rPr>
        <w:t xml:space="preserve">::tetL </w:t>
      </w:r>
      <w:r>
        <w:rPr>
          <w:rFonts w:ascii="Times New Roman" w:hAnsi="Times New Roman" w:cs="Times New Roman"/>
          <w:sz w:val="24"/>
          <w:szCs w:val="24"/>
        </w:rPr>
        <w:t>pGL485)</w:t>
      </w:r>
      <w:r>
        <w:rPr>
          <w:rFonts w:ascii="Times New Roman" w:hAnsi="Times New Roman" w:cs="Times New Roman"/>
          <w:sz w:val="24"/>
          <w:szCs w:val="24"/>
          <w:vertAlign w:val="superscript"/>
        </w:rPr>
        <w:t>2</w:t>
      </w:r>
      <w:r>
        <w:rPr>
          <w:rFonts w:ascii="Times New Roman" w:hAnsi="Times New Roman" w:cs="Times New Roman"/>
          <w:sz w:val="24"/>
          <w:szCs w:val="24"/>
        </w:rPr>
        <w:t xml:space="preserve"> and SJF4094 (SH1000 P</w:t>
      </w:r>
      <w:r>
        <w:rPr>
          <w:rFonts w:ascii="Times New Roman" w:hAnsi="Times New Roman" w:cs="Times New Roman"/>
          <w:sz w:val="24"/>
          <w:szCs w:val="24"/>
          <w:vertAlign w:val="subscript"/>
        </w:rPr>
        <w:t>spac</w:t>
      </w:r>
      <w:r>
        <w:rPr>
          <w:rFonts w:ascii="Times New Roman" w:hAnsi="Times New Roman" w:cs="Times New Roman"/>
          <w:sz w:val="24"/>
          <w:szCs w:val="24"/>
        </w:rPr>
        <w:t>-</w:t>
      </w:r>
      <w:r>
        <w:rPr>
          <w:rFonts w:ascii="Times New Roman" w:hAnsi="Times New Roman" w:cs="Times New Roman"/>
          <w:i/>
          <w:sz w:val="24"/>
          <w:szCs w:val="24"/>
        </w:rPr>
        <w:t xml:space="preserve">sagB </w:t>
      </w:r>
      <w:r>
        <w:rPr>
          <w:rFonts w:ascii="Times New Roman" w:hAnsi="Times New Roman" w:cs="Times New Roman"/>
          <w:sz w:val="24"/>
          <w:szCs w:val="24"/>
        </w:rPr>
        <w:t>Δ</w:t>
      </w:r>
      <w:r>
        <w:rPr>
          <w:rFonts w:ascii="Times New Roman" w:hAnsi="Times New Roman" w:cs="Times New Roman"/>
          <w:i/>
          <w:sz w:val="24"/>
          <w:szCs w:val="24"/>
        </w:rPr>
        <w:t xml:space="preserve">atl::spc </w:t>
      </w:r>
      <w:r>
        <w:rPr>
          <w:rFonts w:ascii="Times New Roman" w:hAnsi="Times New Roman" w:cs="Times New Roman"/>
          <w:i/>
          <w:color w:val="000000" w:themeColor="text1"/>
          <w:sz w:val="24"/>
          <w:szCs w:val="24"/>
        </w:rPr>
        <w:t>scaH::tetM</w:t>
      </w:r>
      <w:r>
        <w:rPr>
          <w:rFonts w:ascii="Times New Roman" w:hAnsi="Times New Roman" w:cs="Times New Roman"/>
          <w:color w:val="000000" w:themeColor="text1"/>
          <w:sz w:val="24"/>
          <w:szCs w:val="24"/>
        </w:rPr>
        <w:t xml:space="preserve"> SA2297</w:t>
      </w:r>
      <w:r>
        <w:rPr>
          <w:rFonts w:ascii="Times New Roman" w:hAnsi="Times New Roman" w:cs="Times New Roman"/>
          <w:i/>
          <w:color w:val="000000" w:themeColor="text1"/>
          <w:sz w:val="24"/>
          <w:szCs w:val="24"/>
        </w:rPr>
        <w:t xml:space="preserve">::tetL </w:t>
      </w:r>
      <w:r>
        <w:rPr>
          <w:rFonts w:ascii="Times New Roman" w:hAnsi="Times New Roman" w:cs="Times New Roman"/>
          <w:color w:val="000000" w:themeColor="text1"/>
          <w:sz w:val="24"/>
          <w:szCs w:val="24"/>
        </w:rPr>
        <w:t>pGL485)</w:t>
      </w:r>
      <w:r>
        <w:rPr>
          <w:rFonts w:ascii="Times New Roman" w:hAnsi="Times New Roman" w:cs="Times New Roman"/>
          <w:color w:val="000000" w:themeColor="text1"/>
          <w:sz w:val="24"/>
          <w:szCs w:val="24"/>
          <w:vertAlign w:val="superscript"/>
        </w:rPr>
        <w:t>3</w:t>
      </w:r>
      <w:r>
        <w:rPr>
          <w:rFonts w:ascii="Times New Roman" w:hAnsi="Times New Roman" w:cs="Times New Roman"/>
          <w:color w:val="000000" w:themeColor="text1"/>
          <w:sz w:val="24"/>
          <w:szCs w:val="24"/>
        </w:rPr>
        <w:t xml:space="preserve"> with IPTG induction of </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had an intermediate distribution (Figure 5.11E). </w:t>
      </w:r>
    </w:p>
    <w:p w:rsidR="007F78F1" w:rsidRDefault="007F78F1" w:rsidP="007F78F1">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To determine whether the mutants displayed altered cell size, cells were grouped by stage of the cell cycle (as defined in Figure 5.11B), and the size distribution for each group compared by measuring the cell area through the middle z-plane. Measurement of the mid-plane area permitted comparison of spherical and non-spherical cells, for which volumes could not be calculated accurately. Although the size distribution was generally broad, there was a tendency towards a slightly decreased cell size in the inducible mutant, in the presence or absence of IPTG (Figure 5.11F). Average cell sizes are provided in Table 5.3. For individual, well-separated cells displaying an incomplete septum or complete septum without splitting, the decrease in cell size for the SJF4094 (SH1000 P</w:t>
      </w:r>
      <w:r>
        <w:rPr>
          <w:rFonts w:ascii="Times New Roman" w:hAnsi="Times New Roman" w:cs="Times New Roman"/>
          <w:color w:val="000000" w:themeColor="text1"/>
          <w:sz w:val="24"/>
          <w:szCs w:val="24"/>
          <w:vertAlign w:val="subscript"/>
        </w:rPr>
        <w:t>spac</w:t>
      </w:r>
      <w:r>
        <w:rPr>
          <w:rFonts w:ascii="Times New Roman" w:hAnsi="Times New Roman" w:cs="Times New Roman"/>
          <w:color w:val="000000" w:themeColor="text1"/>
          <w:sz w:val="24"/>
          <w:szCs w:val="24"/>
        </w:rPr>
        <w:t>-</w:t>
      </w:r>
      <w:r>
        <w:rPr>
          <w:rFonts w:ascii="Times New Roman" w:hAnsi="Times New Roman" w:cs="Times New Roman"/>
          <w:i/>
          <w:color w:val="000000" w:themeColor="text1"/>
          <w:sz w:val="24"/>
          <w:szCs w:val="24"/>
        </w:rPr>
        <w:t xml:space="preserve">sagB </w:t>
      </w:r>
      <w:r>
        <w:rPr>
          <w:rFonts w:ascii="Times New Roman" w:hAnsi="Times New Roman" w:cs="Times New Roman"/>
          <w:color w:val="000000" w:themeColor="text1"/>
          <w:sz w:val="24"/>
          <w:szCs w:val="24"/>
        </w:rPr>
        <w:t>Δ</w:t>
      </w:r>
      <w:r>
        <w:rPr>
          <w:rFonts w:ascii="Times New Roman" w:hAnsi="Times New Roman" w:cs="Times New Roman"/>
          <w:i/>
          <w:color w:val="000000" w:themeColor="text1"/>
          <w:sz w:val="24"/>
          <w:szCs w:val="24"/>
        </w:rPr>
        <w:t>atl::spc scaH::tetM</w:t>
      </w:r>
      <w:r>
        <w:rPr>
          <w:rFonts w:ascii="Times New Roman" w:hAnsi="Times New Roman" w:cs="Times New Roman"/>
          <w:color w:val="000000" w:themeColor="text1"/>
          <w:sz w:val="24"/>
          <w:szCs w:val="24"/>
        </w:rPr>
        <w:t xml:space="preserve"> SA2297</w:t>
      </w:r>
      <w:r>
        <w:rPr>
          <w:rFonts w:ascii="Times New Roman" w:hAnsi="Times New Roman" w:cs="Times New Roman"/>
          <w:i/>
          <w:color w:val="000000" w:themeColor="text1"/>
          <w:sz w:val="24"/>
          <w:szCs w:val="24"/>
        </w:rPr>
        <w:t xml:space="preserve">::tetL </w:t>
      </w:r>
      <w:r>
        <w:rPr>
          <w:rFonts w:ascii="Times New Roman" w:hAnsi="Times New Roman" w:cs="Times New Roman"/>
          <w:color w:val="000000" w:themeColor="text1"/>
          <w:sz w:val="24"/>
          <w:szCs w:val="24"/>
        </w:rPr>
        <w:t>pGL485)</w:t>
      </w:r>
      <w:r>
        <w:rPr>
          <w:rFonts w:ascii="Times New Roman" w:hAnsi="Times New Roman" w:cs="Times New Roman"/>
          <w:color w:val="000000" w:themeColor="text1"/>
          <w:sz w:val="24"/>
          <w:szCs w:val="24"/>
          <w:vertAlign w:val="superscript"/>
        </w:rPr>
        <w:t>3</w:t>
      </w:r>
      <w:r>
        <w:rPr>
          <w:rFonts w:ascii="Times New Roman" w:hAnsi="Times New Roman" w:cs="Times New Roman"/>
          <w:color w:val="000000" w:themeColor="text1"/>
          <w:sz w:val="24"/>
          <w:szCs w:val="24"/>
        </w:rPr>
        <w:t xml:space="preserve"> strain was statistically significant (Figure 5.11F). For pairs of cells that had initiated splitting at the septum, although there was an apparent trend in decreased cell size, this was only significant for SJF4094 (SH1000 P</w:t>
      </w:r>
      <w:r>
        <w:rPr>
          <w:rFonts w:ascii="Times New Roman" w:hAnsi="Times New Roman" w:cs="Times New Roman"/>
          <w:color w:val="000000" w:themeColor="text1"/>
          <w:sz w:val="24"/>
          <w:szCs w:val="24"/>
          <w:vertAlign w:val="subscript"/>
        </w:rPr>
        <w:t>spac</w:t>
      </w:r>
      <w:r>
        <w:rPr>
          <w:rFonts w:ascii="Times New Roman" w:hAnsi="Times New Roman" w:cs="Times New Roman"/>
          <w:color w:val="000000" w:themeColor="text1"/>
          <w:sz w:val="24"/>
          <w:szCs w:val="24"/>
        </w:rPr>
        <w:t>-</w:t>
      </w:r>
      <w:r>
        <w:rPr>
          <w:rFonts w:ascii="Times New Roman" w:hAnsi="Times New Roman" w:cs="Times New Roman"/>
          <w:i/>
          <w:color w:val="000000" w:themeColor="text1"/>
          <w:sz w:val="24"/>
          <w:szCs w:val="24"/>
        </w:rPr>
        <w:t xml:space="preserve">sagB </w:t>
      </w:r>
      <w:r>
        <w:rPr>
          <w:rFonts w:ascii="Times New Roman" w:hAnsi="Times New Roman" w:cs="Times New Roman"/>
          <w:color w:val="000000" w:themeColor="text1"/>
          <w:sz w:val="24"/>
          <w:szCs w:val="24"/>
        </w:rPr>
        <w:t>Δ</w:t>
      </w:r>
      <w:r>
        <w:rPr>
          <w:rFonts w:ascii="Times New Roman" w:hAnsi="Times New Roman" w:cs="Times New Roman"/>
          <w:i/>
          <w:color w:val="000000" w:themeColor="text1"/>
          <w:sz w:val="24"/>
          <w:szCs w:val="24"/>
        </w:rPr>
        <w:t>atl::spc scaH::tetM</w:t>
      </w:r>
      <w:r>
        <w:rPr>
          <w:rFonts w:ascii="Times New Roman" w:hAnsi="Times New Roman" w:cs="Times New Roman"/>
          <w:color w:val="000000" w:themeColor="text1"/>
          <w:sz w:val="24"/>
          <w:szCs w:val="24"/>
        </w:rPr>
        <w:t xml:space="preserve"> SA2297</w:t>
      </w:r>
      <w:r>
        <w:rPr>
          <w:rFonts w:ascii="Times New Roman" w:hAnsi="Times New Roman" w:cs="Times New Roman"/>
          <w:i/>
          <w:color w:val="000000" w:themeColor="text1"/>
          <w:sz w:val="24"/>
          <w:szCs w:val="24"/>
        </w:rPr>
        <w:t xml:space="preserve">::tetL </w:t>
      </w:r>
      <w:r>
        <w:rPr>
          <w:rFonts w:ascii="Times New Roman" w:hAnsi="Times New Roman" w:cs="Times New Roman"/>
          <w:color w:val="000000" w:themeColor="text1"/>
          <w:sz w:val="24"/>
          <w:szCs w:val="24"/>
        </w:rPr>
        <w:t>pGL485)</w:t>
      </w:r>
      <w:r>
        <w:rPr>
          <w:rFonts w:ascii="Times New Roman" w:hAnsi="Times New Roman" w:cs="Times New Roman"/>
          <w:color w:val="000000" w:themeColor="text1"/>
          <w:sz w:val="24"/>
          <w:szCs w:val="24"/>
          <w:vertAlign w:val="superscript"/>
        </w:rPr>
        <w:t>3</w:t>
      </w:r>
      <w:r>
        <w:rPr>
          <w:rFonts w:ascii="Times New Roman" w:hAnsi="Times New Roman" w:cs="Times New Roman"/>
          <w:color w:val="000000" w:themeColor="text1"/>
          <w:sz w:val="24"/>
          <w:szCs w:val="24"/>
        </w:rPr>
        <w:t xml:space="preserve"> in the presence of IPTG. No significant difference was observed in paired cells exhibiting orthogonal new growth. </w:t>
      </w:r>
    </w:p>
    <w:p w:rsidR="007F78F1" w:rsidRDefault="007F78F1" w:rsidP="007F78F1">
      <w:pPr>
        <w:spacing w:before="480"/>
        <w:rPr>
          <w:rFonts w:ascii="Times New Roman" w:hAnsi="Times New Roman" w:cs="Times New Roman"/>
          <w:b/>
          <w:color w:val="000000" w:themeColor="text1"/>
          <w:sz w:val="24"/>
          <w:szCs w:val="24"/>
        </w:rPr>
      </w:pPr>
      <w:r>
        <w:rPr>
          <w:rFonts w:ascii="Times New Roman" w:hAnsi="Times New Roman" w:cs="Times New Roman"/>
          <w:color w:val="000000" w:themeColor="text1"/>
          <w:sz w:val="28"/>
          <w:szCs w:val="28"/>
        </w:rPr>
        <w:t>5.2.9</w:t>
      </w:r>
      <w:r>
        <w:rPr>
          <w:rFonts w:ascii="Times New Roman" w:hAnsi="Times New Roman" w:cs="Times New Roman"/>
          <w:color w:val="000000" w:themeColor="text1"/>
          <w:sz w:val="28"/>
          <w:szCs w:val="28"/>
        </w:rPr>
        <w:tab/>
      </w:r>
      <w:r>
        <w:rPr>
          <w:rFonts w:ascii="Times New Roman" w:hAnsi="Times New Roman" w:cs="Times New Roman"/>
          <w:color w:val="000000" w:themeColor="text1"/>
          <w:sz w:val="28"/>
          <w:szCs w:val="28"/>
        </w:rPr>
        <w:tab/>
        <w:t>Fine cell wall architecture of a conditional quadruple mutant</w:t>
      </w:r>
    </w:p>
    <w:p w:rsidR="007F78F1" w:rsidRDefault="007F78F1" w:rsidP="007F78F1">
      <w:pPr>
        <w:spacing w:after="120" w:line="48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5.2.9.1</w:t>
      </w:r>
      <w:r>
        <w:rPr>
          <w:rFonts w:ascii="Times New Roman" w:hAnsi="Times New Roman" w:cs="Times New Roman"/>
          <w:color w:val="000000" w:themeColor="text1"/>
          <w:sz w:val="28"/>
          <w:szCs w:val="28"/>
        </w:rPr>
        <w:tab/>
        <w:t>Electron microscopy of a conditional quadruple mutant</w:t>
      </w:r>
    </w:p>
    <w:p w:rsidR="007F78F1" w:rsidRDefault="007F78F1" w:rsidP="007F78F1">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The morphology and cell wall architecture of SJF4094 (SH1000 P</w:t>
      </w:r>
      <w:r>
        <w:rPr>
          <w:rFonts w:ascii="Times New Roman" w:hAnsi="Times New Roman" w:cs="Times New Roman"/>
          <w:color w:val="000000" w:themeColor="text1"/>
          <w:sz w:val="24"/>
          <w:szCs w:val="24"/>
          <w:vertAlign w:val="subscript"/>
        </w:rPr>
        <w:t>spac</w:t>
      </w:r>
      <w:r>
        <w:rPr>
          <w:rFonts w:ascii="Times New Roman" w:hAnsi="Times New Roman" w:cs="Times New Roman"/>
          <w:color w:val="000000" w:themeColor="text1"/>
          <w:sz w:val="24"/>
          <w:szCs w:val="24"/>
        </w:rPr>
        <w:t>-</w:t>
      </w:r>
      <w:r>
        <w:rPr>
          <w:rFonts w:ascii="Times New Roman" w:hAnsi="Times New Roman" w:cs="Times New Roman"/>
          <w:i/>
          <w:color w:val="000000" w:themeColor="text1"/>
          <w:sz w:val="24"/>
          <w:szCs w:val="24"/>
        </w:rPr>
        <w:t xml:space="preserve">sagB </w:t>
      </w:r>
      <w:r>
        <w:rPr>
          <w:rFonts w:ascii="Times New Roman" w:hAnsi="Times New Roman" w:cs="Times New Roman"/>
          <w:color w:val="000000" w:themeColor="text1"/>
          <w:sz w:val="24"/>
          <w:szCs w:val="24"/>
        </w:rPr>
        <w:t>Δ</w:t>
      </w:r>
      <w:r>
        <w:rPr>
          <w:rFonts w:ascii="Times New Roman" w:hAnsi="Times New Roman" w:cs="Times New Roman"/>
          <w:i/>
          <w:color w:val="000000" w:themeColor="text1"/>
          <w:sz w:val="24"/>
          <w:szCs w:val="24"/>
        </w:rPr>
        <w:t>atl::spc scaH::tetM</w:t>
      </w:r>
      <w:r>
        <w:rPr>
          <w:rFonts w:ascii="Times New Roman" w:hAnsi="Times New Roman" w:cs="Times New Roman"/>
          <w:color w:val="000000" w:themeColor="text1"/>
          <w:sz w:val="24"/>
          <w:szCs w:val="24"/>
        </w:rPr>
        <w:t xml:space="preserve"> SA2297</w:t>
      </w:r>
      <w:r>
        <w:rPr>
          <w:rFonts w:ascii="Times New Roman" w:hAnsi="Times New Roman" w:cs="Times New Roman"/>
          <w:i/>
          <w:color w:val="000000" w:themeColor="text1"/>
          <w:sz w:val="24"/>
          <w:szCs w:val="24"/>
        </w:rPr>
        <w:t xml:space="preserve">::tetL </w:t>
      </w:r>
      <w:r>
        <w:rPr>
          <w:rFonts w:ascii="Times New Roman" w:hAnsi="Times New Roman" w:cs="Times New Roman"/>
          <w:color w:val="000000" w:themeColor="text1"/>
          <w:sz w:val="24"/>
          <w:szCs w:val="24"/>
        </w:rPr>
        <w:t>pGL485)</w:t>
      </w:r>
      <w:r>
        <w:rPr>
          <w:rFonts w:ascii="Times New Roman" w:hAnsi="Times New Roman" w:cs="Times New Roman"/>
          <w:color w:val="000000" w:themeColor="text1"/>
          <w:sz w:val="24"/>
          <w:szCs w:val="24"/>
          <w:vertAlign w:val="superscript"/>
        </w:rPr>
        <w:t>3</w:t>
      </w:r>
      <w:r>
        <w:rPr>
          <w:rFonts w:ascii="Times New Roman" w:hAnsi="Times New Roman" w:cs="Times New Roman"/>
          <w:color w:val="000000" w:themeColor="text1"/>
          <w:sz w:val="24"/>
          <w:szCs w:val="24"/>
        </w:rPr>
        <w:t xml:space="preserve"> was further investigated by electron microscopy.</w:t>
      </w:r>
      <w:r>
        <w:rPr>
          <w:rFonts w:ascii="Times New Roman" w:hAnsi="Times New Roman" w:cs="Times New Roman"/>
          <w:i/>
          <w:color w:val="000000" w:themeColor="text1"/>
          <w:sz w:val="24"/>
          <w:szCs w:val="24"/>
        </w:rPr>
        <w:t xml:space="preserve"> </w:t>
      </w:r>
      <w:r>
        <w:rPr>
          <w:rFonts w:ascii="Times New Roman" w:hAnsi="Times New Roman" w:cs="Times New Roman"/>
          <w:color w:val="000000" w:themeColor="text1"/>
          <w:sz w:val="24"/>
          <w:szCs w:val="24"/>
        </w:rPr>
        <w:lastRenderedPageBreak/>
        <w:t>Parental VF17 (SH1000 pGL485) cells had a smooth surface by scanning electron</w:t>
      </w:r>
      <w:r>
        <w:rPr>
          <w:rFonts w:ascii="Times New Roman" w:hAnsi="Times New Roman" w:cs="Times New Roman"/>
          <w:sz w:val="24"/>
          <w:szCs w:val="24"/>
        </w:rPr>
        <w:t xml:space="preserve"> microscopy (SEM), and were present as single spherical cells or pairs of dividing cells </w:t>
      </w:r>
      <w:r>
        <w:rPr>
          <w:rFonts w:ascii="Times New Roman" w:hAnsi="Times New Roman" w:cs="Times New Roman"/>
          <w:color w:val="000000" w:themeColor="text1"/>
          <w:sz w:val="24"/>
          <w:szCs w:val="24"/>
        </w:rPr>
        <w:t>(Figure 5.12A). SJF4094 (SH1000 P</w:t>
      </w:r>
      <w:r>
        <w:rPr>
          <w:rFonts w:ascii="Times New Roman" w:hAnsi="Times New Roman" w:cs="Times New Roman"/>
          <w:color w:val="000000" w:themeColor="text1"/>
          <w:sz w:val="24"/>
          <w:szCs w:val="24"/>
          <w:vertAlign w:val="subscript"/>
        </w:rPr>
        <w:t>spac</w:t>
      </w:r>
      <w:r>
        <w:rPr>
          <w:rFonts w:ascii="Times New Roman" w:hAnsi="Times New Roman" w:cs="Times New Roman"/>
          <w:color w:val="000000" w:themeColor="text1"/>
          <w:sz w:val="24"/>
          <w:szCs w:val="24"/>
        </w:rPr>
        <w:t>-</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Δ</w:t>
      </w:r>
      <w:r>
        <w:rPr>
          <w:rFonts w:ascii="Times New Roman" w:hAnsi="Times New Roman" w:cs="Times New Roman"/>
          <w:i/>
          <w:color w:val="000000" w:themeColor="text1"/>
          <w:sz w:val="24"/>
          <w:szCs w:val="24"/>
        </w:rPr>
        <w:t>atl::spc scaH::tetM</w:t>
      </w:r>
      <w:r>
        <w:rPr>
          <w:rFonts w:ascii="Times New Roman" w:hAnsi="Times New Roman" w:cs="Times New Roman"/>
          <w:color w:val="000000" w:themeColor="text1"/>
          <w:sz w:val="24"/>
          <w:szCs w:val="24"/>
        </w:rPr>
        <w:t xml:space="preserve"> SA2297</w:t>
      </w:r>
      <w:r>
        <w:rPr>
          <w:rFonts w:ascii="Times New Roman" w:hAnsi="Times New Roman" w:cs="Times New Roman"/>
          <w:i/>
          <w:color w:val="000000" w:themeColor="text1"/>
          <w:sz w:val="24"/>
          <w:szCs w:val="24"/>
        </w:rPr>
        <w:t xml:space="preserve">::tetL </w:t>
      </w:r>
      <w:r>
        <w:rPr>
          <w:rFonts w:ascii="Times New Roman" w:hAnsi="Times New Roman" w:cs="Times New Roman"/>
          <w:color w:val="000000" w:themeColor="text1"/>
          <w:sz w:val="24"/>
          <w:szCs w:val="24"/>
        </w:rPr>
        <w:t>pGL485)</w:t>
      </w:r>
      <w:r>
        <w:rPr>
          <w:rFonts w:ascii="Times New Roman" w:hAnsi="Times New Roman" w:cs="Times New Roman"/>
          <w:color w:val="000000" w:themeColor="text1"/>
          <w:sz w:val="24"/>
          <w:szCs w:val="24"/>
          <w:vertAlign w:val="superscript"/>
        </w:rPr>
        <w:t>3</w:t>
      </w:r>
      <w:r>
        <w:rPr>
          <w:rFonts w:ascii="Times New Roman" w:hAnsi="Times New Roman" w:cs="Times New Roman"/>
          <w:color w:val="000000" w:themeColor="text1"/>
          <w:sz w:val="24"/>
          <w:szCs w:val="24"/>
        </w:rPr>
        <w:t xml:space="preserve"> (without IPTG induction) formed irregular, hemispherical-shaped cells and multicellular clusters (Figure 5.12B). As expected, the nascent cell wall of the SJF4094 (SH1000 P</w:t>
      </w:r>
      <w:r>
        <w:rPr>
          <w:rFonts w:ascii="Times New Roman" w:hAnsi="Times New Roman" w:cs="Times New Roman"/>
          <w:color w:val="000000" w:themeColor="text1"/>
          <w:sz w:val="24"/>
          <w:szCs w:val="24"/>
          <w:vertAlign w:val="subscript"/>
        </w:rPr>
        <w:t>spac</w:t>
      </w:r>
      <w:r>
        <w:rPr>
          <w:rFonts w:ascii="Times New Roman" w:hAnsi="Times New Roman" w:cs="Times New Roman"/>
          <w:color w:val="000000" w:themeColor="text1"/>
          <w:sz w:val="24"/>
          <w:szCs w:val="24"/>
        </w:rPr>
        <w:t>-</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Δ</w:t>
      </w:r>
      <w:r>
        <w:rPr>
          <w:rFonts w:ascii="Times New Roman" w:hAnsi="Times New Roman" w:cs="Times New Roman"/>
          <w:i/>
          <w:color w:val="000000" w:themeColor="text1"/>
          <w:sz w:val="24"/>
          <w:szCs w:val="24"/>
        </w:rPr>
        <w:t>atl::spc scaH::tetM</w:t>
      </w:r>
      <w:r>
        <w:rPr>
          <w:rFonts w:ascii="Times New Roman" w:hAnsi="Times New Roman" w:cs="Times New Roman"/>
          <w:color w:val="000000" w:themeColor="text1"/>
          <w:sz w:val="24"/>
          <w:szCs w:val="24"/>
        </w:rPr>
        <w:t xml:space="preserve"> SA2297</w:t>
      </w:r>
      <w:r>
        <w:rPr>
          <w:rFonts w:ascii="Times New Roman" w:hAnsi="Times New Roman" w:cs="Times New Roman"/>
          <w:i/>
          <w:color w:val="000000" w:themeColor="text1"/>
          <w:sz w:val="24"/>
          <w:szCs w:val="24"/>
        </w:rPr>
        <w:t xml:space="preserve">::tetL </w:t>
      </w:r>
      <w:r>
        <w:rPr>
          <w:rFonts w:ascii="Times New Roman" w:hAnsi="Times New Roman" w:cs="Times New Roman"/>
          <w:color w:val="000000" w:themeColor="text1"/>
          <w:sz w:val="24"/>
          <w:szCs w:val="24"/>
        </w:rPr>
        <w:t>pGL485)</w:t>
      </w:r>
      <w:r>
        <w:rPr>
          <w:rFonts w:ascii="Times New Roman" w:hAnsi="Times New Roman" w:cs="Times New Roman"/>
          <w:color w:val="000000" w:themeColor="text1"/>
          <w:sz w:val="24"/>
          <w:szCs w:val="24"/>
          <w:vertAlign w:val="superscript"/>
        </w:rPr>
        <w:t>3</w:t>
      </w:r>
      <w:r>
        <w:rPr>
          <w:rFonts w:ascii="Times New Roman" w:hAnsi="Times New Roman" w:cs="Times New Roman"/>
          <w:color w:val="000000" w:themeColor="text1"/>
          <w:sz w:val="24"/>
          <w:szCs w:val="24"/>
        </w:rPr>
        <w:t xml:space="preserve"> strain was smooth. The mature hemisphere however, was very rough with large protrusions of wall material. Thick ribs of material intersecting on orthogonal planes were often visible on the cell surface (Figure 5.12B). Pitted scars were also observed (Figure 5.12B, bottom left). The SJF4094 strain expressing SagB under IPTG induction, and the SJF4092 triple mutant had a similar, but less severe phenotype compared to SJF4094 without IPTG induction of SagB (Figure 5.12 C and D). SJF4092 in particular had a smoother cell surface.</w:t>
      </w:r>
    </w:p>
    <w:p w:rsidR="007F78F1" w:rsidRDefault="007F78F1" w:rsidP="007F78F1">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Thin sections were examined by transmission electron microscopy (TEM). VF17 (SH1000 pGL485) cells had well defined cell walls which were smooth at the opposing faces of daughter cells (nascent cell wall) and rougher across the mature cell wall (Figure 5.13A). The rough cell wall had the appearance of short, fine hairs which were evenly distributed across the surface. Individual spherical cells and separating hemispherical pairs of daughter cells were observed. In some cases the separating daughter cells had initiated crosswall synthesis on the next orthogonal plane. In the absence of SagB induction with IPTG, SJF4094 (SH1000 P</w:t>
      </w:r>
      <w:r>
        <w:rPr>
          <w:rFonts w:ascii="Times New Roman" w:hAnsi="Times New Roman" w:cs="Times New Roman"/>
          <w:color w:val="000000" w:themeColor="text1"/>
          <w:sz w:val="24"/>
          <w:szCs w:val="24"/>
          <w:vertAlign w:val="subscript"/>
        </w:rPr>
        <w:t>spac</w:t>
      </w:r>
      <w:r>
        <w:rPr>
          <w:rFonts w:ascii="Times New Roman" w:hAnsi="Times New Roman" w:cs="Times New Roman"/>
          <w:color w:val="000000" w:themeColor="text1"/>
          <w:sz w:val="24"/>
          <w:szCs w:val="24"/>
        </w:rPr>
        <w:t>-</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Δ</w:t>
      </w:r>
      <w:r>
        <w:rPr>
          <w:rFonts w:ascii="Times New Roman" w:hAnsi="Times New Roman" w:cs="Times New Roman"/>
          <w:i/>
          <w:color w:val="000000" w:themeColor="text1"/>
          <w:sz w:val="24"/>
          <w:szCs w:val="24"/>
        </w:rPr>
        <w:t>atl::spc scaH::tetM</w:t>
      </w:r>
      <w:r>
        <w:rPr>
          <w:rFonts w:ascii="Times New Roman" w:hAnsi="Times New Roman" w:cs="Times New Roman"/>
          <w:color w:val="000000" w:themeColor="text1"/>
          <w:sz w:val="24"/>
          <w:szCs w:val="24"/>
        </w:rPr>
        <w:t xml:space="preserve"> SA2297</w:t>
      </w:r>
      <w:r>
        <w:rPr>
          <w:rFonts w:ascii="Times New Roman" w:hAnsi="Times New Roman" w:cs="Times New Roman"/>
          <w:i/>
          <w:color w:val="000000" w:themeColor="text1"/>
          <w:sz w:val="24"/>
          <w:szCs w:val="24"/>
        </w:rPr>
        <w:t xml:space="preserve">::tetL </w:t>
      </w:r>
      <w:r>
        <w:rPr>
          <w:rFonts w:ascii="Times New Roman" w:hAnsi="Times New Roman" w:cs="Times New Roman"/>
          <w:color w:val="000000" w:themeColor="text1"/>
          <w:sz w:val="24"/>
          <w:szCs w:val="24"/>
        </w:rPr>
        <w:t>pGL485)</w:t>
      </w:r>
      <w:r>
        <w:rPr>
          <w:rFonts w:ascii="Times New Roman" w:hAnsi="Times New Roman" w:cs="Times New Roman"/>
          <w:color w:val="000000" w:themeColor="text1"/>
          <w:sz w:val="24"/>
          <w:szCs w:val="24"/>
          <w:vertAlign w:val="superscript"/>
        </w:rPr>
        <w:t>3</w:t>
      </w:r>
      <w:r>
        <w:rPr>
          <w:rFonts w:ascii="Times New Roman" w:hAnsi="Times New Roman" w:cs="Times New Roman"/>
          <w:color w:val="000000" w:themeColor="text1"/>
          <w:sz w:val="24"/>
          <w:szCs w:val="24"/>
        </w:rPr>
        <w:t xml:space="preserve"> cells were present in clusters of hemispherical cells with completed cross-walls on multiple orthogonal planes (Figure 5.13B). The outer surface of the mature wall was very rough, and had the appearance of thick irregular outgrowths of material rather than the fine structure of the VF17 parent. Long fibrous </w:t>
      </w:r>
    </w:p>
    <w:p w:rsidR="007F78F1" w:rsidRDefault="007F78F1" w:rsidP="007F78F1">
      <w:pPr>
        <w:spacing w:after="0" w:line="480" w:lineRule="auto"/>
        <w:rPr>
          <w:rFonts w:ascii="Times New Roman" w:hAnsi="Times New Roman" w:cs="Times New Roman"/>
          <w:color w:val="000000" w:themeColor="text1"/>
          <w:sz w:val="24"/>
          <w:szCs w:val="24"/>
        </w:rPr>
        <w:sectPr w:rsidR="007F78F1">
          <w:type w:val="continuous"/>
          <w:pgSz w:w="11906" w:h="16838"/>
          <w:pgMar w:top="1440" w:right="1134" w:bottom="1440" w:left="2268" w:header="709" w:footer="709" w:gutter="0"/>
          <w:cols w:space="720"/>
        </w:sectPr>
      </w:pPr>
    </w:p>
    <w:p w:rsidR="007F78F1" w:rsidRDefault="007F78F1" w:rsidP="007F78F1">
      <w:pPr>
        <w:spacing w:line="480" w:lineRule="auto"/>
        <w:jc w:val="both"/>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5272405" cy="8858885"/>
            <wp:effectExtent l="19050" t="0" r="4445" b="0"/>
            <wp:docPr id="91" name="Picture 4" descr="Figure 5 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 5 A-D.png"/>
                    <pic:cNvPicPr>
                      <a:picLocks noChangeAspect="1" noChangeArrowheads="1"/>
                    </pic:cNvPicPr>
                  </pic:nvPicPr>
                  <pic:blipFill>
                    <a:blip r:embed="rId99" cstate="print"/>
                    <a:srcRect/>
                    <a:stretch>
                      <a:fillRect/>
                    </a:stretch>
                  </pic:blipFill>
                  <pic:spPr bwMode="auto">
                    <a:xfrm>
                      <a:off x="0" y="0"/>
                      <a:ext cx="5272405" cy="8858885"/>
                    </a:xfrm>
                    <a:prstGeom prst="rect">
                      <a:avLst/>
                    </a:prstGeom>
                    <a:noFill/>
                    <a:ln w="9525">
                      <a:noFill/>
                      <a:miter lim="800000"/>
                      <a:headEnd/>
                      <a:tailEnd/>
                    </a:ln>
                  </pic:spPr>
                </pic:pic>
              </a:graphicData>
            </a:graphic>
          </wp:inline>
        </w:drawing>
      </w:r>
    </w:p>
    <w:p w:rsidR="007F78F1" w:rsidRDefault="007F78F1" w:rsidP="007F78F1">
      <w:pPr>
        <w:spacing w:line="480" w:lineRule="auto"/>
        <w:jc w:val="both"/>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5106670" cy="8633460"/>
            <wp:effectExtent l="19050" t="0" r="0" b="0"/>
            <wp:docPr id="90" name="Picture 19" descr="Figure 5-12 EF redra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gure 5-12 EF redraft.png"/>
                    <pic:cNvPicPr>
                      <a:picLocks noChangeAspect="1" noChangeArrowheads="1"/>
                    </pic:cNvPicPr>
                  </pic:nvPicPr>
                  <pic:blipFill>
                    <a:blip r:embed="rId100" cstate="print"/>
                    <a:srcRect/>
                    <a:stretch>
                      <a:fillRect/>
                    </a:stretch>
                  </pic:blipFill>
                  <pic:spPr bwMode="auto">
                    <a:xfrm>
                      <a:off x="0" y="0"/>
                      <a:ext cx="5106670" cy="8633460"/>
                    </a:xfrm>
                    <a:prstGeom prst="rect">
                      <a:avLst/>
                    </a:prstGeom>
                    <a:noFill/>
                    <a:ln w="9525">
                      <a:noFill/>
                      <a:miter lim="800000"/>
                      <a:headEnd/>
                      <a:tailEnd/>
                    </a:ln>
                  </pic:spPr>
                </pic:pic>
              </a:graphicData>
            </a:graphic>
          </wp:inline>
        </w:drawing>
      </w:r>
    </w:p>
    <w:p w:rsidR="007F78F1" w:rsidRDefault="007F78F1" w:rsidP="007F78F1">
      <w:pPr>
        <w:spacing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Figure 5.11</w:t>
      </w:r>
      <w:r>
        <w:rPr>
          <w:rFonts w:ascii="Times New Roman" w:hAnsi="Times New Roman" w:cs="Times New Roman"/>
          <w:b/>
          <w:sz w:val="24"/>
          <w:szCs w:val="24"/>
        </w:rPr>
        <w:tab/>
        <w:t xml:space="preserve">Morphological analysis of a conditional quadruple mutant devoid of three glucosaminidase activities. </w:t>
      </w:r>
      <w:r>
        <w:rPr>
          <w:rFonts w:ascii="Times New Roman" w:hAnsi="Times New Roman" w:cs="Times New Roman"/>
          <w:sz w:val="24"/>
          <w:szCs w:val="24"/>
        </w:rPr>
        <w:t>(A) Brightfield and Vancomycin-BODIPY labelled fields showing the morphology of VF17 (SH1000 pGL485) and the glucosaminidase mutants SJF4092 (SH1000 Δ</w:t>
      </w:r>
      <w:r>
        <w:rPr>
          <w:rFonts w:ascii="Times New Roman" w:hAnsi="Times New Roman" w:cs="Times New Roman"/>
          <w:i/>
          <w:sz w:val="24"/>
          <w:szCs w:val="24"/>
        </w:rPr>
        <w:t xml:space="preserve">atl::spc scaH::tetM </w:t>
      </w:r>
      <w:r>
        <w:rPr>
          <w:rFonts w:ascii="Times New Roman" w:hAnsi="Times New Roman" w:cs="Times New Roman"/>
          <w:sz w:val="24"/>
          <w:szCs w:val="24"/>
        </w:rPr>
        <w:t>SA2297</w:t>
      </w:r>
      <w:r>
        <w:rPr>
          <w:rFonts w:ascii="Times New Roman" w:hAnsi="Times New Roman" w:cs="Times New Roman"/>
          <w:i/>
          <w:sz w:val="24"/>
          <w:szCs w:val="24"/>
        </w:rPr>
        <w:t>::tetL</w:t>
      </w:r>
      <w:r>
        <w:rPr>
          <w:rFonts w:ascii="Times New Roman" w:hAnsi="Times New Roman" w:cs="Times New Roman"/>
          <w:sz w:val="24"/>
          <w:szCs w:val="24"/>
        </w:rPr>
        <w:t xml:space="preserve"> pGL485)</w:t>
      </w:r>
      <w:r>
        <w:rPr>
          <w:rFonts w:ascii="Times New Roman" w:hAnsi="Times New Roman" w:cs="Times New Roman"/>
          <w:sz w:val="24"/>
          <w:szCs w:val="24"/>
          <w:vertAlign w:val="superscript"/>
        </w:rPr>
        <w:t>2</w:t>
      </w:r>
      <w:r>
        <w:rPr>
          <w:rFonts w:ascii="Times New Roman" w:hAnsi="Times New Roman" w:cs="Times New Roman"/>
          <w:sz w:val="24"/>
          <w:szCs w:val="24"/>
        </w:rPr>
        <w:t xml:space="preserve"> and SJF4094 (SH1000 P</w:t>
      </w:r>
      <w:r>
        <w:rPr>
          <w:rFonts w:ascii="Times New Roman" w:hAnsi="Times New Roman" w:cs="Times New Roman"/>
          <w:sz w:val="24"/>
          <w:szCs w:val="24"/>
          <w:vertAlign w:val="subscript"/>
        </w:rPr>
        <w:t>spac</w:t>
      </w:r>
      <w:r>
        <w:rPr>
          <w:rFonts w:ascii="Times New Roman" w:hAnsi="Times New Roman" w:cs="Times New Roman"/>
          <w:sz w:val="24"/>
          <w:szCs w:val="24"/>
        </w:rPr>
        <w:t>-</w:t>
      </w:r>
      <w:r>
        <w:rPr>
          <w:rFonts w:ascii="Times New Roman" w:hAnsi="Times New Roman" w:cs="Times New Roman"/>
          <w:i/>
          <w:sz w:val="24"/>
          <w:szCs w:val="24"/>
        </w:rPr>
        <w:t xml:space="preserve">sagB </w:t>
      </w:r>
      <w:r>
        <w:rPr>
          <w:rFonts w:ascii="Times New Roman" w:hAnsi="Times New Roman" w:cs="Times New Roman"/>
          <w:sz w:val="24"/>
          <w:szCs w:val="24"/>
        </w:rPr>
        <w:t>Δ</w:t>
      </w:r>
      <w:r>
        <w:rPr>
          <w:rFonts w:ascii="Times New Roman" w:hAnsi="Times New Roman" w:cs="Times New Roman"/>
          <w:i/>
          <w:sz w:val="24"/>
          <w:szCs w:val="24"/>
        </w:rPr>
        <w:t xml:space="preserve">atl::spc scaH::tetM </w:t>
      </w:r>
      <w:r>
        <w:rPr>
          <w:rFonts w:ascii="Times New Roman" w:hAnsi="Times New Roman" w:cs="Times New Roman"/>
          <w:sz w:val="24"/>
          <w:szCs w:val="24"/>
        </w:rPr>
        <w:t>SA2297</w:t>
      </w:r>
      <w:r>
        <w:rPr>
          <w:rFonts w:ascii="Times New Roman" w:hAnsi="Times New Roman" w:cs="Times New Roman"/>
          <w:i/>
          <w:sz w:val="24"/>
          <w:szCs w:val="24"/>
        </w:rPr>
        <w:t>::tetL</w:t>
      </w:r>
      <w:r>
        <w:rPr>
          <w:rFonts w:ascii="Times New Roman" w:hAnsi="Times New Roman" w:cs="Times New Roman"/>
          <w:sz w:val="24"/>
          <w:szCs w:val="24"/>
        </w:rPr>
        <w:t xml:space="preserve"> pGL485)</w:t>
      </w:r>
      <w:r>
        <w:rPr>
          <w:rFonts w:ascii="Times New Roman" w:hAnsi="Times New Roman" w:cs="Times New Roman"/>
          <w:sz w:val="24"/>
          <w:szCs w:val="24"/>
          <w:vertAlign w:val="superscript"/>
        </w:rPr>
        <w:t>3</w:t>
      </w:r>
      <w:r>
        <w:rPr>
          <w:rFonts w:ascii="Times New Roman" w:hAnsi="Times New Roman" w:cs="Times New Roman"/>
          <w:sz w:val="24"/>
          <w:szCs w:val="24"/>
        </w:rPr>
        <w:t xml:space="preserve">. The conditional quadruple mutant SJF4094 was grown without IPTG induction (-IPTG) or in the presence of 1mM IPTG (+IPTG). Cells were labelled with Vancomycin-BODIPY conjugate to visualise the cell wall and septa. Scale bars bars 4 µm. (B) Schematic of the cell cycle in </w:t>
      </w:r>
      <w:r>
        <w:rPr>
          <w:rFonts w:ascii="Times New Roman" w:hAnsi="Times New Roman" w:cs="Times New Roman"/>
          <w:i/>
          <w:sz w:val="24"/>
          <w:szCs w:val="24"/>
        </w:rPr>
        <w:t>S. aureus</w:t>
      </w:r>
      <w:r>
        <w:rPr>
          <w:rFonts w:ascii="Times New Roman" w:hAnsi="Times New Roman" w:cs="Times New Roman"/>
          <w:sz w:val="24"/>
          <w:szCs w:val="24"/>
        </w:rPr>
        <w:t xml:space="preserve"> adapted from figure by R.D. Turner (Figure 4.4B)</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{"citationID":"10p6uc4f0t","properties":{"formattedCitation":"(Turner et al., 2010)","plainCitation":"(Turner et al., 2010)"},"citationItems":[{"id":45,"uris":["http://zotero.org/users/944474/items/G32WSWAT"],"uri":["http://zotero.org/users/944474/items/G32WSWAT"],"itemData":{"id":45,"type":"article-journal","title":"Peptidoglycan architecture can specify division planes in Staphylococcus aureus","container-title":"Nature Communications","page":"26","volume":"1","abstract":"Division in Staphylococci occurs equatorially and on specific sequentially orthogonal planes in three dimensions, resulting, after incomplete cell separation, in the 'bunch of grapes' cluster organization that defines the genus. The shape of Staphylococci is principally maintained by peptidoglycan. In this study, we use Atomic Force Microscopy (AFM) and fluorescence microscopy with vancomycin labelling to examine purified peptidoglycan architecture and its dynamics in Staphylococcus aureus and correlate these with the cell cycle. At the presumptive septum, cells were found to form a large belt of peptidoglycan in the division plane before the centripetal formation of the septal disc; this often had a 'piecrust' texture. After division, the structures remain as orthogonal ribs, encoding the location of past division planes in the cell wall. We propose that this epigenetic information is used to enable S. aureus to divide in sequentially orthogonal planes, explaining how a spherical organism can maintain division plane localization with fidelity over many generations.","DOI":"10.1038/ncomms1025","note":"PMID: 20975691","journalAbbreviation":"Nat Commun","author":[{"family":"Turner","given":"Robert D"},{"family":"Ratcliffe","given":"Emma C"},{"family":"Wheeler","given":"Richard"},{"family":"Golestanian","given":"Ramin"},{"family":"Hobbs","given":"Jamie K"},{"family":"Foster","given":"Simon J"}],"issued":{"year":2010},"accessed":{"year":2012,"month":3,"day":6},"page-first":"26"}}],"schema":"https://github.com/citation-style-language/schema/raw/master/csl-citation.json"} </w:instrText>
      </w:r>
      <w:r>
        <w:rPr>
          <w:rFonts w:ascii="Times New Roman" w:hAnsi="Times New Roman" w:cs="Times New Roman"/>
          <w:sz w:val="24"/>
          <w:szCs w:val="24"/>
        </w:rPr>
        <w:fldChar w:fldCharType="end"/>
      </w:r>
      <w:r>
        <w:rPr>
          <w:rFonts w:ascii="Times New Roman" w:hAnsi="Times New Roman" w:cs="Times New Roman"/>
          <w:i/>
          <w:sz w:val="24"/>
          <w:szCs w:val="24"/>
        </w:rPr>
        <w:t xml:space="preserve">. </w:t>
      </w:r>
      <w:r>
        <w:rPr>
          <w:rFonts w:ascii="Times New Roman" w:hAnsi="Times New Roman" w:cs="Times New Roman"/>
          <w:sz w:val="24"/>
          <w:szCs w:val="24"/>
        </w:rPr>
        <w:t xml:space="preserve">The septum is indicated in green. (C) Representative VF17 cells undergoing septation or cell separation. (D) Representative cells of SJF4094 without IPTG induction. A schematic is provided of each cell to aid interpretation. Red lines, the new cell hemisphere, black rings, synthesis on the next orthogonal division plane. (E) Proportion of cells at each stage of the cell cycle as defined in (B). VF17 Total n=349; SJF4094 –IPTG Total n= 368; SJF4094 +IPTG Total n= 374; SJF4092 Total n=313. (F) Mean of cells at different stages of the cell cycle. Cell size was compared by measuring the area through the mid-plane of the cell. Cells were grouped according to stage of the cell cycle, as defined in (B). Significance of difference between means was calculated with respect to the wildtype (VF17) mean of each </w:t>
      </w:r>
      <w:r>
        <w:rPr>
          <w:rFonts w:ascii="Times New Roman" w:hAnsi="Times New Roman" w:cs="Times New Roman"/>
          <w:color w:val="000000" w:themeColor="text1"/>
          <w:sz w:val="24"/>
          <w:szCs w:val="24"/>
        </w:rPr>
        <w:t>group</w:t>
      </w:r>
      <w:proofErr w:type="gramStart"/>
      <w:r>
        <w:rPr>
          <w:rFonts w:ascii="Times New Roman" w:hAnsi="Times New Roman" w:cs="Times New Roman"/>
          <w:color w:val="000000" w:themeColor="text1"/>
          <w:sz w:val="24"/>
          <w:szCs w:val="24"/>
        </w:rPr>
        <w:t>.*</w:t>
      </w:r>
      <w:proofErr w:type="gramEnd"/>
      <w:r>
        <w:rPr>
          <w:rFonts w:ascii="Times New Roman" w:hAnsi="Times New Roman" w:cs="Times New Roman"/>
          <w:color w:val="000000" w:themeColor="text1"/>
          <w:sz w:val="24"/>
          <w:szCs w:val="24"/>
        </w:rPr>
        <w:t>* p&lt;0.005, * p&lt;0.05. For a summary of values underlying the distributions plotted for (E) and (F), see Table 5.3.</w:t>
      </w:r>
      <w:r>
        <w:rPr>
          <w:rFonts w:ascii="Times New Roman" w:hAnsi="Times New Roman" w:cs="Times New Roman"/>
          <w:sz w:val="24"/>
          <w:szCs w:val="24"/>
        </w:rPr>
        <w:tab/>
      </w:r>
    </w:p>
    <w:p w:rsidR="007F78F1" w:rsidRDefault="007F78F1" w:rsidP="007F78F1">
      <w:pPr>
        <w:spacing w:line="360" w:lineRule="auto"/>
        <w:jc w:val="center"/>
        <w:rPr>
          <w:rFonts w:ascii="Times New Roman" w:hAnsi="Times New Roman" w:cs="Times New Roman"/>
          <w:sz w:val="24"/>
          <w:szCs w:val="24"/>
        </w:rPr>
      </w:pPr>
    </w:p>
    <w:p w:rsidR="007F78F1" w:rsidRDefault="007F78F1" w:rsidP="007F78F1">
      <w:pPr>
        <w:spacing w:line="360" w:lineRule="auto"/>
        <w:jc w:val="center"/>
        <w:rPr>
          <w:rFonts w:ascii="Times New Roman" w:hAnsi="Times New Roman" w:cs="Times New Roman"/>
          <w:b/>
          <w:sz w:val="24"/>
          <w:szCs w:val="24"/>
        </w:rPr>
      </w:pPr>
      <w:r>
        <w:rPr>
          <w:rFonts w:ascii="Times New Roman" w:hAnsi="Times New Roman" w:cs="Times New Roman"/>
          <w:b/>
          <w:sz w:val="24"/>
          <w:szCs w:val="24"/>
        </w:rPr>
        <w:br w:type="page"/>
      </w:r>
      <w:r>
        <w:rPr>
          <w:rFonts w:ascii="Times New Roman" w:hAnsi="Times New Roman" w:cs="Times New Roman"/>
          <w:b/>
          <w:sz w:val="24"/>
          <w:szCs w:val="24"/>
        </w:rPr>
        <w:lastRenderedPageBreak/>
        <w:t>VF17</w:t>
      </w:r>
    </w:p>
    <w:tbl>
      <w:tblPr>
        <w:tblStyle w:val="TableGrid"/>
        <w:tblW w:w="0" w:type="auto"/>
        <w:tblLook w:val="04A0"/>
      </w:tblPr>
      <w:tblGrid>
        <w:gridCol w:w="2943"/>
        <w:gridCol w:w="1843"/>
        <w:gridCol w:w="1701"/>
        <w:gridCol w:w="1985"/>
      </w:tblGrid>
      <w:tr w:rsidR="007F78F1" w:rsidTr="007F78F1">
        <w:tc>
          <w:tcPr>
            <w:tcW w:w="2943" w:type="dxa"/>
            <w:tcBorders>
              <w:top w:val="single" w:sz="4" w:space="0" w:color="auto"/>
              <w:left w:val="nil"/>
              <w:bottom w:val="single" w:sz="4" w:space="0" w:color="auto"/>
              <w:right w:val="nil"/>
            </w:tcBorders>
            <w:hideMark/>
          </w:tcPr>
          <w:p w:rsidR="007F78F1" w:rsidRDefault="007F78F1">
            <w:pPr>
              <w:jc w:val="center"/>
              <w:rPr>
                <w:b/>
                <w:sz w:val="24"/>
                <w:szCs w:val="24"/>
              </w:rPr>
            </w:pPr>
            <w:r>
              <w:pict>
                <v:shape id="_x0000_s1064" type="#_x0000_t202" style="position:absolute;left:0;text-align:left;margin-left:-5.75pt;margin-top:-33.4pt;width:29.15pt;height:33.75pt;z-index:251702272;mso-width-relative:margin;mso-height-relative:margin" filled="f" stroked="f">
                  <v:textbox style="mso-next-textbox:#_x0000_s1064">
                    <w:txbxContent>
                      <w:p w:rsidR="007F78F1" w:rsidRDefault="007F78F1" w:rsidP="007F78F1">
                        <w:pPr>
                          <w:rPr>
                            <w:sz w:val="36"/>
                            <w:szCs w:val="36"/>
                          </w:rPr>
                        </w:pPr>
                        <w:r>
                          <w:rPr>
                            <w:rFonts w:ascii="Times New Roman" w:hAnsi="Times New Roman" w:cs="Times New Roman"/>
                            <w:sz w:val="36"/>
                            <w:szCs w:val="36"/>
                          </w:rPr>
                          <w:t>A</w:t>
                        </w:r>
                      </w:p>
                    </w:txbxContent>
                  </v:textbox>
                </v:shape>
              </w:pict>
            </w:r>
            <w:r>
              <w:rPr>
                <w:b/>
                <w:sz w:val="24"/>
                <w:szCs w:val="24"/>
              </w:rPr>
              <w:t>Stage of cell cycle</w:t>
            </w:r>
          </w:p>
        </w:tc>
        <w:tc>
          <w:tcPr>
            <w:tcW w:w="1843" w:type="dxa"/>
            <w:tcBorders>
              <w:top w:val="single" w:sz="4" w:space="0" w:color="auto"/>
              <w:left w:val="nil"/>
              <w:bottom w:val="single" w:sz="4" w:space="0" w:color="auto"/>
              <w:right w:val="nil"/>
            </w:tcBorders>
            <w:hideMark/>
          </w:tcPr>
          <w:p w:rsidR="007F78F1" w:rsidRDefault="007F78F1">
            <w:pPr>
              <w:jc w:val="center"/>
              <w:rPr>
                <w:b/>
                <w:sz w:val="24"/>
                <w:szCs w:val="24"/>
              </w:rPr>
            </w:pPr>
            <w:r>
              <w:rPr>
                <w:b/>
                <w:sz w:val="24"/>
                <w:szCs w:val="24"/>
              </w:rPr>
              <w:t>Average cell size(µm</w:t>
            </w:r>
            <w:r>
              <w:rPr>
                <w:b/>
                <w:sz w:val="24"/>
                <w:szCs w:val="24"/>
                <w:vertAlign w:val="superscript"/>
              </w:rPr>
              <w:t>2</w:t>
            </w:r>
            <w:r>
              <w:rPr>
                <w:b/>
                <w:sz w:val="24"/>
                <w:szCs w:val="24"/>
              </w:rPr>
              <w:t>)</w:t>
            </w:r>
          </w:p>
        </w:tc>
        <w:tc>
          <w:tcPr>
            <w:tcW w:w="1701" w:type="dxa"/>
            <w:tcBorders>
              <w:top w:val="single" w:sz="4" w:space="0" w:color="auto"/>
              <w:left w:val="nil"/>
              <w:bottom w:val="single" w:sz="4" w:space="0" w:color="auto"/>
              <w:right w:val="nil"/>
            </w:tcBorders>
            <w:hideMark/>
          </w:tcPr>
          <w:p w:rsidR="007F78F1" w:rsidRDefault="007F78F1">
            <w:pPr>
              <w:jc w:val="center"/>
              <w:rPr>
                <w:b/>
                <w:sz w:val="24"/>
                <w:szCs w:val="24"/>
              </w:rPr>
            </w:pPr>
            <w:r>
              <w:rPr>
                <w:b/>
                <w:sz w:val="24"/>
                <w:szCs w:val="24"/>
              </w:rPr>
              <w:t>Number of cells (n)</w:t>
            </w:r>
          </w:p>
        </w:tc>
        <w:tc>
          <w:tcPr>
            <w:tcW w:w="1985" w:type="dxa"/>
            <w:tcBorders>
              <w:top w:val="single" w:sz="4" w:space="0" w:color="auto"/>
              <w:left w:val="nil"/>
              <w:bottom w:val="single" w:sz="4" w:space="0" w:color="auto"/>
              <w:right w:val="nil"/>
            </w:tcBorders>
            <w:hideMark/>
          </w:tcPr>
          <w:p w:rsidR="007F78F1" w:rsidRDefault="007F78F1">
            <w:pPr>
              <w:jc w:val="center"/>
              <w:rPr>
                <w:b/>
                <w:sz w:val="24"/>
                <w:szCs w:val="24"/>
              </w:rPr>
            </w:pPr>
            <w:r>
              <w:rPr>
                <w:b/>
                <w:sz w:val="24"/>
                <w:szCs w:val="24"/>
              </w:rPr>
              <w:t>Proportion of total count (%)</w:t>
            </w:r>
          </w:p>
        </w:tc>
      </w:tr>
      <w:tr w:rsidR="007F78F1" w:rsidTr="007F78F1">
        <w:tc>
          <w:tcPr>
            <w:tcW w:w="2943" w:type="dxa"/>
            <w:tcBorders>
              <w:top w:val="single" w:sz="4" w:space="0" w:color="auto"/>
              <w:left w:val="nil"/>
              <w:bottom w:val="nil"/>
              <w:right w:val="nil"/>
            </w:tcBorders>
            <w:hideMark/>
          </w:tcPr>
          <w:p w:rsidR="007F78F1" w:rsidRDefault="007F78F1">
            <w:pPr>
              <w:rPr>
                <w:sz w:val="24"/>
                <w:szCs w:val="24"/>
              </w:rPr>
            </w:pPr>
            <w:r>
              <w:rPr>
                <w:sz w:val="24"/>
                <w:szCs w:val="24"/>
              </w:rPr>
              <w:t>Incomplete septum</w:t>
            </w:r>
          </w:p>
        </w:tc>
        <w:tc>
          <w:tcPr>
            <w:tcW w:w="1843" w:type="dxa"/>
            <w:tcBorders>
              <w:top w:val="single" w:sz="4" w:space="0" w:color="auto"/>
              <w:left w:val="nil"/>
              <w:bottom w:val="nil"/>
              <w:right w:val="nil"/>
            </w:tcBorders>
            <w:hideMark/>
          </w:tcPr>
          <w:p w:rsidR="007F78F1" w:rsidRDefault="007F78F1">
            <w:pPr>
              <w:ind w:right="317"/>
              <w:jc w:val="right"/>
              <w:rPr>
                <w:sz w:val="24"/>
                <w:szCs w:val="24"/>
              </w:rPr>
            </w:pPr>
            <w:r>
              <w:rPr>
                <w:sz w:val="24"/>
                <w:szCs w:val="24"/>
              </w:rPr>
              <w:t>1.98 ± 0.44</w:t>
            </w:r>
          </w:p>
        </w:tc>
        <w:tc>
          <w:tcPr>
            <w:tcW w:w="1701" w:type="dxa"/>
            <w:tcBorders>
              <w:top w:val="single" w:sz="4" w:space="0" w:color="auto"/>
              <w:left w:val="nil"/>
              <w:bottom w:val="nil"/>
              <w:right w:val="nil"/>
            </w:tcBorders>
            <w:hideMark/>
          </w:tcPr>
          <w:p w:rsidR="007F78F1" w:rsidRDefault="007F78F1">
            <w:pPr>
              <w:ind w:right="601"/>
              <w:jc w:val="right"/>
              <w:rPr>
                <w:sz w:val="24"/>
                <w:szCs w:val="24"/>
              </w:rPr>
            </w:pPr>
            <w:r>
              <w:rPr>
                <w:sz w:val="24"/>
                <w:szCs w:val="24"/>
              </w:rPr>
              <w:t>33</w:t>
            </w:r>
          </w:p>
        </w:tc>
        <w:tc>
          <w:tcPr>
            <w:tcW w:w="1985" w:type="dxa"/>
            <w:tcBorders>
              <w:top w:val="single" w:sz="4" w:space="0" w:color="auto"/>
              <w:left w:val="nil"/>
              <w:bottom w:val="nil"/>
              <w:right w:val="nil"/>
            </w:tcBorders>
            <w:hideMark/>
          </w:tcPr>
          <w:p w:rsidR="007F78F1" w:rsidRDefault="007F78F1">
            <w:pPr>
              <w:ind w:right="601"/>
              <w:jc w:val="right"/>
              <w:rPr>
                <w:sz w:val="24"/>
                <w:szCs w:val="24"/>
              </w:rPr>
            </w:pPr>
            <w:r>
              <w:rPr>
                <w:sz w:val="24"/>
                <w:szCs w:val="24"/>
              </w:rPr>
              <w:t>9.4</w:t>
            </w:r>
          </w:p>
        </w:tc>
      </w:tr>
      <w:tr w:rsidR="007F78F1" w:rsidTr="007F78F1">
        <w:tc>
          <w:tcPr>
            <w:tcW w:w="2943" w:type="dxa"/>
            <w:tcBorders>
              <w:top w:val="nil"/>
              <w:left w:val="nil"/>
              <w:bottom w:val="nil"/>
              <w:right w:val="nil"/>
            </w:tcBorders>
            <w:hideMark/>
          </w:tcPr>
          <w:p w:rsidR="007F78F1" w:rsidRDefault="007F78F1">
            <w:pPr>
              <w:rPr>
                <w:sz w:val="24"/>
                <w:szCs w:val="24"/>
              </w:rPr>
            </w:pPr>
            <w:r>
              <w:rPr>
                <w:sz w:val="24"/>
                <w:szCs w:val="24"/>
              </w:rPr>
              <w:t>Complete septum, not split</w:t>
            </w:r>
          </w:p>
        </w:tc>
        <w:tc>
          <w:tcPr>
            <w:tcW w:w="1843" w:type="dxa"/>
            <w:tcBorders>
              <w:top w:val="nil"/>
              <w:left w:val="nil"/>
              <w:bottom w:val="nil"/>
              <w:right w:val="nil"/>
            </w:tcBorders>
            <w:hideMark/>
          </w:tcPr>
          <w:p w:rsidR="007F78F1" w:rsidRDefault="007F78F1">
            <w:pPr>
              <w:ind w:right="317"/>
              <w:jc w:val="right"/>
              <w:rPr>
                <w:sz w:val="24"/>
                <w:szCs w:val="24"/>
              </w:rPr>
            </w:pPr>
            <w:r>
              <w:rPr>
                <w:sz w:val="24"/>
                <w:szCs w:val="24"/>
              </w:rPr>
              <w:t>1.16 ± 0.26</w:t>
            </w:r>
          </w:p>
        </w:tc>
        <w:tc>
          <w:tcPr>
            <w:tcW w:w="1701" w:type="dxa"/>
            <w:tcBorders>
              <w:top w:val="nil"/>
              <w:left w:val="nil"/>
              <w:bottom w:val="nil"/>
              <w:right w:val="nil"/>
            </w:tcBorders>
            <w:hideMark/>
          </w:tcPr>
          <w:p w:rsidR="007F78F1" w:rsidRDefault="007F78F1">
            <w:pPr>
              <w:ind w:right="601"/>
              <w:jc w:val="right"/>
              <w:rPr>
                <w:sz w:val="24"/>
                <w:szCs w:val="24"/>
              </w:rPr>
            </w:pPr>
            <w:r>
              <w:rPr>
                <w:sz w:val="24"/>
                <w:szCs w:val="24"/>
              </w:rPr>
              <w:t>100</w:t>
            </w:r>
          </w:p>
        </w:tc>
        <w:tc>
          <w:tcPr>
            <w:tcW w:w="1985" w:type="dxa"/>
            <w:tcBorders>
              <w:top w:val="nil"/>
              <w:left w:val="nil"/>
              <w:bottom w:val="nil"/>
              <w:right w:val="nil"/>
            </w:tcBorders>
            <w:hideMark/>
          </w:tcPr>
          <w:p w:rsidR="007F78F1" w:rsidRDefault="007F78F1">
            <w:pPr>
              <w:ind w:right="601"/>
              <w:jc w:val="right"/>
              <w:rPr>
                <w:sz w:val="24"/>
                <w:szCs w:val="24"/>
              </w:rPr>
            </w:pPr>
            <w:r>
              <w:rPr>
                <w:sz w:val="24"/>
                <w:szCs w:val="24"/>
              </w:rPr>
              <w:t>28.7</w:t>
            </w:r>
          </w:p>
        </w:tc>
      </w:tr>
      <w:tr w:rsidR="007F78F1" w:rsidTr="007F78F1">
        <w:tc>
          <w:tcPr>
            <w:tcW w:w="2943" w:type="dxa"/>
            <w:tcBorders>
              <w:top w:val="nil"/>
              <w:left w:val="nil"/>
              <w:bottom w:val="nil"/>
              <w:right w:val="nil"/>
            </w:tcBorders>
            <w:hideMark/>
          </w:tcPr>
          <w:p w:rsidR="007F78F1" w:rsidRDefault="007F78F1">
            <w:pPr>
              <w:rPr>
                <w:sz w:val="24"/>
                <w:szCs w:val="24"/>
              </w:rPr>
            </w:pPr>
            <w:r>
              <w:rPr>
                <w:sz w:val="24"/>
                <w:szCs w:val="24"/>
              </w:rPr>
              <w:t>Complete septum, split</w:t>
            </w:r>
          </w:p>
        </w:tc>
        <w:tc>
          <w:tcPr>
            <w:tcW w:w="1843" w:type="dxa"/>
            <w:tcBorders>
              <w:top w:val="nil"/>
              <w:left w:val="nil"/>
              <w:bottom w:val="nil"/>
              <w:right w:val="nil"/>
            </w:tcBorders>
            <w:hideMark/>
          </w:tcPr>
          <w:p w:rsidR="007F78F1" w:rsidRDefault="007F78F1">
            <w:pPr>
              <w:ind w:right="317"/>
              <w:jc w:val="right"/>
              <w:rPr>
                <w:sz w:val="24"/>
                <w:szCs w:val="24"/>
              </w:rPr>
            </w:pPr>
            <w:r>
              <w:rPr>
                <w:sz w:val="24"/>
                <w:szCs w:val="24"/>
              </w:rPr>
              <w:t>1.38 ± 0.28</w:t>
            </w:r>
          </w:p>
        </w:tc>
        <w:tc>
          <w:tcPr>
            <w:tcW w:w="1701" w:type="dxa"/>
            <w:tcBorders>
              <w:top w:val="nil"/>
              <w:left w:val="nil"/>
              <w:bottom w:val="nil"/>
              <w:right w:val="nil"/>
            </w:tcBorders>
            <w:hideMark/>
          </w:tcPr>
          <w:p w:rsidR="007F78F1" w:rsidRDefault="007F78F1">
            <w:pPr>
              <w:ind w:right="601"/>
              <w:jc w:val="right"/>
              <w:rPr>
                <w:sz w:val="24"/>
                <w:szCs w:val="24"/>
              </w:rPr>
            </w:pPr>
            <w:r>
              <w:rPr>
                <w:sz w:val="24"/>
                <w:szCs w:val="24"/>
              </w:rPr>
              <w:t>81</w:t>
            </w:r>
          </w:p>
        </w:tc>
        <w:tc>
          <w:tcPr>
            <w:tcW w:w="1985" w:type="dxa"/>
            <w:tcBorders>
              <w:top w:val="nil"/>
              <w:left w:val="nil"/>
              <w:bottom w:val="nil"/>
              <w:right w:val="nil"/>
            </w:tcBorders>
            <w:hideMark/>
          </w:tcPr>
          <w:p w:rsidR="007F78F1" w:rsidRDefault="007F78F1">
            <w:pPr>
              <w:ind w:right="601"/>
              <w:jc w:val="right"/>
              <w:rPr>
                <w:sz w:val="24"/>
                <w:szCs w:val="24"/>
              </w:rPr>
            </w:pPr>
            <w:r>
              <w:rPr>
                <w:sz w:val="24"/>
                <w:szCs w:val="24"/>
              </w:rPr>
              <w:t>23.2</w:t>
            </w:r>
          </w:p>
        </w:tc>
      </w:tr>
      <w:tr w:rsidR="007F78F1" w:rsidTr="007F78F1">
        <w:tc>
          <w:tcPr>
            <w:tcW w:w="2943" w:type="dxa"/>
            <w:tcBorders>
              <w:top w:val="nil"/>
              <w:left w:val="nil"/>
              <w:bottom w:val="nil"/>
              <w:right w:val="nil"/>
            </w:tcBorders>
            <w:hideMark/>
          </w:tcPr>
          <w:p w:rsidR="007F78F1" w:rsidRDefault="007F78F1">
            <w:pPr>
              <w:rPr>
                <w:sz w:val="24"/>
                <w:szCs w:val="24"/>
              </w:rPr>
            </w:pPr>
            <w:r>
              <w:rPr>
                <w:sz w:val="24"/>
                <w:szCs w:val="24"/>
              </w:rPr>
              <w:t>Orthogonal new growth</w:t>
            </w:r>
          </w:p>
        </w:tc>
        <w:tc>
          <w:tcPr>
            <w:tcW w:w="1843" w:type="dxa"/>
            <w:tcBorders>
              <w:top w:val="nil"/>
              <w:left w:val="nil"/>
              <w:bottom w:val="nil"/>
              <w:right w:val="nil"/>
            </w:tcBorders>
            <w:hideMark/>
          </w:tcPr>
          <w:p w:rsidR="007F78F1" w:rsidRDefault="007F78F1">
            <w:pPr>
              <w:ind w:right="317"/>
              <w:jc w:val="right"/>
              <w:rPr>
                <w:sz w:val="24"/>
                <w:szCs w:val="24"/>
              </w:rPr>
            </w:pPr>
            <w:r>
              <w:rPr>
                <w:sz w:val="24"/>
                <w:szCs w:val="24"/>
              </w:rPr>
              <w:t>1.57 ± 0.33</w:t>
            </w:r>
          </w:p>
        </w:tc>
        <w:tc>
          <w:tcPr>
            <w:tcW w:w="1701" w:type="dxa"/>
            <w:tcBorders>
              <w:top w:val="nil"/>
              <w:left w:val="nil"/>
              <w:bottom w:val="nil"/>
              <w:right w:val="nil"/>
            </w:tcBorders>
            <w:hideMark/>
          </w:tcPr>
          <w:p w:rsidR="007F78F1" w:rsidRDefault="007F78F1">
            <w:pPr>
              <w:ind w:right="601"/>
              <w:jc w:val="right"/>
              <w:rPr>
                <w:sz w:val="24"/>
                <w:szCs w:val="24"/>
              </w:rPr>
            </w:pPr>
            <w:r>
              <w:rPr>
                <w:sz w:val="24"/>
                <w:szCs w:val="24"/>
              </w:rPr>
              <w:t>113</w:t>
            </w:r>
          </w:p>
        </w:tc>
        <w:tc>
          <w:tcPr>
            <w:tcW w:w="1985" w:type="dxa"/>
            <w:tcBorders>
              <w:top w:val="nil"/>
              <w:left w:val="nil"/>
              <w:bottom w:val="nil"/>
              <w:right w:val="nil"/>
            </w:tcBorders>
            <w:hideMark/>
          </w:tcPr>
          <w:p w:rsidR="007F78F1" w:rsidRDefault="007F78F1">
            <w:pPr>
              <w:ind w:right="601"/>
              <w:jc w:val="right"/>
              <w:rPr>
                <w:sz w:val="24"/>
                <w:szCs w:val="24"/>
              </w:rPr>
            </w:pPr>
            <w:r>
              <w:rPr>
                <w:sz w:val="24"/>
                <w:szCs w:val="24"/>
              </w:rPr>
              <w:t>32.4</w:t>
            </w:r>
          </w:p>
        </w:tc>
      </w:tr>
      <w:tr w:rsidR="007F78F1" w:rsidTr="007F78F1">
        <w:tc>
          <w:tcPr>
            <w:tcW w:w="2943" w:type="dxa"/>
            <w:tcBorders>
              <w:top w:val="nil"/>
              <w:left w:val="nil"/>
              <w:bottom w:val="single" w:sz="4" w:space="0" w:color="auto"/>
              <w:right w:val="nil"/>
            </w:tcBorders>
            <w:hideMark/>
          </w:tcPr>
          <w:p w:rsidR="007F78F1" w:rsidRDefault="007F78F1">
            <w:pPr>
              <w:rPr>
                <w:sz w:val="24"/>
                <w:szCs w:val="24"/>
              </w:rPr>
            </w:pPr>
            <w:r>
              <w:rPr>
                <w:sz w:val="24"/>
                <w:szCs w:val="24"/>
              </w:rPr>
              <w:t>Other</w:t>
            </w:r>
          </w:p>
        </w:tc>
        <w:tc>
          <w:tcPr>
            <w:tcW w:w="1843" w:type="dxa"/>
            <w:tcBorders>
              <w:top w:val="nil"/>
              <w:left w:val="nil"/>
              <w:bottom w:val="single" w:sz="4" w:space="0" w:color="auto"/>
              <w:right w:val="nil"/>
            </w:tcBorders>
            <w:hideMark/>
          </w:tcPr>
          <w:p w:rsidR="007F78F1" w:rsidRDefault="007F78F1">
            <w:pPr>
              <w:ind w:right="317"/>
              <w:jc w:val="right"/>
              <w:rPr>
                <w:sz w:val="24"/>
                <w:szCs w:val="24"/>
              </w:rPr>
            </w:pPr>
            <w:r>
              <w:rPr>
                <w:sz w:val="24"/>
                <w:szCs w:val="24"/>
              </w:rPr>
              <w:t>1.09 ± 0.36</w:t>
            </w:r>
          </w:p>
        </w:tc>
        <w:tc>
          <w:tcPr>
            <w:tcW w:w="1701" w:type="dxa"/>
            <w:tcBorders>
              <w:top w:val="nil"/>
              <w:left w:val="nil"/>
              <w:bottom w:val="single" w:sz="4" w:space="0" w:color="auto"/>
              <w:right w:val="nil"/>
            </w:tcBorders>
            <w:hideMark/>
          </w:tcPr>
          <w:p w:rsidR="007F78F1" w:rsidRDefault="007F78F1">
            <w:pPr>
              <w:ind w:right="601"/>
              <w:jc w:val="right"/>
              <w:rPr>
                <w:sz w:val="24"/>
                <w:szCs w:val="24"/>
              </w:rPr>
            </w:pPr>
            <w:r>
              <w:rPr>
                <w:sz w:val="24"/>
                <w:szCs w:val="24"/>
              </w:rPr>
              <w:t>22</w:t>
            </w:r>
          </w:p>
        </w:tc>
        <w:tc>
          <w:tcPr>
            <w:tcW w:w="1985" w:type="dxa"/>
            <w:tcBorders>
              <w:top w:val="nil"/>
              <w:left w:val="nil"/>
              <w:bottom w:val="single" w:sz="4" w:space="0" w:color="auto"/>
              <w:right w:val="nil"/>
            </w:tcBorders>
            <w:hideMark/>
          </w:tcPr>
          <w:p w:rsidR="007F78F1" w:rsidRDefault="007F78F1">
            <w:pPr>
              <w:ind w:right="601"/>
              <w:jc w:val="right"/>
              <w:rPr>
                <w:sz w:val="24"/>
                <w:szCs w:val="24"/>
              </w:rPr>
            </w:pPr>
            <w:r>
              <w:rPr>
                <w:sz w:val="24"/>
                <w:szCs w:val="24"/>
              </w:rPr>
              <w:t>6.3</w:t>
            </w:r>
          </w:p>
        </w:tc>
      </w:tr>
      <w:tr w:rsidR="007F78F1" w:rsidTr="007F78F1">
        <w:tc>
          <w:tcPr>
            <w:tcW w:w="2943" w:type="dxa"/>
            <w:tcBorders>
              <w:top w:val="single" w:sz="4" w:space="0" w:color="auto"/>
              <w:left w:val="nil"/>
              <w:bottom w:val="nil"/>
              <w:right w:val="nil"/>
            </w:tcBorders>
            <w:hideMark/>
          </w:tcPr>
          <w:p w:rsidR="007F78F1" w:rsidRDefault="007F78F1">
            <w:pPr>
              <w:rPr>
                <w:b/>
                <w:sz w:val="24"/>
                <w:szCs w:val="24"/>
              </w:rPr>
            </w:pPr>
            <w:r>
              <w:rPr>
                <w:b/>
                <w:sz w:val="24"/>
                <w:szCs w:val="24"/>
              </w:rPr>
              <w:t>Total</w:t>
            </w:r>
          </w:p>
        </w:tc>
        <w:tc>
          <w:tcPr>
            <w:tcW w:w="1843" w:type="dxa"/>
            <w:tcBorders>
              <w:top w:val="single" w:sz="4" w:space="0" w:color="auto"/>
              <w:left w:val="nil"/>
              <w:bottom w:val="nil"/>
              <w:right w:val="nil"/>
            </w:tcBorders>
          </w:tcPr>
          <w:p w:rsidR="007F78F1" w:rsidRDefault="007F78F1">
            <w:pPr>
              <w:ind w:right="317"/>
              <w:jc w:val="right"/>
              <w:rPr>
                <w:sz w:val="24"/>
                <w:szCs w:val="24"/>
              </w:rPr>
            </w:pPr>
          </w:p>
        </w:tc>
        <w:tc>
          <w:tcPr>
            <w:tcW w:w="1701" w:type="dxa"/>
            <w:tcBorders>
              <w:top w:val="single" w:sz="4" w:space="0" w:color="auto"/>
              <w:left w:val="nil"/>
              <w:bottom w:val="nil"/>
              <w:right w:val="nil"/>
            </w:tcBorders>
            <w:hideMark/>
          </w:tcPr>
          <w:p w:rsidR="007F78F1" w:rsidRDefault="007F78F1">
            <w:pPr>
              <w:ind w:right="601"/>
              <w:jc w:val="right"/>
              <w:rPr>
                <w:b/>
                <w:sz w:val="24"/>
                <w:szCs w:val="24"/>
              </w:rPr>
            </w:pPr>
            <w:r>
              <w:rPr>
                <w:b/>
                <w:sz w:val="24"/>
                <w:szCs w:val="24"/>
              </w:rPr>
              <w:t>349</w:t>
            </w:r>
          </w:p>
        </w:tc>
        <w:tc>
          <w:tcPr>
            <w:tcW w:w="1985" w:type="dxa"/>
            <w:tcBorders>
              <w:top w:val="single" w:sz="4" w:space="0" w:color="auto"/>
              <w:left w:val="nil"/>
              <w:bottom w:val="nil"/>
              <w:right w:val="nil"/>
            </w:tcBorders>
            <w:hideMark/>
          </w:tcPr>
          <w:p w:rsidR="007F78F1" w:rsidRDefault="007F78F1">
            <w:pPr>
              <w:ind w:right="601"/>
              <w:jc w:val="right"/>
              <w:rPr>
                <w:b/>
                <w:sz w:val="24"/>
                <w:szCs w:val="24"/>
              </w:rPr>
            </w:pPr>
            <w:r>
              <w:rPr>
                <w:b/>
                <w:sz w:val="24"/>
                <w:szCs w:val="24"/>
              </w:rPr>
              <w:t>100.0</w:t>
            </w:r>
          </w:p>
        </w:tc>
      </w:tr>
    </w:tbl>
    <w:p w:rsidR="007F78F1" w:rsidRDefault="007F78F1" w:rsidP="007F78F1">
      <w:pPr>
        <w:rPr>
          <w:rFonts w:ascii="Times New Roman" w:hAnsi="Times New Roman" w:cs="Times New Roman"/>
          <w:b/>
          <w:sz w:val="20"/>
          <w:szCs w:val="20"/>
        </w:rPr>
      </w:pPr>
      <w:r>
        <w:pict>
          <v:shape id="_x0000_s1065" type="#_x0000_t202" style="position:absolute;margin-left:-5.75pt;margin-top:17.4pt;width:29.15pt;height:33.75pt;z-index:251703296;mso-position-horizontal-relative:text;mso-position-vertical-relative:text;mso-width-relative:margin;mso-height-relative:margin" filled="f" stroked="f">
            <v:textbox style="mso-next-textbox:#_x0000_s1065">
              <w:txbxContent>
                <w:p w:rsidR="007F78F1" w:rsidRDefault="007F78F1" w:rsidP="007F78F1">
                  <w:pPr>
                    <w:rPr>
                      <w:rFonts w:ascii="Times New Roman" w:hAnsi="Times New Roman" w:cs="Times New Roman"/>
                      <w:sz w:val="36"/>
                      <w:szCs w:val="36"/>
                    </w:rPr>
                  </w:pPr>
                  <w:r>
                    <w:rPr>
                      <w:rFonts w:ascii="Times New Roman" w:hAnsi="Times New Roman" w:cs="Times New Roman"/>
                      <w:sz w:val="36"/>
                      <w:szCs w:val="36"/>
                    </w:rPr>
                    <w:t>B</w:t>
                  </w:r>
                </w:p>
              </w:txbxContent>
            </v:textbox>
          </v:shape>
        </w:pict>
      </w:r>
    </w:p>
    <w:p w:rsidR="007F78F1" w:rsidRDefault="007F78F1" w:rsidP="007F78F1">
      <w:pPr>
        <w:jc w:val="center"/>
        <w:rPr>
          <w:rFonts w:ascii="Times New Roman" w:hAnsi="Times New Roman" w:cs="Times New Roman"/>
          <w:b/>
          <w:sz w:val="24"/>
          <w:szCs w:val="24"/>
        </w:rPr>
      </w:pPr>
      <w:r>
        <w:rPr>
          <w:rFonts w:ascii="Times New Roman" w:hAnsi="Times New Roman" w:cs="Times New Roman"/>
          <w:b/>
          <w:sz w:val="24"/>
          <w:szCs w:val="24"/>
        </w:rPr>
        <w:t>SJF4094 -IPTG</w:t>
      </w:r>
    </w:p>
    <w:tbl>
      <w:tblPr>
        <w:tblStyle w:val="TableGrid"/>
        <w:tblW w:w="8472" w:type="dxa"/>
        <w:tblLook w:val="04A0"/>
      </w:tblPr>
      <w:tblGrid>
        <w:gridCol w:w="2943"/>
        <w:gridCol w:w="1832"/>
        <w:gridCol w:w="1712"/>
        <w:gridCol w:w="1985"/>
      </w:tblGrid>
      <w:tr w:rsidR="007F78F1" w:rsidTr="007F78F1">
        <w:tc>
          <w:tcPr>
            <w:tcW w:w="2943" w:type="dxa"/>
            <w:tcBorders>
              <w:top w:val="single" w:sz="4" w:space="0" w:color="auto"/>
              <w:left w:val="nil"/>
              <w:bottom w:val="single" w:sz="4" w:space="0" w:color="auto"/>
              <w:right w:val="nil"/>
            </w:tcBorders>
            <w:hideMark/>
          </w:tcPr>
          <w:p w:rsidR="007F78F1" w:rsidRDefault="007F78F1">
            <w:pPr>
              <w:jc w:val="center"/>
              <w:rPr>
                <w:b/>
                <w:sz w:val="24"/>
                <w:szCs w:val="24"/>
              </w:rPr>
            </w:pPr>
            <w:r>
              <w:rPr>
                <w:b/>
                <w:sz w:val="24"/>
                <w:szCs w:val="24"/>
              </w:rPr>
              <w:t>Stage of cell cycle</w:t>
            </w:r>
          </w:p>
        </w:tc>
        <w:tc>
          <w:tcPr>
            <w:tcW w:w="1832" w:type="dxa"/>
            <w:tcBorders>
              <w:top w:val="single" w:sz="4" w:space="0" w:color="auto"/>
              <w:left w:val="nil"/>
              <w:bottom w:val="single" w:sz="4" w:space="0" w:color="auto"/>
              <w:right w:val="nil"/>
            </w:tcBorders>
            <w:hideMark/>
          </w:tcPr>
          <w:p w:rsidR="007F78F1" w:rsidRDefault="007F78F1">
            <w:pPr>
              <w:jc w:val="center"/>
              <w:rPr>
                <w:b/>
                <w:sz w:val="24"/>
                <w:szCs w:val="24"/>
              </w:rPr>
            </w:pPr>
            <w:r>
              <w:rPr>
                <w:b/>
                <w:sz w:val="24"/>
                <w:szCs w:val="24"/>
              </w:rPr>
              <w:t>Average cell size (µm</w:t>
            </w:r>
            <w:r>
              <w:rPr>
                <w:b/>
                <w:sz w:val="24"/>
                <w:szCs w:val="24"/>
                <w:vertAlign w:val="superscript"/>
              </w:rPr>
              <w:t>2</w:t>
            </w:r>
            <w:r>
              <w:rPr>
                <w:b/>
                <w:sz w:val="24"/>
                <w:szCs w:val="24"/>
              </w:rPr>
              <w:t>)</w:t>
            </w:r>
          </w:p>
        </w:tc>
        <w:tc>
          <w:tcPr>
            <w:tcW w:w="1712" w:type="dxa"/>
            <w:tcBorders>
              <w:top w:val="single" w:sz="4" w:space="0" w:color="auto"/>
              <w:left w:val="nil"/>
              <w:bottom w:val="single" w:sz="4" w:space="0" w:color="auto"/>
              <w:right w:val="nil"/>
            </w:tcBorders>
            <w:hideMark/>
          </w:tcPr>
          <w:p w:rsidR="007F78F1" w:rsidRDefault="007F78F1">
            <w:pPr>
              <w:jc w:val="center"/>
              <w:rPr>
                <w:b/>
                <w:sz w:val="24"/>
                <w:szCs w:val="24"/>
              </w:rPr>
            </w:pPr>
            <w:r>
              <w:rPr>
                <w:b/>
                <w:sz w:val="24"/>
                <w:szCs w:val="24"/>
              </w:rPr>
              <w:t>Number of cells (n)</w:t>
            </w:r>
          </w:p>
        </w:tc>
        <w:tc>
          <w:tcPr>
            <w:tcW w:w="1985" w:type="dxa"/>
            <w:tcBorders>
              <w:top w:val="single" w:sz="4" w:space="0" w:color="auto"/>
              <w:left w:val="nil"/>
              <w:bottom w:val="single" w:sz="4" w:space="0" w:color="auto"/>
              <w:right w:val="nil"/>
            </w:tcBorders>
            <w:hideMark/>
          </w:tcPr>
          <w:p w:rsidR="007F78F1" w:rsidRDefault="007F78F1">
            <w:pPr>
              <w:jc w:val="center"/>
              <w:rPr>
                <w:b/>
                <w:sz w:val="24"/>
                <w:szCs w:val="24"/>
              </w:rPr>
            </w:pPr>
            <w:r>
              <w:rPr>
                <w:b/>
                <w:sz w:val="24"/>
                <w:szCs w:val="24"/>
              </w:rPr>
              <w:t>Proportion of total count (%)</w:t>
            </w:r>
          </w:p>
        </w:tc>
      </w:tr>
      <w:tr w:rsidR="007F78F1" w:rsidTr="007F78F1">
        <w:tc>
          <w:tcPr>
            <w:tcW w:w="2943" w:type="dxa"/>
            <w:tcBorders>
              <w:top w:val="single" w:sz="4" w:space="0" w:color="auto"/>
              <w:left w:val="nil"/>
              <w:bottom w:val="nil"/>
              <w:right w:val="nil"/>
            </w:tcBorders>
            <w:hideMark/>
          </w:tcPr>
          <w:p w:rsidR="007F78F1" w:rsidRDefault="007F78F1">
            <w:pPr>
              <w:rPr>
                <w:sz w:val="24"/>
                <w:szCs w:val="24"/>
              </w:rPr>
            </w:pPr>
            <w:r>
              <w:rPr>
                <w:sz w:val="24"/>
                <w:szCs w:val="24"/>
              </w:rPr>
              <w:t>Incomplete septum</w:t>
            </w:r>
          </w:p>
        </w:tc>
        <w:tc>
          <w:tcPr>
            <w:tcW w:w="1832" w:type="dxa"/>
            <w:tcBorders>
              <w:top w:val="single" w:sz="4" w:space="0" w:color="auto"/>
              <w:left w:val="nil"/>
              <w:bottom w:val="nil"/>
              <w:right w:val="nil"/>
            </w:tcBorders>
            <w:hideMark/>
          </w:tcPr>
          <w:p w:rsidR="007F78F1" w:rsidRDefault="007F78F1">
            <w:pPr>
              <w:ind w:right="306"/>
              <w:jc w:val="right"/>
              <w:rPr>
                <w:sz w:val="24"/>
                <w:szCs w:val="24"/>
              </w:rPr>
            </w:pPr>
            <w:r>
              <w:rPr>
                <w:sz w:val="24"/>
                <w:szCs w:val="24"/>
              </w:rPr>
              <w:t>1.58 ± 0.36</w:t>
            </w:r>
          </w:p>
        </w:tc>
        <w:tc>
          <w:tcPr>
            <w:tcW w:w="1712" w:type="dxa"/>
            <w:tcBorders>
              <w:top w:val="single" w:sz="4" w:space="0" w:color="auto"/>
              <w:left w:val="nil"/>
              <w:bottom w:val="nil"/>
              <w:right w:val="nil"/>
            </w:tcBorders>
            <w:hideMark/>
          </w:tcPr>
          <w:p w:rsidR="007F78F1" w:rsidRDefault="007F78F1">
            <w:pPr>
              <w:ind w:right="601"/>
              <w:jc w:val="right"/>
              <w:rPr>
                <w:sz w:val="24"/>
                <w:szCs w:val="24"/>
              </w:rPr>
            </w:pPr>
            <w:r>
              <w:rPr>
                <w:sz w:val="24"/>
                <w:szCs w:val="24"/>
              </w:rPr>
              <w:t>66</w:t>
            </w:r>
          </w:p>
        </w:tc>
        <w:tc>
          <w:tcPr>
            <w:tcW w:w="1985" w:type="dxa"/>
            <w:tcBorders>
              <w:top w:val="single" w:sz="4" w:space="0" w:color="auto"/>
              <w:left w:val="nil"/>
              <w:bottom w:val="nil"/>
              <w:right w:val="nil"/>
            </w:tcBorders>
            <w:hideMark/>
          </w:tcPr>
          <w:p w:rsidR="007F78F1" w:rsidRDefault="007F78F1">
            <w:pPr>
              <w:ind w:right="601"/>
              <w:jc w:val="right"/>
              <w:rPr>
                <w:sz w:val="24"/>
                <w:szCs w:val="24"/>
              </w:rPr>
            </w:pPr>
            <w:r>
              <w:rPr>
                <w:sz w:val="24"/>
                <w:szCs w:val="24"/>
              </w:rPr>
              <w:t>17.9</w:t>
            </w:r>
          </w:p>
        </w:tc>
      </w:tr>
      <w:tr w:rsidR="007F78F1" w:rsidTr="007F78F1">
        <w:tc>
          <w:tcPr>
            <w:tcW w:w="2943" w:type="dxa"/>
            <w:tcBorders>
              <w:top w:val="nil"/>
              <w:left w:val="nil"/>
              <w:bottom w:val="nil"/>
              <w:right w:val="nil"/>
            </w:tcBorders>
            <w:hideMark/>
          </w:tcPr>
          <w:p w:rsidR="007F78F1" w:rsidRDefault="007F78F1">
            <w:pPr>
              <w:rPr>
                <w:sz w:val="24"/>
                <w:szCs w:val="24"/>
              </w:rPr>
            </w:pPr>
            <w:r>
              <w:rPr>
                <w:sz w:val="24"/>
                <w:szCs w:val="24"/>
              </w:rPr>
              <w:t>Complete septum, not split</w:t>
            </w:r>
          </w:p>
        </w:tc>
        <w:tc>
          <w:tcPr>
            <w:tcW w:w="1832" w:type="dxa"/>
            <w:tcBorders>
              <w:top w:val="nil"/>
              <w:left w:val="nil"/>
              <w:bottom w:val="nil"/>
              <w:right w:val="nil"/>
            </w:tcBorders>
            <w:hideMark/>
          </w:tcPr>
          <w:p w:rsidR="007F78F1" w:rsidRDefault="007F78F1">
            <w:pPr>
              <w:ind w:right="306"/>
              <w:jc w:val="right"/>
              <w:rPr>
                <w:sz w:val="24"/>
                <w:szCs w:val="24"/>
              </w:rPr>
            </w:pPr>
            <w:r>
              <w:rPr>
                <w:sz w:val="24"/>
                <w:szCs w:val="24"/>
              </w:rPr>
              <w:t>1.04 ± 0.23</w:t>
            </w:r>
          </w:p>
        </w:tc>
        <w:tc>
          <w:tcPr>
            <w:tcW w:w="1712" w:type="dxa"/>
            <w:tcBorders>
              <w:top w:val="nil"/>
              <w:left w:val="nil"/>
              <w:bottom w:val="nil"/>
              <w:right w:val="nil"/>
            </w:tcBorders>
            <w:hideMark/>
          </w:tcPr>
          <w:p w:rsidR="007F78F1" w:rsidRDefault="007F78F1">
            <w:pPr>
              <w:ind w:right="601"/>
              <w:jc w:val="right"/>
              <w:rPr>
                <w:sz w:val="24"/>
                <w:szCs w:val="24"/>
              </w:rPr>
            </w:pPr>
            <w:r>
              <w:rPr>
                <w:sz w:val="24"/>
                <w:szCs w:val="24"/>
              </w:rPr>
              <w:t>185</w:t>
            </w:r>
          </w:p>
        </w:tc>
        <w:tc>
          <w:tcPr>
            <w:tcW w:w="1985" w:type="dxa"/>
            <w:tcBorders>
              <w:top w:val="nil"/>
              <w:left w:val="nil"/>
              <w:bottom w:val="nil"/>
              <w:right w:val="nil"/>
            </w:tcBorders>
            <w:hideMark/>
          </w:tcPr>
          <w:p w:rsidR="007F78F1" w:rsidRDefault="007F78F1">
            <w:pPr>
              <w:ind w:right="601"/>
              <w:jc w:val="right"/>
              <w:rPr>
                <w:sz w:val="24"/>
                <w:szCs w:val="24"/>
              </w:rPr>
            </w:pPr>
            <w:r>
              <w:rPr>
                <w:sz w:val="24"/>
                <w:szCs w:val="24"/>
              </w:rPr>
              <w:t>50.3</w:t>
            </w:r>
          </w:p>
        </w:tc>
      </w:tr>
      <w:tr w:rsidR="007F78F1" w:rsidTr="007F78F1">
        <w:tc>
          <w:tcPr>
            <w:tcW w:w="2943" w:type="dxa"/>
            <w:tcBorders>
              <w:top w:val="nil"/>
              <w:left w:val="nil"/>
              <w:bottom w:val="nil"/>
              <w:right w:val="nil"/>
            </w:tcBorders>
            <w:hideMark/>
          </w:tcPr>
          <w:p w:rsidR="007F78F1" w:rsidRDefault="007F78F1">
            <w:pPr>
              <w:rPr>
                <w:sz w:val="24"/>
                <w:szCs w:val="24"/>
              </w:rPr>
            </w:pPr>
            <w:r>
              <w:rPr>
                <w:sz w:val="24"/>
                <w:szCs w:val="24"/>
              </w:rPr>
              <w:t>Complete septum, split</w:t>
            </w:r>
          </w:p>
        </w:tc>
        <w:tc>
          <w:tcPr>
            <w:tcW w:w="1832" w:type="dxa"/>
            <w:tcBorders>
              <w:top w:val="nil"/>
              <w:left w:val="nil"/>
              <w:bottom w:val="nil"/>
              <w:right w:val="nil"/>
            </w:tcBorders>
            <w:hideMark/>
          </w:tcPr>
          <w:p w:rsidR="007F78F1" w:rsidRDefault="007F78F1">
            <w:pPr>
              <w:ind w:right="306"/>
              <w:jc w:val="right"/>
              <w:rPr>
                <w:sz w:val="24"/>
                <w:szCs w:val="24"/>
              </w:rPr>
            </w:pPr>
            <w:r>
              <w:rPr>
                <w:sz w:val="24"/>
                <w:szCs w:val="24"/>
              </w:rPr>
              <w:t>1.29 ± 0.24</w:t>
            </w:r>
          </w:p>
        </w:tc>
        <w:tc>
          <w:tcPr>
            <w:tcW w:w="1712" w:type="dxa"/>
            <w:tcBorders>
              <w:top w:val="nil"/>
              <w:left w:val="nil"/>
              <w:bottom w:val="nil"/>
              <w:right w:val="nil"/>
            </w:tcBorders>
            <w:hideMark/>
          </w:tcPr>
          <w:p w:rsidR="007F78F1" w:rsidRDefault="007F78F1">
            <w:pPr>
              <w:ind w:right="601"/>
              <w:jc w:val="right"/>
              <w:rPr>
                <w:sz w:val="24"/>
                <w:szCs w:val="24"/>
              </w:rPr>
            </w:pPr>
            <w:r>
              <w:rPr>
                <w:sz w:val="24"/>
                <w:szCs w:val="24"/>
              </w:rPr>
              <w:t>42</w:t>
            </w:r>
          </w:p>
        </w:tc>
        <w:tc>
          <w:tcPr>
            <w:tcW w:w="1985" w:type="dxa"/>
            <w:tcBorders>
              <w:top w:val="nil"/>
              <w:left w:val="nil"/>
              <w:bottom w:val="nil"/>
              <w:right w:val="nil"/>
            </w:tcBorders>
            <w:hideMark/>
          </w:tcPr>
          <w:p w:rsidR="007F78F1" w:rsidRDefault="007F78F1">
            <w:pPr>
              <w:ind w:right="601"/>
              <w:jc w:val="right"/>
              <w:rPr>
                <w:sz w:val="24"/>
                <w:szCs w:val="24"/>
              </w:rPr>
            </w:pPr>
            <w:r>
              <w:rPr>
                <w:sz w:val="24"/>
                <w:szCs w:val="24"/>
              </w:rPr>
              <w:t>11.4</w:t>
            </w:r>
          </w:p>
        </w:tc>
      </w:tr>
      <w:tr w:rsidR="007F78F1" w:rsidTr="007F78F1">
        <w:tc>
          <w:tcPr>
            <w:tcW w:w="2943" w:type="dxa"/>
            <w:tcBorders>
              <w:top w:val="nil"/>
              <w:left w:val="nil"/>
              <w:bottom w:val="nil"/>
              <w:right w:val="nil"/>
            </w:tcBorders>
            <w:hideMark/>
          </w:tcPr>
          <w:p w:rsidR="007F78F1" w:rsidRDefault="007F78F1">
            <w:pPr>
              <w:rPr>
                <w:sz w:val="24"/>
                <w:szCs w:val="24"/>
              </w:rPr>
            </w:pPr>
            <w:r>
              <w:rPr>
                <w:sz w:val="24"/>
                <w:szCs w:val="24"/>
              </w:rPr>
              <w:t>Orthogonal new growth</w:t>
            </w:r>
          </w:p>
        </w:tc>
        <w:tc>
          <w:tcPr>
            <w:tcW w:w="1832" w:type="dxa"/>
            <w:tcBorders>
              <w:top w:val="nil"/>
              <w:left w:val="nil"/>
              <w:bottom w:val="nil"/>
              <w:right w:val="nil"/>
            </w:tcBorders>
            <w:hideMark/>
          </w:tcPr>
          <w:p w:rsidR="007F78F1" w:rsidRDefault="007F78F1">
            <w:pPr>
              <w:ind w:right="306"/>
              <w:jc w:val="right"/>
              <w:rPr>
                <w:sz w:val="24"/>
                <w:szCs w:val="24"/>
              </w:rPr>
            </w:pPr>
            <w:r>
              <w:rPr>
                <w:sz w:val="24"/>
                <w:szCs w:val="24"/>
              </w:rPr>
              <w:t>1.46 ± 0.34</w:t>
            </w:r>
          </w:p>
        </w:tc>
        <w:tc>
          <w:tcPr>
            <w:tcW w:w="1712" w:type="dxa"/>
            <w:tcBorders>
              <w:top w:val="nil"/>
              <w:left w:val="nil"/>
              <w:bottom w:val="nil"/>
              <w:right w:val="nil"/>
            </w:tcBorders>
            <w:hideMark/>
          </w:tcPr>
          <w:p w:rsidR="007F78F1" w:rsidRDefault="007F78F1">
            <w:pPr>
              <w:ind w:right="601"/>
              <w:jc w:val="right"/>
              <w:rPr>
                <w:sz w:val="24"/>
                <w:szCs w:val="24"/>
              </w:rPr>
            </w:pPr>
            <w:r>
              <w:rPr>
                <w:sz w:val="24"/>
                <w:szCs w:val="24"/>
              </w:rPr>
              <w:t>33</w:t>
            </w:r>
          </w:p>
        </w:tc>
        <w:tc>
          <w:tcPr>
            <w:tcW w:w="1985" w:type="dxa"/>
            <w:tcBorders>
              <w:top w:val="nil"/>
              <w:left w:val="nil"/>
              <w:bottom w:val="nil"/>
              <w:right w:val="nil"/>
            </w:tcBorders>
            <w:hideMark/>
          </w:tcPr>
          <w:p w:rsidR="007F78F1" w:rsidRDefault="007F78F1">
            <w:pPr>
              <w:ind w:right="601"/>
              <w:jc w:val="right"/>
              <w:rPr>
                <w:sz w:val="24"/>
                <w:szCs w:val="24"/>
              </w:rPr>
            </w:pPr>
            <w:r>
              <w:rPr>
                <w:sz w:val="24"/>
                <w:szCs w:val="24"/>
              </w:rPr>
              <w:t>9.0</w:t>
            </w:r>
          </w:p>
        </w:tc>
      </w:tr>
      <w:tr w:rsidR="007F78F1" w:rsidTr="007F78F1">
        <w:tc>
          <w:tcPr>
            <w:tcW w:w="2943" w:type="dxa"/>
            <w:tcBorders>
              <w:top w:val="nil"/>
              <w:left w:val="nil"/>
              <w:bottom w:val="single" w:sz="4" w:space="0" w:color="auto"/>
              <w:right w:val="nil"/>
            </w:tcBorders>
            <w:hideMark/>
          </w:tcPr>
          <w:p w:rsidR="007F78F1" w:rsidRDefault="007F78F1">
            <w:pPr>
              <w:rPr>
                <w:sz w:val="24"/>
                <w:szCs w:val="24"/>
              </w:rPr>
            </w:pPr>
            <w:r>
              <w:rPr>
                <w:sz w:val="24"/>
                <w:szCs w:val="24"/>
              </w:rPr>
              <w:t>Other</w:t>
            </w:r>
          </w:p>
        </w:tc>
        <w:tc>
          <w:tcPr>
            <w:tcW w:w="1832" w:type="dxa"/>
            <w:tcBorders>
              <w:top w:val="nil"/>
              <w:left w:val="nil"/>
              <w:bottom w:val="single" w:sz="4" w:space="0" w:color="auto"/>
              <w:right w:val="nil"/>
            </w:tcBorders>
            <w:hideMark/>
          </w:tcPr>
          <w:p w:rsidR="007F78F1" w:rsidRDefault="007F78F1">
            <w:pPr>
              <w:ind w:right="306"/>
              <w:jc w:val="right"/>
              <w:rPr>
                <w:sz w:val="24"/>
                <w:szCs w:val="24"/>
              </w:rPr>
            </w:pPr>
            <w:r>
              <w:rPr>
                <w:sz w:val="24"/>
                <w:szCs w:val="24"/>
              </w:rPr>
              <w:t>1.18 ± 0.31</w:t>
            </w:r>
          </w:p>
        </w:tc>
        <w:tc>
          <w:tcPr>
            <w:tcW w:w="1712" w:type="dxa"/>
            <w:tcBorders>
              <w:top w:val="nil"/>
              <w:left w:val="nil"/>
              <w:bottom w:val="single" w:sz="4" w:space="0" w:color="auto"/>
              <w:right w:val="nil"/>
            </w:tcBorders>
            <w:hideMark/>
          </w:tcPr>
          <w:p w:rsidR="007F78F1" w:rsidRDefault="007F78F1">
            <w:pPr>
              <w:ind w:right="601"/>
              <w:jc w:val="right"/>
              <w:rPr>
                <w:sz w:val="24"/>
                <w:szCs w:val="24"/>
              </w:rPr>
            </w:pPr>
            <w:r>
              <w:rPr>
                <w:sz w:val="24"/>
                <w:szCs w:val="24"/>
              </w:rPr>
              <w:t>42</w:t>
            </w:r>
          </w:p>
        </w:tc>
        <w:tc>
          <w:tcPr>
            <w:tcW w:w="1985" w:type="dxa"/>
            <w:tcBorders>
              <w:top w:val="nil"/>
              <w:left w:val="nil"/>
              <w:bottom w:val="single" w:sz="4" w:space="0" w:color="auto"/>
              <w:right w:val="nil"/>
            </w:tcBorders>
            <w:hideMark/>
          </w:tcPr>
          <w:p w:rsidR="007F78F1" w:rsidRDefault="007F78F1">
            <w:pPr>
              <w:ind w:right="601"/>
              <w:jc w:val="right"/>
              <w:rPr>
                <w:sz w:val="24"/>
                <w:szCs w:val="24"/>
              </w:rPr>
            </w:pPr>
            <w:r>
              <w:rPr>
                <w:sz w:val="24"/>
                <w:szCs w:val="24"/>
              </w:rPr>
              <w:t>11.4</w:t>
            </w:r>
          </w:p>
        </w:tc>
      </w:tr>
      <w:tr w:rsidR="007F78F1" w:rsidTr="007F78F1">
        <w:tc>
          <w:tcPr>
            <w:tcW w:w="2943" w:type="dxa"/>
            <w:tcBorders>
              <w:top w:val="single" w:sz="4" w:space="0" w:color="auto"/>
              <w:left w:val="nil"/>
              <w:bottom w:val="nil"/>
              <w:right w:val="nil"/>
            </w:tcBorders>
            <w:hideMark/>
          </w:tcPr>
          <w:p w:rsidR="007F78F1" w:rsidRDefault="007F78F1">
            <w:pPr>
              <w:rPr>
                <w:b/>
                <w:sz w:val="24"/>
                <w:szCs w:val="24"/>
              </w:rPr>
            </w:pPr>
            <w:r>
              <w:rPr>
                <w:b/>
                <w:sz w:val="24"/>
                <w:szCs w:val="24"/>
              </w:rPr>
              <w:t>Total</w:t>
            </w:r>
          </w:p>
        </w:tc>
        <w:tc>
          <w:tcPr>
            <w:tcW w:w="1832" w:type="dxa"/>
            <w:tcBorders>
              <w:top w:val="single" w:sz="4" w:space="0" w:color="auto"/>
              <w:left w:val="nil"/>
              <w:bottom w:val="nil"/>
              <w:right w:val="nil"/>
            </w:tcBorders>
          </w:tcPr>
          <w:p w:rsidR="007F78F1" w:rsidRDefault="007F78F1">
            <w:pPr>
              <w:ind w:right="306"/>
              <w:jc w:val="right"/>
              <w:rPr>
                <w:sz w:val="24"/>
                <w:szCs w:val="24"/>
              </w:rPr>
            </w:pPr>
          </w:p>
        </w:tc>
        <w:tc>
          <w:tcPr>
            <w:tcW w:w="1712" w:type="dxa"/>
            <w:tcBorders>
              <w:top w:val="single" w:sz="4" w:space="0" w:color="auto"/>
              <w:left w:val="nil"/>
              <w:bottom w:val="nil"/>
              <w:right w:val="nil"/>
            </w:tcBorders>
            <w:hideMark/>
          </w:tcPr>
          <w:p w:rsidR="007F78F1" w:rsidRDefault="007F78F1">
            <w:pPr>
              <w:ind w:right="601"/>
              <w:jc w:val="right"/>
              <w:rPr>
                <w:b/>
                <w:sz w:val="24"/>
                <w:szCs w:val="24"/>
              </w:rPr>
            </w:pPr>
            <w:r>
              <w:rPr>
                <w:b/>
                <w:sz w:val="24"/>
                <w:szCs w:val="24"/>
              </w:rPr>
              <w:t>368</w:t>
            </w:r>
          </w:p>
        </w:tc>
        <w:tc>
          <w:tcPr>
            <w:tcW w:w="1985" w:type="dxa"/>
            <w:tcBorders>
              <w:top w:val="single" w:sz="4" w:space="0" w:color="auto"/>
              <w:left w:val="nil"/>
              <w:bottom w:val="nil"/>
              <w:right w:val="nil"/>
            </w:tcBorders>
            <w:hideMark/>
          </w:tcPr>
          <w:p w:rsidR="007F78F1" w:rsidRDefault="007F78F1">
            <w:pPr>
              <w:ind w:right="601"/>
              <w:jc w:val="right"/>
              <w:rPr>
                <w:b/>
                <w:sz w:val="24"/>
                <w:szCs w:val="24"/>
              </w:rPr>
            </w:pPr>
            <w:r>
              <w:rPr>
                <w:b/>
                <w:sz w:val="24"/>
                <w:szCs w:val="24"/>
              </w:rPr>
              <w:t>100.0</w:t>
            </w:r>
          </w:p>
        </w:tc>
      </w:tr>
    </w:tbl>
    <w:p w:rsidR="007F78F1" w:rsidRDefault="007F78F1" w:rsidP="007F78F1">
      <w:pPr>
        <w:rPr>
          <w:rFonts w:ascii="Times New Roman" w:hAnsi="Times New Roman" w:cs="Times New Roman"/>
          <w:sz w:val="20"/>
          <w:szCs w:val="20"/>
        </w:rPr>
      </w:pPr>
      <w:r>
        <w:pict>
          <v:shape id="_x0000_s1066" type="#_x0000_t202" style="position:absolute;margin-left:-10.75pt;margin-top:20.9pt;width:29.15pt;height:33.75pt;z-index:251704320;mso-position-horizontal-relative:text;mso-position-vertical-relative:text;mso-width-relative:margin;mso-height-relative:margin" filled="f" stroked="f">
            <v:textbox style="mso-next-textbox:#_x0000_s1066">
              <w:txbxContent>
                <w:p w:rsidR="007F78F1" w:rsidRDefault="007F78F1" w:rsidP="007F78F1">
                  <w:pPr>
                    <w:rPr>
                      <w:rFonts w:ascii="Times New Roman" w:hAnsi="Times New Roman" w:cs="Times New Roman"/>
                      <w:sz w:val="36"/>
                      <w:szCs w:val="36"/>
                    </w:rPr>
                  </w:pPr>
                  <w:r>
                    <w:rPr>
                      <w:rFonts w:ascii="Times New Roman" w:hAnsi="Times New Roman" w:cs="Times New Roman"/>
                      <w:sz w:val="36"/>
                      <w:szCs w:val="36"/>
                    </w:rPr>
                    <w:t>C</w:t>
                  </w:r>
                </w:p>
              </w:txbxContent>
            </v:textbox>
          </v:shape>
        </w:pict>
      </w:r>
    </w:p>
    <w:p w:rsidR="007F78F1" w:rsidRDefault="007F78F1" w:rsidP="007F78F1">
      <w:pPr>
        <w:jc w:val="center"/>
        <w:rPr>
          <w:rFonts w:ascii="Times New Roman" w:hAnsi="Times New Roman" w:cs="Times New Roman"/>
          <w:b/>
          <w:sz w:val="24"/>
          <w:szCs w:val="24"/>
        </w:rPr>
      </w:pPr>
      <w:r>
        <w:rPr>
          <w:rFonts w:ascii="Times New Roman" w:hAnsi="Times New Roman" w:cs="Times New Roman"/>
          <w:b/>
          <w:sz w:val="24"/>
          <w:szCs w:val="24"/>
        </w:rPr>
        <w:t>SJF4094 +IPTG</w:t>
      </w:r>
    </w:p>
    <w:tbl>
      <w:tblPr>
        <w:tblStyle w:val="TableGrid"/>
        <w:tblW w:w="8472" w:type="dxa"/>
        <w:tblLook w:val="04A0"/>
      </w:tblPr>
      <w:tblGrid>
        <w:gridCol w:w="2943"/>
        <w:gridCol w:w="1843"/>
        <w:gridCol w:w="1701"/>
        <w:gridCol w:w="1985"/>
      </w:tblGrid>
      <w:tr w:rsidR="007F78F1" w:rsidTr="007F78F1">
        <w:tc>
          <w:tcPr>
            <w:tcW w:w="2943" w:type="dxa"/>
            <w:tcBorders>
              <w:top w:val="single" w:sz="4" w:space="0" w:color="auto"/>
              <w:left w:val="nil"/>
              <w:bottom w:val="single" w:sz="4" w:space="0" w:color="auto"/>
              <w:right w:val="nil"/>
            </w:tcBorders>
            <w:hideMark/>
          </w:tcPr>
          <w:p w:rsidR="007F78F1" w:rsidRDefault="007F78F1">
            <w:pPr>
              <w:jc w:val="center"/>
              <w:rPr>
                <w:b/>
                <w:sz w:val="24"/>
                <w:szCs w:val="24"/>
              </w:rPr>
            </w:pPr>
            <w:r>
              <w:rPr>
                <w:b/>
                <w:sz w:val="24"/>
                <w:szCs w:val="24"/>
              </w:rPr>
              <w:t>Stage of cell cycle</w:t>
            </w:r>
          </w:p>
        </w:tc>
        <w:tc>
          <w:tcPr>
            <w:tcW w:w="1843" w:type="dxa"/>
            <w:tcBorders>
              <w:top w:val="single" w:sz="4" w:space="0" w:color="auto"/>
              <w:left w:val="nil"/>
              <w:bottom w:val="single" w:sz="4" w:space="0" w:color="auto"/>
              <w:right w:val="nil"/>
            </w:tcBorders>
            <w:hideMark/>
          </w:tcPr>
          <w:p w:rsidR="007F78F1" w:rsidRDefault="007F78F1">
            <w:pPr>
              <w:jc w:val="center"/>
              <w:rPr>
                <w:b/>
                <w:sz w:val="24"/>
                <w:szCs w:val="24"/>
              </w:rPr>
            </w:pPr>
            <w:r>
              <w:rPr>
                <w:b/>
                <w:sz w:val="24"/>
                <w:szCs w:val="24"/>
              </w:rPr>
              <w:t>Average cell size, (µm</w:t>
            </w:r>
            <w:r>
              <w:rPr>
                <w:b/>
                <w:sz w:val="24"/>
                <w:szCs w:val="24"/>
                <w:vertAlign w:val="superscript"/>
              </w:rPr>
              <w:t>2</w:t>
            </w:r>
            <w:r>
              <w:rPr>
                <w:b/>
                <w:sz w:val="24"/>
                <w:szCs w:val="24"/>
              </w:rPr>
              <w:t>)</w:t>
            </w:r>
          </w:p>
        </w:tc>
        <w:tc>
          <w:tcPr>
            <w:tcW w:w="1701" w:type="dxa"/>
            <w:tcBorders>
              <w:top w:val="single" w:sz="4" w:space="0" w:color="auto"/>
              <w:left w:val="nil"/>
              <w:bottom w:val="single" w:sz="4" w:space="0" w:color="auto"/>
              <w:right w:val="nil"/>
            </w:tcBorders>
            <w:hideMark/>
          </w:tcPr>
          <w:p w:rsidR="007F78F1" w:rsidRDefault="007F78F1">
            <w:pPr>
              <w:jc w:val="center"/>
              <w:rPr>
                <w:b/>
                <w:sz w:val="24"/>
                <w:szCs w:val="24"/>
              </w:rPr>
            </w:pPr>
            <w:r>
              <w:rPr>
                <w:b/>
                <w:sz w:val="24"/>
                <w:szCs w:val="24"/>
              </w:rPr>
              <w:t>Number of cells (n)</w:t>
            </w:r>
          </w:p>
        </w:tc>
        <w:tc>
          <w:tcPr>
            <w:tcW w:w="1985" w:type="dxa"/>
            <w:tcBorders>
              <w:top w:val="single" w:sz="4" w:space="0" w:color="auto"/>
              <w:left w:val="nil"/>
              <w:bottom w:val="single" w:sz="4" w:space="0" w:color="auto"/>
              <w:right w:val="nil"/>
            </w:tcBorders>
            <w:hideMark/>
          </w:tcPr>
          <w:p w:rsidR="007F78F1" w:rsidRDefault="007F78F1">
            <w:pPr>
              <w:jc w:val="center"/>
              <w:rPr>
                <w:b/>
                <w:sz w:val="24"/>
                <w:szCs w:val="24"/>
              </w:rPr>
            </w:pPr>
            <w:r>
              <w:rPr>
                <w:b/>
                <w:sz w:val="24"/>
                <w:szCs w:val="24"/>
              </w:rPr>
              <w:t>Proportion of total count (%)</w:t>
            </w:r>
          </w:p>
        </w:tc>
      </w:tr>
      <w:tr w:rsidR="007F78F1" w:rsidTr="007F78F1">
        <w:tc>
          <w:tcPr>
            <w:tcW w:w="2943" w:type="dxa"/>
            <w:tcBorders>
              <w:top w:val="single" w:sz="4" w:space="0" w:color="auto"/>
              <w:left w:val="nil"/>
              <w:bottom w:val="nil"/>
              <w:right w:val="nil"/>
            </w:tcBorders>
            <w:hideMark/>
          </w:tcPr>
          <w:p w:rsidR="007F78F1" w:rsidRDefault="007F78F1">
            <w:pPr>
              <w:rPr>
                <w:sz w:val="24"/>
                <w:szCs w:val="24"/>
              </w:rPr>
            </w:pPr>
            <w:r>
              <w:rPr>
                <w:sz w:val="24"/>
                <w:szCs w:val="24"/>
              </w:rPr>
              <w:t>Incomplete septum</w:t>
            </w:r>
          </w:p>
        </w:tc>
        <w:tc>
          <w:tcPr>
            <w:tcW w:w="1843" w:type="dxa"/>
            <w:tcBorders>
              <w:top w:val="single" w:sz="4" w:space="0" w:color="auto"/>
              <w:left w:val="nil"/>
              <w:bottom w:val="nil"/>
              <w:right w:val="nil"/>
            </w:tcBorders>
            <w:hideMark/>
          </w:tcPr>
          <w:p w:rsidR="007F78F1" w:rsidRDefault="007F78F1">
            <w:pPr>
              <w:ind w:right="317"/>
              <w:jc w:val="right"/>
              <w:rPr>
                <w:sz w:val="24"/>
                <w:szCs w:val="24"/>
              </w:rPr>
            </w:pPr>
            <w:r>
              <w:rPr>
                <w:sz w:val="24"/>
                <w:szCs w:val="24"/>
              </w:rPr>
              <w:t>1.49 ± 0.31</w:t>
            </w:r>
          </w:p>
        </w:tc>
        <w:tc>
          <w:tcPr>
            <w:tcW w:w="1701" w:type="dxa"/>
            <w:tcBorders>
              <w:top w:val="single" w:sz="4" w:space="0" w:color="auto"/>
              <w:left w:val="nil"/>
              <w:bottom w:val="nil"/>
              <w:right w:val="nil"/>
            </w:tcBorders>
            <w:hideMark/>
          </w:tcPr>
          <w:p w:rsidR="007F78F1" w:rsidRDefault="007F78F1">
            <w:pPr>
              <w:ind w:right="601"/>
              <w:jc w:val="right"/>
              <w:rPr>
                <w:sz w:val="24"/>
                <w:szCs w:val="24"/>
              </w:rPr>
            </w:pPr>
            <w:r>
              <w:rPr>
                <w:sz w:val="24"/>
                <w:szCs w:val="24"/>
              </w:rPr>
              <w:t>64</w:t>
            </w:r>
          </w:p>
        </w:tc>
        <w:tc>
          <w:tcPr>
            <w:tcW w:w="1985" w:type="dxa"/>
            <w:tcBorders>
              <w:top w:val="single" w:sz="4" w:space="0" w:color="auto"/>
              <w:left w:val="nil"/>
              <w:bottom w:val="nil"/>
              <w:right w:val="nil"/>
            </w:tcBorders>
            <w:hideMark/>
          </w:tcPr>
          <w:p w:rsidR="007F78F1" w:rsidRDefault="007F78F1">
            <w:pPr>
              <w:tabs>
                <w:tab w:val="left" w:pos="1168"/>
              </w:tabs>
              <w:ind w:right="601"/>
              <w:jc w:val="right"/>
              <w:rPr>
                <w:sz w:val="24"/>
                <w:szCs w:val="24"/>
              </w:rPr>
            </w:pPr>
            <w:r>
              <w:rPr>
                <w:sz w:val="24"/>
                <w:szCs w:val="24"/>
              </w:rPr>
              <w:t>17.1</w:t>
            </w:r>
          </w:p>
        </w:tc>
      </w:tr>
      <w:tr w:rsidR="007F78F1" w:rsidTr="007F78F1">
        <w:tc>
          <w:tcPr>
            <w:tcW w:w="2943" w:type="dxa"/>
            <w:tcBorders>
              <w:top w:val="nil"/>
              <w:left w:val="nil"/>
              <w:bottom w:val="nil"/>
              <w:right w:val="nil"/>
            </w:tcBorders>
            <w:hideMark/>
          </w:tcPr>
          <w:p w:rsidR="007F78F1" w:rsidRDefault="007F78F1">
            <w:pPr>
              <w:rPr>
                <w:sz w:val="24"/>
                <w:szCs w:val="24"/>
              </w:rPr>
            </w:pPr>
            <w:r>
              <w:rPr>
                <w:sz w:val="24"/>
                <w:szCs w:val="24"/>
              </w:rPr>
              <w:t>Complete septum, not split</w:t>
            </w:r>
          </w:p>
        </w:tc>
        <w:tc>
          <w:tcPr>
            <w:tcW w:w="1843" w:type="dxa"/>
            <w:tcBorders>
              <w:top w:val="nil"/>
              <w:left w:val="nil"/>
              <w:bottom w:val="nil"/>
              <w:right w:val="nil"/>
            </w:tcBorders>
            <w:hideMark/>
          </w:tcPr>
          <w:p w:rsidR="007F78F1" w:rsidRDefault="007F78F1">
            <w:pPr>
              <w:ind w:right="317"/>
              <w:jc w:val="right"/>
              <w:rPr>
                <w:sz w:val="24"/>
                <w:szCs w:val="24"/>
              </w:rPr>
            </w:pPr>
            <w:r>
              <w:rPr>
                <w:sz w:val="24"/>
                <w:szCs w:val="24"/>
              </w:rPr>
              <w:t>0.91 ± 0.23</w:t>
            </w:r>
          </w:p>
        </w:tc>
        <w:tc>
          <w:tcPr>
            <w:tcW w:w="1701" w:type="dxa"/>
            <w:tcBorders>
              <w:top w:val="nil"/>
              <w:left w:val="nil"/>
              <w:bottom w:val="nil"/>
              <w:right w:val="nil"/>
            </w:tcBorders>
            <w:hideMark/>
          </w:tcPr>
          <w:p w:rsidR="007F78F1" w:rsidRDefault="007F78F1">
            <w:pPr>
              <w:ind w:right="601"/>
              <w:jc w:val="right"/>
              <w:rPr>
                <w:sz w:val="24"/>
                <w:szCs w:val="24"/>
              </w:rPr>
            </w:pPr>
            <w:r>
              <w:rPr>
                <w:sz w:val="24"/>
                <w:szCs w:val="24"/>
              </w:rPr>
              <w:t>172</w:t>
            </w:r>
          </w:p>
        </w:tc>
        <w:tc>
          <w:tcPr>
            <w:tcW w:w="1985" w:type="dxa"/>
            <w:tcBorders>
              <w:top w:val="nil"/>
              <w:left w:val="nil"/>
              <w:bottom w:val="nil"/>
              <w:right w:val="nil"/>
            </w:tcBorders>
            <w:hideMark/>
          </w:tcPr>
          <w:p w:rsidR="007F78F1" w:rsidRDefault="007F78F1">
            <w:pPr>
              <w:tabs>
                <w:tab w:val="left" w:pos="1168"/>
              </w:tabs>
              <w:ind w:right="601"/>
              <w:jc w:val="right"/>
              <w:rPr>
                <w:sz w:val="24"/>
                <w:szCs w:val="24"/>
              </w:rPr>
            </w:pPr>
            <w:r>
              <w:rPr>
                <w:sz w:val="24"/>
                <w:szCs w:val="24"/>
              </w:rPr>
              <w:t>46.0</w:t>
            </w:r>
          </w:p>
        </w:tc>
      </w:tr>
      <w:tr w:rsidR="007F78F1" w:rsidTr="007F78F1">
        <w:tc>
          <w:tcPr>
            <w:tcW w:w="2943" w:type="dxa"/>
            <w:tcBorders>
              <w:top w:val="nil"/>
              <w:left w:val="nil"/>
              <w:bottom w:val="nil"/>
              <w:right w:val="nil"/>
            </w:tcBorders>
            <w:hideMark/>
          </w:tcPr>
          <w:p w:rsidR="007F78F1" w:rsidRDefault="007F78F1">
            <w:pPr>
              <w:rPr>
                <w:sz w:val="24"/>
                <w:szCs w:val="24"/>
              </w:rPr>
            </w:pPr>
            <w:r>
              <w:rPr>
                <w:sz w:val="24"/>
                <w:szCs w:val="24"/>
              </w:rPr>
              <w:t>Complete septum, split</w:t>
            </w:r>
          </w:p>
        </w:tc>
        <w:tc>
          <w:tcPr>
            <w:tcW w:w="1843" w:type="dxa"/>
            <w:tcBorders>
              <w:top w:val="nil"/>
              <w:left w:val="nil"/>
              <w:bottom w:val="nil"/>
              <w:right w:val="nil"/>
            </w:tcBorders>
            <w:hideMark/>
          </w:tcPr>
          <w:p w:rsidR="007F78F1" w:rsidRDefault="007F78F1">
            <w:pPr>
              <w:ind w:right="317"/>
              <w:jc w:val="right"/>
              <w:rPr>
                <w:sz w:val="24"/>
                <w:szCs w:val="24"/>
              </w:rPr>
            </w:pPr>
            <w:r>
              <w:rPr>
                <w:sz w:val="24"/>
                <w:szCs w:val="24"/>
              </w:rPr>
              <w:t>1.20 ± 0.18</w:t>
            </w:r>
          </w:p>
        </w:tc>
        <w:tc>
          <w:tcPr>
            <w:tcW w:w="1701" w:type="dxa"/>
            <w:tcBorders>
              <w:top w:val="nil"/>
              <w:left w:val="nil"/>
              <w:bottom w:val="nil"/>
              <w:right w:val="nil"/>
            </w:tcBorders>
            <w:hideMark/>
          </w:tcPr>
          <w:p w:rsidR="007F78F1" w:rsidRDefault="007F78F1">
            <w:pPr>
              <w:ind w:right="601"/>
              <w:jc w:val="right"/>
              <w:rPr>
                <w:sz w:val="24"/>
                <w:szCs w:val="24"/>
              </w:rPr>
            </w:pPr>
            <w:r>
              <w:rPr>
                <w:sz w:val="24"/>
                <w:szCs w:val="24"/>
              </w:rPr>
              <w:t>71</w:t>
            </w:r>
          </w:p>
        </w:tc>
        <w:tc>
          <w:tcPr>
            <w:tcW w:w="1985" w:type="dxa"/>
            <w:tcBorders>
              <w:top w:val="nil"/>
              <w:left w:val="nil"/>
              <w:bottom w:val="nil"/>
              <w:right w:val="nil"/>
            </w:tcBorders>
            <w:hideMark/>
          </w:tcPr>
          <w:p w:rsidR="007F78F1" w:rsidRDefault="007F78F1">
            <w:pPr>
              <w:tabs>
                <w:tab w:val="left" w:pos="1168"/>
              </w:tabs>
              <w:ind w:right="601"/>
              <w:jc w:val="right"/>
              <w:rPr>
                <w:sz w:val="24"/>
                <w:szCs w:val="24"/>
              </w:rPr>
            </w:pPr>
            <w:r>
              <w:rPr>
                <w:sz w:val="24"/>
                <w:szCs w:val="24"/>
              </w:rPr>
              <w:t>19.0</w:t>
            </w:r>
          </w:p>
        </w:tc>
      </w:tr>
      <w:tr w:rsidR="007F78F1" w:rsidTr="007F78F1">
        <w:tc>
          <w:tcPr>
            <w:tcW w:w="2943" w:type="dxa"/>
            <w:tcBorders>
              <w:top w:val="nil"/>
              <w:left w:val="nil"/>
              <w:bottom w:val="nil"/>
              <w:right w:val="nil"/>
            </w:tcBorders>
            <w:hideMark/>
          </w:tcPr>
          <w:p w:rsidR="007F78F1" w:rsidRDefault="007F78F1">
            <w:pPr>
              <w:rPr>
                <w:sz w:val="24"/>
                <w:szCs w:val="24"/>
              </w:rPr>
            </w:pPr>
            <w:r>
              <w:rPr>
                <w:sz w:val="24"/>
                <w:szCs w:val="24"/>
              </w:rPr>
              <w:t>Orthogonal new growth</w:t>
            </w:r>
          </w:p>
        </w:tc>
        <w:tc>
          <w:tcPr>
            <w:tcW w:w="1843" w:type="dxa"/>
            <w:tcBorders>
              <w:top w:val="nil"/>
              <w:left w:val="nil"/>
              <w:bottom w:val="nil"/>
              <w:right w:val="nil"/>
            </w:tcBorders>
            <w:hideMark/>
          </w:tcPr>
          <w:p w:rsidR="007F78F1" w:rsidRDefault="007F78F1">
            <w:pPr>
              <w:ind w:right="317"/>
              <w:jc w:val="right"/>
              <w:rPr>
                <w:sz w:val="24"/>
                <w:szCs w:val="24"/>
              </w:rPr>
            </w:pPr>
            <w:r>
              <w:rPr>
                <w:sz w:val="24"/>
                <w:szCs w:val="24"/>
              </w:rPr>
              <w:t>1.38 ± 0.22</w:t>
            </w:r>
          </w:p>
        </w:tc>
        <w:tc>
          <w:tcPr>
            <w:tcW w:w="1701" w:type="dxa"/>
            <w:tcBorders>
              <w:top w:val="nil"/>
              <w:left w:val="nil"/>
              <w:bottom w:val="nil"/>
              <w:right w:val="nil"/>
            </w:tcBorders>
            <w:hideMark/>
          </w:tcPr>
          <w:p w:rsidR="007F78F1" w:rsidRDefault="007F78F1">
            <w:pPr>
              <w:ind w:right="601"/>
              <w:jc w:val="right"/>
              <w:rPr>
                <w:sz w:val="24"/>
                <w:szCs w:val="24"/>
              </w:rPr>
            </w:pPr>
            <w:r>
              <w:rPr>
                <w:sz w:val="24"/>
                <w:szCs w:val="24"/>
              </w:rPr>
              <w:t>39</w:t>
            </w:r>
          </w:p>
        </w:tc>
        <w:tc>
          <w:tcPr>
            <w:tcW w:w="1985" w:type="dxa"/>
            <w:tcBorders>
              <w:top w:val="nil"/>
              <w:left w:val="nil"/>
              <w:bottom w:val="nil"/>
              <w:right w:val="nil"/>
            </w:tcBorders>
            <w:hideMark/>
          </w:tcPr>
          <w:p w:rsidR="007F78F1" w:rsidRDefault="007F78F1">
            <w:pPr>
              <w:tabs>
                <w:tab w:val="left" w:pos="1168"/>
              </w:tabs>
              <w:ind w:right="601"/>
              <w:jc w:val="right"/>
              <w:rPr>
                <w:sz w:val="24"/>
                <w:szCs w:val="24"/>
              </w:rPr>
            </w:pPr>
            <w:r>
              <w:rPr>
                <w:sz w:val="24"/>
                <w:szCs w:val="24"/>
              </w:rPr>
              <w:t>10.4</w:t>
            </w:r>
          </w:p>
        </w:tc>
      </w:tr>
      <w:tr w:rsidR="007F78F1" w:rsidTr="007F78F1">
        <w:tc>
          <w:tcPr>
            <w:tcW w:w="2943" w:type="dxa"/>
            <w:tcBorders>
              <w:top w:val="nil"/>
              <w:left w:val="nil"/>
              <w:bottom w:val="single" w:sz="4" w:space="0" w:color="auto"/>
              <w:right w:val="nil"/>
            </w:tcBorders>
            <w:hideMark/>
          </w:tcPr>
          <w:p w:rsidR="007F78F1" w:rsidRDefault="007F78F1">
            <w:pPr>
              <w:rPr>
                <w:sz w:val="24"/>
                <w:szCs w:val="24"/>
              </w:rPr>
            </w:pPr>
            <w:r>
              <w:rPr>
                <w:sz w:val="24"/>
                <w:szCs w:val="24"/>
              </w:rPr>
              <w:t>Other</w:t>
            </w:r>
          </w:p>
        </w:tc>
        <w:tc>
          <w:tcPr>
            <w:tcW w:w="1843" w:type="dxa"/>
            <w:tcBorders>
              <w:top w:val="nil"/>
              <w:left w:val="nil"/>
              <w:bottom w:val="single" w:sz="4" w:space="0" w:color="auto"/>
              <w:right w:val="nil"/>
            </w:tcBorders>
            <w:hideMark/>
          </w:tcPr>
          <w:p w:rsidR="007F78F1" w:rsidRDefault="007F78F1">
            <w:pPr>
              <w:ind w:right="317"/>
              <w:jc w:val="right"/>
              <w:rPr>
                <w:sz w:val="24"/>
                <w:szCs w:val="24"/>
              </w:rPr>
            </w:pPr>
            <w:r>
              <w:rPr>
                <w:sz w:val="24"/>
                <w:szCs w:val="24"/>
              </w:rPr>
              <w:t>1.03 ± 0.34</w:t>
            </w:r>
          </w:p>
        </w:tc>
        <w:tc>
          <w:tcPr>
            <w:tcW w:w="1701" w:type="dxa"/>
            <w:tcBorders>
              <w:top w:val="nil"/>
              <w:left w:val="nil"/>
              <w:bottom w:val="single" w:sz="4" w:space="0" w:color="auto"/>
              <w:right w:val="nil"/>
            </w:tcBorders>
            <w:hideMark/>
          </w:tcPr>
          <w:p w:rsidR="007F78F1" w:rsidRDefault="007F78F1">
            <w:pPr>
              <w:ind w:right="601"/>
              <w:jc w:val="right"/>
              <w:rPr>
                <w:sz w:val="24"/>
                <w:szCs w:val="24"/>
              </w:rPr>
            </w:pPr>
            <w:r>
              <w:rPr>
                <w:sz w:val="24"/>
                <w:szCs w:val="24"/>
              </w:rPr>
              <w:t>28</w:t>
            </w:r>
          </w:p>
        </w:tc>
        <w:tc>
          <w:tcPr>
            <w:tcW w:w="1985" w:type="dxa"/>
            <w:tcBorders>
              <w:top w:val="nil"/>
              <w:left w:val="nil"/>
              <w:bottom w:val="single" w:sz="4" w:space="0" w:color="auto"/>
              <w:right w:val="nil"/>
            </w:tcBorders>
            <w:hideMark/>
          </w:tcPr>
          <w:p w:rsidR="007F78F1" w:rsidRDefault="007F78F1">
            <w:pPr>
              <w:tabs>
                <w:tab w:val="left" w:pos="1168"/>
              </w:tabs>
              <w:ind w:right="601"/>
              <w:jc w:val="right"/>
              <w:rPr>
                <w:sz w:val="24"/>
                <w:szCs w:val="24"/>
              </w:rPr>
            </w:pPr>
            <w:r>
              <w:rPr>
                <w:sz w:val="24"/>
                <w:szCs w:val="24"/>
              </w:rPr>
              <w:t>7.5</w:t>
            </w:r>
          </w:p>
        </w:tc>
      </w:tr>
      <w:tr w:rsidR="007F78F1" w:rsidTr="007F78F1">
        <w:tc>
          <w:tcPr>
            <w:tcW w:w="2943" w:type="dxa"/>
            <w:tcBorders>
              <w:top w:val="single" w:sz="4" w:space="0" w:color="auto"/>
              <w:left w:val="nil"/>
              <w:bottom w:val="nil"/>
              <w:right w:val="nil"/>
            </w:tcBorders>
            <w:hideMark/>
          </w:tcPr>
          <w:p w:rsidR="007F78F1" w:rsidRDefault="007F78F1">
            <w:pPr>
              <w:rPr>
                <w:b/>
                <w:sz w:val="24"/>
                <w:szCs w:val="24"/>
              </w:rPr>
            </w:pPr>
            <w:r>
              <w:rPr>
                <w:b/>
                <w:sz w:val="24"/>
                <w:szCs w:val="24"/>
              </w:rPr>
              <w:t>Total</w:t>
            </w:r>
          </w:p>
        </w:tc>
        <w:tc>
          <w:tcPr>
            <w:tcW w:w="1843" w:type="dxa"/>
            <w:tcBorders>
              <w:top w:val="single" w:sz="4" w:space="0" w:color="auto"/>
              <w:left w:val="nil"/>
              <w:bottom w:val="nil"/>
              <w:right w:val="nil"/>
            </w:tcBorders>
          </w:tcPr>
          <w:p w:rsidR="007F78F1" w:rsidRDefault="007F78F1">
            <w:pPr>
              <w:ind w:right="317"/>
              <w:jc w:val="right"/>
              <w:rPr>
                <w:b/>
                <w:sz w:val="24"/>
                <w:szCs w:val="24"/>
              </w:rPr>
            </w:pPr>
          </w:p>
        </w:tc>
        <w:tc>
          <w:tcPr>
            <w:tcW w:w="1701" w:type="dxa"/>
            <w:tcBorders>
              <w:top w:val="single" w:sz="4" w:space="0" w:color="auto"/>
              <w:left w:val="nil"/>
              <w:bottom w:val="nil"/>
              <w:right w:val="nil"/>
            </w:tcBorders>
            <w:hideMark/>
          </w:tcPr>
          <w:p w:rsidR="007F78F1" w:rsidRDefault="007F78F1">
            <w:pPr>
              <w:ind w:right="601"/>
              <w:jc w:val="right"/>
              <w:rPr>
                <w:b/>
                <w:sz w:val="24"/>
                <w:szCs w:val="24"/>
              </w:rPr>
            </w:pPr>
            <w:r>
              <w:rPr>
                <w:b/>
                <w:sz w:val="24"/>
                <w:szCs w:val="24"/>
              </w:rPr>
              <w:t>374</w:t>
            </w:r>
          </w:p>
        </w:tc>
        <w:tc>
          <w:tcPr>
            <w:tcW w:w="1985" w:type="dxa"/>
            <w:tcBorders>
              <w:top w:val="single" w:sz="4" w:space="0" w:color="auto"/>
              <w:left w:val="nil"/>
              <w:bottom w:val="nil"/>
              <w:right w:val="nil"/>
            </w:tcBorders>
            <w:hideMark/>
          </w:tcPr>
          <w:p w:rsidR="007F78F1" w:rsidRDefault="007F78F1">
            <w:pPr>
              <w:tabs>
                <w:tab w:val="left" w:pos="1168"/>
              </w:tabs>
              <w:ind w:right="601"/>
              <w:jc w:val="right"/>
              <w:rPr>
                <w:b/>
                <w:sz w:val="24"/>
                <w:szCs w:val="24"/>
              </w:rPr>
            </w:pPr>
            <w:r>
              <w:rPr>
                <w:b/>
                <w:sz w:val="24"/>
                <w:szCs w:val="24"/>
              </w:rPr>
              <w:t>100.0</w:t>
            </w:r>
          </w:p>
        </w:tc>
      </w:tr>
    </w:tbl>
    <w:p w:rsidR="007F78F1" w:rsidRDefault="007F78F1" w:rsidP="007F78F1">
      <w:pPr>
        <w:rPr>
          <w:rFonts w:ascii="Times New Roman" w:hAnsi="Times New Roman" w:cs="Times New Roman"/>
          <w:sz w:val="24"/>
          <w:szCs w:val="24"/>
        </w:rPr>
      </w:pPr>
      <w:r>
        <w:pict>
          <v:shape id="_x0000_s1067" type="#_x0000_t202" style="position:absolute;margin-left:-5.75pt;margin-top:19.05pt;width:29.15pt;height:33.75pt;z-index:251705344;mso-position-horizontal-relative:text;mso-position-vertical-relative:text;mso-width-relative:margin;mso-height-relative:margin" filled="f" stroked="f">
            <v:textbox style="mso-next-textbox:#_x0000_s1067">
              <w:txbxContent>
                <w:p w:rsidR="007F78F1" w:rsidRDefault="007F78F1" w:rsidP="007F78F1">
                  <w:pPr>
                    <w:rPr>
                      <w:rFonts w:ascii="Times New Roman" w:hAnsi="Times New Roman" w:cs="Times New Roman"/>
                      <w:sz w:val="36"/>
                      <w:szCs w:val="36"/>
                    </w:rPr>
                  </w:pPr>
                  <w:r>
                    <w:rPr>
                      <w:rFonts w:ascii="Times New Roman" w:hAnsi="Times New Roman" w:cs="Times New Roman"/>
                      <w:sz w:val="36"/>
                      <w:szCs w:val="36"/>
                    </w:rPr>
                    <w:t>D</w:t>
                  </w:r>
                </w:p>
              </w:txbxContent>
            </v:textbox>
          </v:shape>
        </w:pict>
      </w:r>
    </w:p>
    <w:p w:rsidR="007F78F1" w:rsidRDefault="007F78F1" w:rsidP="007F78F1">
      <w:pPr>
        <w:jc w:val="center"/>
        <w:rPr>
          <w:rFonts w:ascii="Times New Roman" w:hAnsi="Times New Roman" w:cs="Times New Roman"/>
          <w:b/>
          <w:sz w:val="24"/>
          <w:szCs w:val="24"/>
        </w:rPr>
      </w:pPr>
      <w:r>
        <w:rPr>
          <w:rFonts w:ascii="Times New Roman" w:hAnsi="Times New Roman" w:cs="Times New Roman"/>
          <w:b/>
          <w:sz w:val="24"/>
          <w:szCs w:val="24"/>
        </w:rPr>
        <w:t>SJF4092</w:t>
      </w:r>
    </w:p>
    <w:tbl>
      <w:tblPr>
        <w:tblStyle w:val="TableGrid"/>
        <w:tblW w:w="0" w:type="auto"/>
        <w:tblLook w:val="04A0"/>
      </w:tblPr>
      <w:tblGrid>
        <w:gridCol w:w="2943"/>
        <w:gridCol w:w="1843"/>
        <w:gridCol w:w="1701"/>
        <w:gridCol w:w="1985"/>
      </w:tblGrid>
      <w:tr w:rsidR="007F78F1" w:rsidTr="007F78F1">
        <w:tc>
          <w:tcPr>
            <w:tcW w:w="2943" w:type="dxa"/>
            <w:tcBorders>
              <w:top w:val="single" w:sz="4" w:space="0" w:color="auto"/>
              <w:left w:val="nil"/>
              <w:bottom w:val="single" w:sz="4" w:space="0" w:color="auto"/>
              <w:right w:val="nil"/>
            </w:tcBorders>
            <w:hideMark/>
          </w:tcPr>
          <w:p w:rsidR="007F78F1" w:rsidRDefault="007F78F1">
            <w:pPr>
              <w:jc w:val="center"/>
              <w:rPr>
                <w:b/>
                <w:sz w:val="24"/>
                <w:szCs w:val="24"/>
              </w:rPr>
            </w:pPr>
            <w:r>
              <w:rPr>
                <w:b/>
                <w:sz w:val="24"/>
                <w:szCs w:val="24"/>
              </w:rPr>
              <w:t>Stage of cell cycle</w:t>
            </w:r>
          </w:p>
        </w:tc>
        <w:tc>
          <w:tcPr>
            <w:tcW w:w="1843" w:type="dxa"/>
            <w:tcBorders>
              <w:top w:val="single" w:sz="4" w:space="0" w:color="auto"/>
              <w:left w:val="nil"/>
              <w:bottom w:val="single" w:sz="4" w:space="0" w:color="auto"/>
              <w:right w:val="nil"/>
            </w:tcBorders>
            <w:hideMark/>
          </w:tcPr>
          <w:p w:rsidR="007F78F1" w:rsidRDefault="007F78F1">
            <w:pPr>
              <w:jc w:val="center"/>
              <w:rPr>
                <w:b/>
                <w:sz w:val="24"/>
                <w:szCs w:val="24"/>
              </w:rPr>
            </w:pPr>
            <w:r>
              <w:rPr>
                <w:b/>
                <w:sz w:val="24"/>
                <w:szCs w:val="24"/>
              </w:rPr>
              <w:t>Average cell size, (µm</w:t>
            </w:r>
            <w:r>
              <w:rPr>
                <w:b/>
                <w:sz w:val="24"/>
                <w:szCs w:val="24"/>
                <w:vertAlign w:val="superscript"/>
              </w:rPr>
              <w:t>2</w:t>
            </w:r>
            <w:r>
              <w:rPr>
                <w:b/>
                <w:sz w:val="24"/>
                <w:szCs w:val="24"/>
              </w:rPr>
              <w:t>)</w:t>
            </w:r>
          </w:p>
        </w:tc>
        <w:tc>
          <w:tcPr>
            <w:tcW w:w="1701" w:type="dxa"/>
            <w:tcBorders>
              <w:top w:val="single" w:sz="4" w:space="0" w:color="auto"/>
              <w:left w:val="nil"/>
              <w:bottom w:val="single" w:sz="4" w:space="0" w:color="auto"/>
              <w:right w:val="nil"/>
            </w:tcBorders>
            <w:hideMark/>
          </w:tcPr>
          <w:p w:rsidR="007F78F1" w:rsidRDefault="007F78F1">
            <w:pPr>
              <w:jc w:val="center"/>
              <w:rPr>
                <w:b/>
                <w:sz w:val="24"/>
                <w:szCs w:val="24"/>
              </w:rPr>
            </w:pPr>
            <w:r>
              <w:rPr>
                <w:b/>
                <w:sz w:val="24"/>
                <w:szCs w:val="24"/>
              </w:rPr>
              <w:t>Number of cells (n)</w:t>
            </w:r>
          </w:p>
        </w:tc>
        <w:tc>
          <w:tcPr>
            <w:tcW w:w="1985" w:type="dxa"/>
            <w:tcBorders>
              <w:top w:val="single" w:sz="4" w:space="0" w:color="auto"/>
              <w:left w:val="nil"/>
              <w:bottom w:val="single" w:sz="4" w:space="0" w:color="auto"/>
              <w:right w:val="nil"/>
            </w:tcBorders>
            <w:hideMark/>
          </w:tcPr>
          <w:p w:rsidR="007F78F1" w:rsidRDefault="007F78F1">
            <w:pPr>
              <w:jc w:val="center"/>
              <w:rPr>
                <w:b/>
                <w:sz w:val="24"/>
                <w:szCs w:val="24"/>
              </w:rPr>
            </w:pPr>
            <w:r>
              <w:rPr>
                <w:b/>
                <w:sz w:val="24"/>
                <w:szCs w:val="24"/>
              </w:rPr>
              <w:t>Proportion of total count (%)</w:t>
            </w:r>
          </w:p>
        </w:tc>
      </w:tr>
      <w:tr w:rsidR="007F78F1" w:rsidTr="007F78F1">
        <w:tc>
          <w:tcPr>
            <w:tcW w:w="2943" w:type="dxa"/>
            <w:tcBorders>
              <w:top w:val="single" w:sz="4" w:space="0" w:color="auto"/>
              <w:left w:val="nil"/>
              <w:bottom w:val="nil"/>
              <w:right w:val="nil"/>
            </w:tcBorders>
            <w:hideMark/>
          </w:tcPr>
          <w:p w:rsidR="007F78F1" w:rsidRDefault="007F78F1">
            <w:pPr>
              <w:rPr>
                <w:sz w:val="24"/>
                <w:szCs w:val="24"/>
              </w:rPr>
            </w:pPr>
            <w:r>
              <w:rPr>
                <w:sz w:val="24"/>
                <w:szCs w:val="24"/>
              </w:rPr>
              <w:t>Incomplete septum</w:t>
            </w:r>
          </w:p>
        </w:tc>
        <w:tc>
          <w:tcPr>
            <w:tcW w:w="1843" w:type="dxa"/>
            <w:tcBorders>
              <w:top w:val="single" w:sz="4" w:space="0" w:color="auto"/>
              <w:left w:val="nil"/>
              <w:bottom w:val="nil"/>
              <w:right w:val="nil"/>
            </w:tcBorders>
            <w:hideMark/>
          </w:tcPr>
          <w:p w:rsidR="007F78F1" w:rsidRDefault="007F78F1">
            <w:pPr>
              <w:ind w:right="317"/>
              <w:jc w:val="right"/>
              <w:rPr>
                <w:sz w:val="24"/>
                <w:szCs w:val="24"/>
              </w:rPr>
            </w:pPr>
            <w:r>
              <w:rPr>
                <w:sz w:val="24"/>
                <w:szCs w:val="24"/>
              </w:rPr>
              <w:t>1.77 ± 0.49</w:t>
            </w:r>
          </w:p>
        </w:tc>
        <w:tc>
          <w:tcPr>
            <w:tcW w:w="1701" w:type="dxa"/>
            <w:tcBorders>
              <w:top w:val="single" w:sz="4" w:space="0" w:color="auto"/>
              <w:left w:val="nil"/>
              <w:bottom w:val="nil"/>
              <w:right w:val="nil"/>
            </w:tcBorders>
            <w:hideMark/>
          </w:tcPr>
          <w:p w:rsidR="007F78F1" w:rsidRDefault="007F78F1">
            <w:pPr>
              <w:ind w:right="601"/>
              <w:jc w:val="right"/>
              <w:rPr>
                <w:sz w:val="24"/>
                <w:szCs w:val="24"/>
              </w:rPr>
            </w:pPr>
            <w:r>
              <w:rPr>
                <w:sz w:val="24"/>
                <w:szCs w:val="24"/>
              </w:rPr>
              <w:t>23</w:t>
            </w:r>
          </w:p>
        </w:tc>
        <w:tc>
          <w:tcPr>
            <w:tcW w:w="1985" w:type="dxa"/>
            <w:tcBorders>
              <w:top w:val="single" w:sz="4" w:space="0" w:color="auto"/>
              <w:left w:val="nil"/>
              <w:bottom w:val="nil"/>
              <w:right w:val="nil"/>
            </w:tcBorders>
            <w:hideMark/>
          </w:tcPr>
          <w:p w:rsidR="007F78F1" w:rsidRDefault="007F78F1">
            <w:pPr>
              <w:ind w:right="601"/>
              <w:jc w:val="right"/>
              <w:rPr>
                <w:sz w:val="24"/>
                <w:szCs w:val="24"/>
              </w:rPr>
            </w:pPr>
            <w:r>
              <w:rPr>
                <w:sz w:val="24"/>
                <w:szCs w:val="24"/>
              </w:rPr>
              <w:t>7.3</w:t>
            </w:r>
          </w:p>
        </w:tc>
      </w:tr>
      <w:tr w:rsidR="007F78F1" w:rsidTr="007F78F1">
        <w:tc>
          <w:tcPr>
            <w:tcW w:w="2943" w:type="dxa"/>
            <w:tcBorders>
              <w:top w:val="nil"/>
              <w:left w:val="nil"/>
              <w:bottom w:val="nil"/>
              <w:right w:val="nil"/>
            </w:tcBorders>
            <w:hideMark/>
          </w:tcPr>
          <w:p w:rsidR="007F78F1" w:rsidRDefault="007F78F1">
            <w:pPr>
              <w:rPr>
                <w:sz w:val="24"/>
                <w:szCs w:val="24"/>
              </w:rPr>
            </w:pPr>
            <w:r>
              <w:rPr>
                <w:sz w:val="24"/>
                <w:szCs w:val="24"/>
              </w:rPr>
              <w:t>Complete septum, not split</w:t>
            </w:r>
          </w:p>
        </w:tc>
        <w:tc>
          <w:tcPr>
            <w:tcW w:w="1843" w:type="dxa"/>
            <w:tcBorders>
              <w:top w:val="nil"/>
              <w:left w:val="nil"/>
              <w:bottom w:val="nil"/>
              <w:right w:val="nil"/>
            </w:tcBorders>
            <w:hideMark/>
          </w:tcPr>
          <w:p w:rsidR="007F78F1" w:rsidRDefault="007F78F1">
            <w:pPr>
              <w:ind w:right="317"/>
              <w:jc w:val="right"/>
              <w:rPr>
                <w:sz w:val="24"/>
                <w:szCs w:val="24"/>
              </w:rPr>
            </w:pPr>
            <w:r>
              <w:rPr>
                <w:sz w:val="24"/>
                <w:szCs w:val="24"/>
              </w:rPr>
              <w:t>1.05 ± 0.30</w:t>
            </w:r>
          </w:p>
        </w:tc>
        <w:tc>
          <w:tcPr>
            <w:tcW w:w="1701" w:type="dxa"/>
            <w:tcBorders>
              <w:top w:val="nil"/>
              <w:left w:val="nil"/>
              <w:bottom w:val="nil"/>
              <w:right w:val="nil"/>
            </w:tcBorders>
            <w:hideMark/>
          </w:tcPr>
          <w:p w:rsidR="007F78F1" w:rsidRDefault="007F78F1">
            <w:pPr>
              <w:ind w:right="601"/>
              <w:jc w:val="right"/>
              <w:rPr>
                <w:sz w:val="24"/>
                <w:szCs w:val="24"/>
              </w:rPr>
            </w:pPr>
            <w:r>
              <w:rPr>
                <w:sz w:val="24"/>
                <w:szCs w:val="24"/>
              </w:rPr>
              <w:t>40</w:t>
            </w:r>
          </w:p>
        </w:tc>
        <w:tc>
          <w:tcPr>
            <w:tcW w:w="1985" w:type="dxa"/>
            <w:tcBorders>
              <w:top w:val="nil"/>
              <w:left w:val="nil"/>
              <w:bottom w:val="nil"/>
              <w:right w:val="nil"/>
            </w:tcBorders>
            <w:hideMark/>
          </w:tcPr>
          <w:p w:rsidR="007F78F1" w:rsidRDefault="007F78F1">
            <w:pPr>
              <w:ind w:right="601"/>
              <w:jc w:val="right"/>
              <w:rPr>
                <w:sz w:val="24"/>
                <w:szCs w:val="24"/>
              </w:rPr>
            </w:pPr>
            <w:r>
              <w:rPr>
                <w:sz w:val="24"/>
                <w:szCs w:val="24"/>
              </w:rPr>
              <w:t>12.8</w:t>
            </w:r>
          </w:p>
        </w:tc>
      </w:tr>
      <w:tr w:rsidR="007F78F1" w:rsidTr="007F78F1">
        <w:tc>
          <w:tcPr>
            <w:tcW w:w="2943" w:type="dxa"/>
            <w:tcBorders>
              <w:top w:val="nil"/>
              <w:left w:val="nil"/>
              <w:bottom w:val="nil"/>
              <w:right w:val="nil"/>
            </w:tcBorders>
            <w:hideMark/>
          </w:tcPr>
          <w:p w:rsidR="007F78F1" w:rsidRDefault="007F78F1">
            <w:pPr>
              <w:rPr>
                <w:sz w:val="24"/>
                <w:szCs w:val="24"/>
              </w:rPr>
            </w:pPr>
            <w:r>
              <w:rPr>
                <w:sz w:val="24"/>
                <w:szCs w:val="24"/>
              </w:rPr>
              <w:t>Complete septum, split</w:t>
            </w:r>
          </w:p>
        </w:tc>
        <w:tc>
          <w:tcPr>
            <w:tcW w:w="1843" w:type="dxa"/>
            <w:tcBorders>
              <w:top w:val="nil"/>
              <w:left w:val="nil"/>
              <w:bottom w:val="nil"/>
              <w:right w:val="nil"/>
            </w:tcBorders>
            <w:hideMark/>
          </w:tcPr>
          <w:p w:rsidR="007F78F1" w:rsidRDefault="007F78F1">
            <w:pPr>
              <w:ind w:right="317"/>
              <w:jc w:val="right"/>
              <w:rPr>
                <w:sz w:val="24"/>
                <w:szCs w:val="24"/>
              </w:rPr>
            </w:pPr>
            <w:r>
              <w:rPr>
                <w:sz w:val="24"/>
                <w:szCs w:val="24"/>
              </w:rPr>
              <w:t>1.46 ± 0.34</w:t>
            </w:r>
          </w:p>
        </w:tc>
        <w:tc>
          <w:tcPr>
            <w:tcW w:w="1701" w:type="dxa"/>
            <w:tcBorders>
              <w:top w:val="nil"/>
              <w:left w:val="nil"/>
              <w:bottom w:val="nil"/>
              <w:right w:val="nil"/>
            </w:tcBorders>
            <w:hideMark/>
          </w:tcPr>
          <w:p w:rsidR="007F78F1" w:rsidRDefault="007F78F1">
            <w:pPr>
              <w:ind w:right="601"/>
              <w:jc w:val="right"/>
              <w:rPr>
                <w:sz w:val="24"/>
                <w:szCs w:val="24"/>
              </w:rPr>
            </w:pPr>
            <w:r>
              <w:rPr>
                <w:sz w:val="24"/>
                <w:szCs w:val="24"/>
              </w:rPr>
              <w:t>63</w:t>
            </w:r>
          </w:p>
        </w:tc>
        <w:tc>
          <w:tcPr>
            <w:tcW w:w="1985" w:type="dxa"/>
            <w:tcBorders>
              <w:top w:val="nil"/>
              <w:left w:val="nil"/>
              <w:bottom w:val="nil"/>
              <w:right w:val="nil"/>
            </w:tcBorders>
            <w:hideMark/>
          </w:tcPr>
          <w:p w:rsidR="007F78F1" w:rsidRDefault="007F78F1">
            <w:pPr>
              <w:ind w:right="601"/>
              <w:jc w:val="right"/>
              <w:rPr>
                <w:sz w:val="24"/>
                <w:szCs w:val="24"/>
              </w:rPr>
            </w:pPr>
            <w:r>
              <w:rPr>
                <w:sz w:val="24"/>
                <w:szCs w:val="24"/>
              </w:rPr>
              <w:t>20.1</w:t>
            </w:r>
          </w:p>
        </w:tc>
      </w:tr>
      <w:tr w:rsidR="007F78F1" w:rsidTr="007F78F1">
        <w:tc>
          <w:tcPr>
            <w:tcW w:w="2943" w:type="dxa"/>
            <w:tcBorders>
              <w:top w:val="nil"/>
              <w:left w:val="nil"/>
              <w:bottom w:val="nil"/>
              <w:right w:val="nil"/>
            </w:tcBorders>
            <w:hideMark/>
          </w:tcPr>
          <w:p w:rsidR="007F78F1" w:rsidRDefault="007F78F1">
            <w:pPr>
              <w:rPr>
                <w:sz w:val="24"/>
                <w:szCs w:val="24"/>
              </w:rPr>
            </w:pPr>
            <w:r>
              <w:rPr>
                <w:sz w:val="24"/>
                <w:szCs w:val="24"/>
              </w:rPr>
              <w:t>Orthogonal new growth</w:t>
            </w:r>
          </w:p>
        </w:tc>
        <w:tc>
          <w:tcPr>
            <w:tcW w:w="1843" w:type="dxa"/>
            <w:tcBorders>
              <w:top w:val="nil"/>
              <w:left w:val="nil"/>
              <w:bottom w:val="nil"/>
              <w:right w:val="nil"/>
            </w:tcBorders>
            <w:hideMark/>
          </w:tcPr>
          <w:p w:rsidR="007F78F1" w:rsidRDefault="007F78F1">
            <w:pPr>
              <w:ind w:right="317"/>
              <w:jc w:val="right"/>
              <w:rPr>
                <w:sz w:val="24"/>
                <w:szCs w:val="24"/>
              </w:rPr>
            </w:pPr>
            <w:r>
              <w:rPr>
                <w:sz w:val="24"/>
                <w:szCs w:val="24"/>
              </w:rPr>
              <w:t>1.56 ± 0.33</w:t>
            </w:r>
          </w:p>
        </w:tc>
        <w:tc>
          <w:tcPr>
            <w:tcW w:w="1701" w:type="dxa"/>
            <w:tcBorders>
              <w:top w:val="nil"/>
              <w:left w:val="nil"/>
              <w:bottom w:val="nil"/>
              <w:right w:val="nil"/>
            </w:tcBorders>
            <w:hideMark/>
          </w:tcPr>
          <w:p w:rsidR="007F78F1" w:rsidRDefault="007F78F1">
            <w:pPr>
              <w:ind w:right="601"/>
              <w:jc w:val="right"/>
              <w:rPr>
                <w:sz w:val="24"/>
                <w:szCs w:val="24"/>
              </w:rPr>
            </w:pPr>
            <w:r>
              <w:rPr>
                <w:sz w:val="24"/>
                <w:szCs w:val="24"/>
              </w:rPr>
              <w:t>106</w:t>
            </w:r>
          </w:p>
        </w:tc>
        <w:tc>
          <w:tcPr>
            <w:tcW w:w="1985" w:type="dxa"/>
            <w:tcBorders>
              <w:top w:val="nil"/>
              <w:left w:val="nil"/>
              <w:bottom w:val="nil"/>
              <w:right w:val="nil"/>
            </w:tcBorders>
            <w:hideMark/>
          </w:tcPr>
          <w:p w:rsidR="007F78F1" w:rsidRDefault="007F78F1">
            <w:pPr>
              <w:ind w:right="601"/>
              <w:jc w:val="right"/>
              <w:rPr>
                <w:sz w:val="24"/>
                <w:szCs w:val="24"/>
              </w:rPr>
            </w:pPr>
            <w:r>
              <w:rPr>
                <w:sz w:val="24"/>
                <w:szCs w:val="24"/>
              </w:rPr>
              <w:t>33.9</w:t>
            </w:r>
          </w:p>
        </w:tc>
      </w:tr>
      <w:tr w:rsidR="007F78F1" w:rsidTr="007F78F1">
        <w:tc>
          <w:tcPr>
            <w:tcW w:w="2943" w:type="dxa"/>
            <w:tcBorders>
              <w:top w:val="nil"/>
              <w:left w:val="nil"/>
              <w:bottom w:val="single" w:sz="4" w:space="0" w:color="auto"/>
              <w:right w:val="nil"/>
            </w:tcBorders>
            <w:hideMark/>
          </w:tcPr>
          <w:p w:rsidR="007F78F1" w:rsidRDefault="007F78F1">
            <w:pPr>
              <w:rPr>
                <w:sz w:val="24"/>
                <w:szCs w:val="24"/>
              </w:rPr>
            </w:pPr>
            <w:r>
              <w:rPr>
                <w:sz w:val="24"/>
                <w:szCs w:val="24"/>
              </w:rPr>
              <w:t>Other</w:t>
            </w:r>
          </w:p>
        </w:tc>
        <w:tc>
          <w:tcPr>
            <w:tcW w:w="1843" w:type="dxa"/>
            <w:tcBorders>
              <w:top w:val="nil"/>
              <w:left w:val="nil"/>
              <w:bottom w:val="single" w:sz="4" w:space="0" w:color="auto"/>
              <w:right w:val="nil"/>
            </w:tcBorders>
            <w:hideMark/>
          </w:tcPr>
          <w:p w:rsidR="007F78F1" w:rsidRDefault="007F78F1">
            <w:pPr>
              <w:ind w:right="317"/>
              <w:jc w:val="right"/>
              <w:rPr>
                <w:sz w:val="24"/>
                <w:szCs w:val="24"/>
              </w:rPr>
            </w:pPr>
            <w:r>
              <w:rPr>
                <w:sz w:val="24"/>
                <w:szCs w:val="24"/>
              </w:rPr>
              <w:t>0.97 ±0.20</w:t>
            </w:r>
          </w:p>
        </w:tc>
        <w:tc>
          <w:tcPr>
            <w:tcW w:w="1701" w:type="dxa"/>
            <w:tcBorders>
              <w:top w:val="nil"/>
              <w:left w:val="nil"/>
              <w:bottom w:val="single" w:sz="4" w:space="0" w:color="auto"/>
              <w:right w:val="nil"/>
            </w:tcBorders>
            <w:hideMark/>
          </w:tcPr>
          <w:p w:rsidR="007F78F1" w:rsidRDefault="007F78F1">
            <w:pPr>
              <w:ind w:right="601"/>
              <w:jc w:val="right"/>
              <w:rPr>
                <w:sz w:val="24"/>
                <w:szCs w:val="24"/>
              </w:rPr>
            </w:pPr>
            <w:r>
              <w:rPr>
                <w:sz w:val="24"/>
                <w:szCs w:val="24"/>
              </w:rPr>
              <w:t>81</w:t>
            </w:r>
          </w:p>
        </w:tc>
        <w:tc>
          <w:tcPr>
            <w:tcW w:w="1985" w:type="dxa"/>
            <w:tcBorders>
              <w:top w:val="nil"/>
              <w:left w:val="nil"/>
              <w:bottom w:val="single" w:sz="4" w:space="0" w:color="auto"/>
              <w:right w:val="nil"/>
            </w:tcBorders>
            <w:hideMark/>
          </w:tcPr>
          <w:p w:rsidR="007F78F1" w:rsidRDefault="007F78F1">
            <w:pPr>
              <w:ind w:right="601"/>
              <w:jc w:val="right"/>
              <w:rPr>
                <w:sz w:val="24"/>
                <w:szCs w:val="24"/>
              </w:rPr>
            </w:pPr>
            <w:r>
              <w:rPr>
                <w:sz w:val="24"/>
                <w:szCs w:val="24"/>
              </w:rPr>
              <w:t>25.9</w:t>
            </w:r>
          </w:p>
        </w:tc>
      </w:tr>
      <w:tr w:rsidR="007F78F1" w:rsidTr="007F78F1">
        <w:tc>
          <w:tcPr>
            <w:tcW w:w="2943" w:type="dxa"/>
            <w:tcBorders>
              <w:top w:val="single" w:sz="4" w:space="0" w:color="auto"/>
              <w:left w:val="nil"/>
              <w:bottom w:val="nil"/>
              <w:right w:val="nil"/>
            </w:tcBorders>
            <w:hideMark/>
          </w:tcPr>
          <w:p w:rsidR="007F78F1" w:rsidRDefault="007F78F1">
            <w:pPr>
              <w:rPr>
                <w:b/>
                <w:sz w:val="24"/>
                <w:szCs w:val="24"/>
              </w:rPr>
            </w:pPr>
            <w:r>
              <w:rPr>
                <w:b/>
                <w:sz w:val="24"/>
                <w:szCs w:val="24"/>
              </w:rPr>
              <w:t>Total</w:t>
            </w:r>
          </w:p>
        </w:tc>
        <w:tc>
          <w:tcPr>
            <w:tcW w:w="1843" w:type="dxa"/>
            <w:tcBorders>
              <w:top w:val="single" w:sz="4" w:space="0" w:color="auto"/>
              <w:left w:val="nil"/>
              <w:bottom w:val="nil"/>
              <w:right w:val="nil"/>
            </w:tcBorders>
          </w:tcPr>
          <w:p w:rsidR="007F78F1" w:rsidRDefault="007F78F1">
            <w:pPr>
              <w:ind w:right="317"/>
              <w:jc w:val="right"/>
              <w:rPr>
                <w:b/>
                <w:sz w:val="24"/>
                <w:szCs w:val="24"/>
              </w:rPr>
            </w:pPr>
          </w:p>
        </w:tc>
        <w:tc>
          <w:tcPr>
            <w:tcW w:w="1701" w:type="dxa"/>
            <w:tcBorders>
              <w:top w:val="single" w:sz="4" w:space="0" w:color="auto"/>
              <w:left w:val="nil"/>
              <w:bottom w:val="nil"/>
              <w:right w:val="nil"/>
            </w:tcBorders>
            <w:hideMark/>
          </w:tcPr>
          <w:p w:rsidR="007F78F1" w:rsidRDefault="007F78F1">
            <w:pPr>
              <w:ind w:right="601"/>
              <w:jc w:val="right"/>
              <w:rPr>
                <w:b/>
                <w:sz w:val="24"/>
                <w:szCs w:val="24"/>
              </w:rPr>
            </w:pPr>
            <w:r>
              <w:rPr>
                <w:b/>
                <w:sz w:val="24"/>
                <w:szCs w:val="24"/>
              </w:rPr>
              <w:t>313</w:t>
            </w:r>
          </w:p>
        </w:tc>
        <w:tc>
          <w:tcPr>
            <w:tcW w:w="1985" w:type="dxa"/>
            <w:tcBorders>
              <w:top w:val="single" w:sz="4" w:space="0" w:color="auto"/>
              <w:left w:val="nil"/>
              <w:bottom w:val="nil"/>
              <w:right w:val="nil"/>
            </w:tcBorders>
            <w:hideMark/>
          </w:tcPr>
          <w:p w:rsidR="007F78F1" w:rsidRDefault="007F78F1">
            <w:pPr>
              <w:ind w:right="601"/>
              <w:jc w:val="right"/>
              <w:rPr>
                <w:b/>
                <w:sz w:val="24"/>
                <w:szCs w:val="24"/>
              </w:rPr>
            </w:pPr>
            <w:r>
              <w:rPr>
                <w:b/>
                <w:sz w:val="24"/>
                <w:szCs w:val="24"/>
              </w:rPr>
              <w:t>100.0</w:t>
            </w:r>
          </w:p>
        </w:tc>
      </w:tr>
    </w:tbl>
    <w:p w:rsidR="007F78F1" w:rsidRDefault="007F78F1" w:rsidP="007F78F1">
      <w:pPr>
        <w:rPr>
          <w:rFonts w:ascii="Times New Roman" w:hAnsi="Times New Roman" w:cs="Times New Roman"/>
          <w:b/>
          <w:sz w:val="20"/>
          <w:szCs w:val="20"/>
        </w:rPr>
      </w:pPr>
    </w:p>
    <w:p w:rsidR="007F78F1" w:rsidRDefault="007F78F1" w:rsidP="007F78F1">
      <w:pPr>
        <w:rPr>
          <w:rFonts w:ascii="Times New Roman" w:hAnsi="Times New Roman" w:cs="Times New Roman"/>
          <w:b/>
          <w:sz w:val="20"/>
          <w:szCs w:val="20"/>
        </w:rPr>
      </w:pPr>
      <w:r>
        <w:rPr>
          <w:rFonts w:ascii="Times New Roman" w:hAnsi="Times New Roman" w:cs="Times New Roman"/>
          <w:b/>
          <w:sz w:val="20"/>
          <w:szCs w:val="20"/>
        </w:rPr>
        <w:br w:type="page"/>
      </w:r>
    </w:p>
    <w:p w:rsidR="007F78F1" w:rsidRDefault="007F78F1" w:rsidP="007F78F1">
      <w:pPr>
        <w:spacing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lastRenderedPageBreak/>
        <w:t>Table 5.3.</w:t>
      </w:r>
      <w:proofErr w:type="gramEnd"/>
      <w:r>
        <w:rPr>
          <w:rFonts w:ascii="Times New Roman" w:hAnsi="Times New Roman" w:cs="Times New Roman"/>
          <w:b/>
          <w:sz w:val="24"/>
          <w:szCs w:val="24"/>
        </w:rPr>
        <w:t xml:space="preserve"> </w:t>
      </w:r>
      <w:proofErr w:type="gramStart"/>
      <w:r>
        <w:rPr>
          <w:rFonts w:ascii="Times New Roman" w:hAnsi="Times New Roman" w:cs="Times New Roman"/>
          <w:b/>
          <w:sz w:val="24"/>
          <w:szCs w:val="24"/>
        </w:rPr>
        <w:t>Summary of cell measurements.</w:t>
      </w:r>
      <w:proofErr w:type="gramEnd"/>
      <w:r>
        <w:rPr>
          <w:rFonts w:ascii="Times New Roman" w:hAnsi="Times New Roman" w:cs="Times New Roman"/>
          <w:b/>
          <w:sz w:val="24"/>
          <w:szCs w:val="24"/>
        </w:rPr>
        <w:t xml:space="preserve"> </w:t>
      </w:r>
      <w:r>
        <w:rPr>
          <w:rFonts w:ascii="Times New Roman" w:hAnsi="Times New Roman" w:cs="Times New Roman"/>
          <w:sz w:val="24"/>
          <w:szCs w:val="24"/>
        </w:rPr>
        <w:t>For each stage of the cell cycle, average cell size, number of cells counted and proportion of total cells counted is shown for (A) VF17 (SH1000 pGL485), (B) SJF4094 (SH1000 P</w:t>
      </w:r>
      <w:r>
        <w:rPr>
          <w:rFonts w:ascii="Times New Roman" w:hAnsi="Times New Roman" w:cs="Times New Roman"/>
          <w:sz w:val="24"/>
          <w:szCs w:val="24"/>
          <w:vertAlign w:val="subscript"/>
        </w:rPr>
        <w:t>spac</w:t>
      </w:r>
      <w:r>
        <w:rPr>
          <w:rFonts w:ascii="Times New Roman" w:hAnsi="Times New Roman" w:cs="Times New Roman"/>
          <w:sz w:val="24"/>
          <w:szCs w:val="24"/>
        </w:rPr>
        <w:t>-</w:t>
      </w:r>
      <w:r>
        <w:rPr>
          <w:rFonts w:ascii="Times New Roman" w:hAnsi="Times New Roman" w:cs="Times New Roman"/>
          <w:i/>
          <w:sz w:val="24"/>
          <w:szCs w:val="24"/>
        </w:rPr>
        <w:t xml:space="preserve">sagB </w:t>
      </w:r>
      <w:r>
        <w:rPr>
          <w:rFonts w:ascii="Times New Roman" w:hAnsi="Times New Roman" w:cs="Times New Roman"/>
          <w:sz w:val="24"/>
          <w:szCs w:val="24"/>
        </w:rPr>
        <w:t>Δ</w:t>
      </w:r>
      <w:r>
        <w:rPr>
          <w:rFonts w:ascii="Times New Roman" w:hAnsi="Times New Roman" w:cs="Times New Roman"/>
          <w:i/>
          <w:sz w:val="24"/>
          <w:szCs w:val="24"/>
        </w:rPr>
        <w:t>atl::spc scaH::tetM</w:t>
      </w:r>
      <w:r>
        <w:rPr>
          <w:rFonts w:ascii="Times New Roman" w:hAnsi="Times New Roman" w:cs="Times New Roman"/>
          <w:sz w:val="24"/>
          <w:szCs w:val="24"/>
        </w:rPr>
        <w:t xml:space="preserve"> SA2297</w:t>
      </w:r>
      <w:r>
        <w:rPr>
          <w:rFonts w:ascii="Times New Roman" w:hAnsi="Times New Roman" w:cs="Times New Roman"/>
          <w:i/>
          <w:sz w:val="24"/>
          <w:szCs w:val="24"/>
        </w:rPr>
        <w:t xml:space="preserve">::tetL </w:t>
      </w:r>
      <w:r>
        <w:rPr>
          <w:rFonts w:ascii="Times New Roman" w:hAnsi="Times New Roman" w:cs="Times New Roman"/>
          <w:sz w:val="24"/>
          <w:szCs w:val="24"/>
        </w:rPr>
        <w:t>pGL485) –IPTG, (C) SJF4094 +IPTG and (D) SJF4092 (SH1000 Δ</w:t>
      </w:r>
      <w:r>
        <w:rPr>
          <w:rFonts w:ascii="Times New Roman" w:hAnsi="Times New Roman" w:cs="Times New Roman"/>
          <w:i/>
          <w:sz w:val="24"/>
          <w:szCs w:val="24"/>
        </w:rPr>
        <w:t>atl::spc scaH::tetM</w:t>
      </w:r>
      <w:r>
        <w:rPr>
          <w:rFonts w:ascii="Times New Roman" w:hAnsi="Times New Roman" w:cs="Times New Roman"/>
          <w:sz w:val="24"/>
          <w:szCs w:val="24"/>
        </w:rPr>
        <w:t xml:space="preserve"> SA2297</w:t>
      </w:r>
      <w:r>
        <w:rPr>
          <w:rFonts w:ascii="Times New Roman" w:hAnsi="Times New Roman" w:cs="Times New Roman"/>
          <w:i/>
          <w:sz w:val="24"/>
          <w:szCs w:val="24"/>
        </w:rPr>
        <w:t xml:space="preserve">::tetL </w:t>
      </w:r>
      <w:r>
        <w:rPr>
          <w:rFonts w:ascii="Times New Roman" w:hAnsi="Times New Roman" w:cs="Times New Roman"/>
          <w:sz w:val="24"/>
          <w:szCs w:val="24"/>
        </w:rPr>
        <w:t>pGL485).</w:t>
      </w:r>
      <w:r>
        <w:rPr>
          <w:rFonts w:ascii="Times New Roman" w:hAnsi="Times New Roman" w:cs="Times New Roman"/>
          <w:b/>
          <w:sz w:val="24"/>
          <w:szCs w:val="24"/>
        </w:rPr>
        <w:br w:type="page"/>
      </w:r>
    </w:p>
    <w:p w:rsidR="007F78F1" w:rsidRDefault="007F78F1" w:rsidP="007F78F1">
      <w:pPr>
        <w:spacing w:line="480" w:lineRule="auto"/>
        <w:jc w:val="both"/>
        <w:rPr>
          <w:rFonts w:ascii="Times New Roman" w:hAnsi="Times New Roman" w:cs="Times New Roman"/>
          <w:color w:val="000000" w:themeColor="text1"/>
          <w:sz w:val="24"/>
          <w:szCs w:val="24"/>
        </w:rPr>
      </w:pPr>
      <w:proofErr w:type="gramStart"/>
      <w:r>
        <w:rPr>
          <w:rFonts w:ascii="Times New Roman" w:hAnsi="Times New Roman" w:cs="Times New Roman"/>
          <w:color w:val="000000" w:themeColor="text1"/>
          <w:sz w:val="24"/>
          <w:szCs w:val="24"/>
        </w:rPr>
        <w:lastRenderedPageBreak/>
        <w:t>protrusions</w:t>
      </w:r>
      <w:proofErr w:type="gramEnd"/>
      <w:r>
        <w:rPr>
          <w:rFonts w:ascii="Times New Roman" w:hAnsi="Times New Roman" w:cs="Times New Roman"/>
          <w:color w:val="000000" w:themeColor="text1"/>
          <w:sz w:val="24"/>
          <w:szCs w:val="24"/>
        </w:rPr>
        <w:t xml:space="preserve"> were observed extending from the cell wall, interconnecting multiple cell clusters. SJF4092 and IPTG induced SJF4094 (SH1000 P</w:t>
      </w:r>
      <w:r>
        <w:rPr>
          <w:rFonts w:ascii="Times New Roman" w:hAnsi="Times New Roman" w:cs="Times New Roman"/>
          <w:color w:val="000000" w:themeColor="text1"/>
          <w:sz w:val="24"/>
          <w:szCs w:val="24"/>
          <w:vertAlign w:val="subscript"/>
        </w:rPr>
        <w:t>spac</w:t>
      </w:r>
      <w:r>
        <w:rPr>
          <w:rFonts w:ascii="Times New Roman" w:hAnsi="Times New Roman" w:cs="Times New Roman"/>
          <w:color w:val="000000" w:themeColor="text1"/>
          <w:sz w:val="24"/>
          <w:szCs w:val="24"/>
        </w:rPr>
        <w:t>-</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Δ</w:t>
      </w:r>
      <w:r>
        <w:rPr>
          <w:rFonts w:ascii="Times New Roman" w:hAnsi="Times New Roman" w:cs="Times New Roman"/>
          <w:i/>
          <w:color w:val="000000" w:themeColor="text1"/>
          <w:sz w:val="24"/>
          <w:szCs w:val="24"/>
        </w:rPr>
        <w:t xml:space="preserve">atl::spc scaH::tetM </w:t>
      </w:r>
      <w:r>
        <w:rPr>
          <w:rFonts w:ascii="Times New Roman" w:hAnsi="Times New Roman" w:cs="Times New Roman"/>
          <w:color w:val="000000" w:themeColor="text1"/>
          <w:sz w:val="24"/>
          <w:szCs w:val="24"/>
        </w:rPr>
        <w:t>SA2297</w:t>
      </w:r>
      <w:r>
        <w:rPr>
          <w:rFonts w:ascii="Times New Roman" w:hAnsi="Times New Roman" w:cs="Times New Roman"/>
          <w:i/>
          <w:color w:val="000000" w:themeColor="text1"/>
          <w:sz w:val="24"/>
          <w:szCs w:val="24"/>
        </w:rPr>
        <w:t xml:space="preserve">::tetL </w:t>
      </w:r>
      <w:r>
        <w:rPr>
          <w:rFonts w:ascii="Times New Roman" w:hAnsi="Times New Roman" w:cs="Times New Roman"/>
          <w:color w:val="000000" w:themeColor="text1"/>
          <w:sz w:val="24"/>
          <w:szCs w:val="24"/>
        </w:rPr>
        <w:t>pGL485)</w:t>
      </w:r>
      <w:r>
        <w:rPr>
          <w:rFonts w:ascii="Times New Roman" w:hAnsi="Times New Roman" w:cs="Times New Roman"/>
          <w:color w:val="000000" w:themeColor="text1"/>
          <w:sz w:val="24"/>
          <w:szCs w:val="24"/>
          <w:vertAlign w:val="superscript"/>
        </w:rPr>
        <w:t>3</w:t>
      </w:r>
      <w:r>
        <w:rPr>
          <w:rFonts w:ascii="Times New Roman" w:hAnsi="Times New Roman" w:cs="Times New Roman"/>
          <w:color w:val="000000" w:themeColor="text1"/>
          <w:sz w:val="24"/>
          <w:szCs w:val="24"/>
        </w:rPr>
        <w:t xml:space="preserve"> had an intermediate phenotype, as multicellular clusters and individual cells were observed (Figure 5.13 C and D). The rough texture of the mature cell wall was less pronounced than in the case of SJF4094 without SagB expression, and the presence of interconnecting fibrous material was greatly reduced in the induced SJF4094 (SH1000 P</w:t>
      </w:r>
      <w:r>
        <w:rPr>
          <w:rFonts w:ascii="Times New Roman" w:hAnsi="Times New Roman" w:cs="Times New Roman"/>
          <w:color w:val="000000" w:themeColor="text1"/>
          <w:sz w:val="24"/>
          <w:szCs w:val="24"/>
          <w:vertAlign w:val="subscript"/>
        </w:rPr>
        <w:t>spac</w:t>
      </w:r>
      <w:r>
        <w:rPr>
          <w:rFonts w:ascii="Times New Roman" w:hAnsi="Times New Roman" w:cs="Times New Roman"/>
          <w:color w:val="000000" w:themeColor="text1"/>
          <w:sz w:val="24"/>
          <w:szCs w:val="24"/>
        </w:rPr>
        <w:t>-</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Δ</w:t>
      </w:r>
      <w:r>
        <w:rPr>
          <w:rFonts w:ascii="Times New Roman" w:hAnsi="Times New Roman" w:cs="Times New Roman"/>
          <w:i/>
          <w:color w:val="000000" w:themeColor="text1"/>
          <w:sz w:val="24"/>
          <w:szCs w:val="24"/>
        </w:rPr>
        <w:t>atl::spc scaH::tetM</w:t>
      </w:r>
      <w:r>
        <w:rPr>
          <w:rFonts w:ascii="Times New Roman" w:hAnsi="Times New Roman" w:cs="Times New Roman"/>
          <w:color w:val="000000" w:themeColor="text1"/>
          <w:sz w:val="24"/>
          <w:szCs w:val="24"/>
        </w:rPr>
        <w:t xml:space="preserve"> SA2297</w:t>
      </w:r>
      <w:r>
        <w:rPr>
          <w:rFonts w:ascii="Times New Roman" w:hAnsi="Times New Roman" w:cs="Times New Roman"/>
          <w:i/>
          <w:color w:val="000000" w:themeColor="text1"/>
          <w:sz w:val="24"/>
          <w:szCs w:val="24"/>
        </w:rPr>
        <w:t xml:space="preserve">::tetL </w:t>
      </w:r>
      <w:r>
        <w:rPr>
          <w:rFonts w:ascii="Times New Roman" w:hAnsi="Times New Roman" w:cs="Times New Roman"/>
          <w:color w:val="000000" w:themeColor="text1"/>
          <w:sz w:val="24"/>
          <w:szCs w:val="24"/>
        </w:rPr>
        <w:t>pGL485)</w:t>
      </w:r>
      <w:r>
        <w:rPr>
          <w:rFonts w:ascii="Times New Roman" w:hAnsi="Times New Roman" w:cs="Times New Roman"/>
          <w:color w:val="000000" w:themeColor="text1"/>
          <w:sz w:val="24"/>
          <w:szCs w:val="24"/>
          <w:vertAlign w:val="superscript"/>
        </w:rPr>
        <w:t>3</w:t>
      </w:r>
      <w:r>
        <w:rPr>
          <w:rFonts w:ascii="Times New Roman" w:hAnsi="Times New Roman" w:cs="Times New Roman"/>
          <w:color w:val="000000" w:themeColor="text1"/>
          <w:sz w:val="24"/>
          <w:szCs w:val="24"/>
        </w:rPr>
        <w:t xml:space="preserve"> strain, and absent from the SJF4092 (SH1000 Δ</w:t>
      </w:r>
      <w:r>
        <w:rPr>
          <w:rFonts w:ascii="Times New Roman" w:hAnsi="Times New Roman" w:cs="Times New Roman"/>
          <w:i/>
          <w:color w:val="000000" w:themeColor="text1"/>
          <w:sz w:val="24"/>
          <w:szCs w:val="24"/>
        </w:rPr>
        <w:t>atl::spc scaH::tetM</w:t>
      </w:r>
      <w:r>
        <w:rPr>
          <w:rFonts w:ascii="Times New Roman" w:hAnsi="Times New Roman" w:cs="Times New Roman"/>
          <w:color w:val="000000" w:themeColor="text1"/>
          <w:sz w:val="24"/>
          <w:szCs w:val="24"/>
        </w:rPr>
        <w:t xml:space="preserve"> SA2297</w:t>
      </w:r>
      <w:r>
        <w:rPr>
          <w:rFonts w:ascii="Times New Roman" w:hAnsi="Times New Roman" w:cs="Times New Roman"/>
          <w:i/>
          <w:color w:val="000000" w:themeColor="text1"/>
          <w:sz w:val="24"/>
          <w:szCs w:val="24"/>
        </w:rPr>
        <w:t xml:space="preserve">::tetL </w:t>
      </w:r>
      <w:r>
        <w:rPr>
          <w:rFonts w:ascii="Times New Roman" w:hAnsi="Times New Roman" w:cs="Times New Roman"/>
          <w:color w:val="000000" w:themeColor="text1"/>
          <w:sz w:val="24"/>
          <w:szCs w:val="24"/>
        </w:rPr>
        <w:t>pGL485)</w:t>
      </w:r>
      <w:r>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 xml:space="preserve"> triple mutant.</w:t>
      </w:r>
    </w:p>
    <w:p w:rsidR="007F78F1" w:rsidRDefault="007F78F1" w:rsidP="007F78F1">
      <w:pPr>
        <w:rPr>
          <w:rFonts w:ascii="Times New Roman" w:hAnsi="Times New Roman" w:cs="Times New Roman"/>
          <w:color w:val="000000" w:themeColor="text1"/>
          <w:sz w:val="24"/>
          <w:szCs w:val="24"/>
        </w:rPr>
      </w:pPr>
    </w:p>
    <w:p w:rsidR="007F78F1" w:rsidRDefault="007F78F1" w:rsidP="007F78F1">
      <w:pPr>
        <w:spacing w:line="48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5.2.9.2</w:t>
      </w:r>
      <w:r>
        <w:rPr>
          <w:rFonts w:ascii="Times New Roman" w:hAnsi="Times New Roman" w:cs="Times New Roman"/>
          <w:color w:val="000000" w:themeColor="text1"/>
          <w:sz w:val="28"/>
          <w:szCs w:val="28"/>
        </w:rPr>
        <w:tab/>
        <w:t>AFM of a conditional quadruple mutant</w:t>
      </w:r>
    </w:p>
    <w:p w:rsidR="007F78F1" w:rsidRDefault="007F78F1" w:rsidP="007F78F1">
      <w:pPr>
        <w:spacing w:line="480" w:lineRule="auto"/>
        <w:jc w:val="both"/>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VF17 (SH1000 pGL485) and SJF4094 (SH1000 P</w:t>
      </w:r>
      <w:r>
        <w:rPr>
          <w:rFonts w:ascii="Times New Roman" w:hAnsi="Times New Roman" w:cs="Times New Roman"/>
          <w:color w:val="000000" w:themeColor="text1"/>
          <w:sz w:val="24"/>
          <w:szCs w:val="24"/>
          <w:vertAlign w:val="subscript"/>
        </w:rPr>
        <w:t>spac</w:t>
      </w:r>
      <w:r>
        <w:rPr>
          <w:rFonts w:ascii="Times New Roman" w:hAnsi="Times New Roman" w:cs="Times New Roman"/>
          <w:color w:val="000000" w:themeColor="text1"/>
          <w:sz w:val="24"/>
          <w:szCs w:val="24"/>
        </w:rPr>
        <w:t>-</w:t>
      </w:r>
      <w:r>
        <w:rPr>
          <w:rFonts w:ascii="Times New Roman" w:hAnsi="Times New Roman" w:cs="Times New Roman"/>
          <w:i/>
          <w:color w:val="000000" w:themeColor="text1"/>
          <w:sz w:val="24"/>
          <w:szCs w:val="24"/>
        </w:rPr>
        <w:t xml:space="preserve">sagB </w:t>
      </w:r>
      <w:r>
        <w:rPr>
          <w:rFonts w:ascii="Times New Roman" w:hAnsi="Times New Roman" w:cs="Times New Roman"/>
          <w:color w:val="000000" w:themeColor="text1"/>
          <w:sz w:val="24"/>
          <w:szCs w:val="24"/>
        </w:rPr>
        <w:t>Δ</w:t>
      </w:r>
      <w:r>
        <w:rPr>
          <w:rFonts w:ascii="Times New Roman" w:hAnsi="Times New Roman" w:cs="Times New Roman"/>
          <w:i/>
          <w:color w:val="000000" w:themeColor="text1"/>
          <w:sz w:val="24"/>
          <w:szCs w:val="24"/>
        </w:rPr>
        <w:t>atl::spc scaH::tetM</w:t>
      </w:r>
      <w:r>
        <w:rPr>
          <w:rFonts w:ascii="Times New Roman" w:hAnsi="Times New Roman" w:cs="Times New Roman"/>
          <w:color w:val="000000" w:themeColor="text1"/>
          <w:sz w:val="24"/>
          <w:szCs w:val="24"/>
        </w:rPr>
        <w:t xml:space="preserve"> SA2297</w:t>
      </w:r>
      <w:r>
        <w:rPr>
          <w:rFonts w:ascii="Times New Roman" w:hAnsi="Times New Roman" w:cs="Times New Roman"/>
          <w:i/>
          <w:color w:val="000000" w:themeColor="text1"/>
          <w:sz w:val="24"/>
          <w:szCs w:val="24"/>
        </w:rPr>
        <w:t xml:space="preserve">::tetL </w:t>
      </w:r>
      <w:r>
        <w:rPr>
          <w:rFonts w:ascii="Times New Roman" w:hAnsi="Times New Roman" w:cs="Times New Roman"/>
          <w:color w:val="000000" w:themeColor="text1"/>
          <w:sz w:val="24"/>
          <w:szCs w:val="24"/>
        </w:rPr>
        <w:t>pGL485)</w:t>
      </w:r>
      <w:r>
        <w:rPr>
          <w:rFonts w:ascii="Times New Roman" w:hAnsi="Times New Roman" w:cs="Times New Roman"/>
          <w:color w:val="000000" w:themeColor="text1"/>
          <w:sz w:val="24"/>
          <w:szCs w:val="24"/>
          <w:vertAlign w:val="superscript"/>
        </w:rPr>
        <w:t>3</w:t>
      </w:r>
      <w:r>
        <w:rPr>
          <w:rFonts w:ascii="Times New Roman" w:hAnsi="Times New Roman" w:cs="Times New Roman"/>
          <w:color w:val="000000" w:themeColor="text1"/>
          <w:sz w:val="24"/>
          <w:szCs w:val="24"/>
        </w:rPr>
        <w:t xml:space="preserve"> grown in the absence of IPTG were compared by AFM. Analysis of purified sacculi confirmed that the peptidoglycan of the mature hemisphere in SJF4094 was extremely rough in comparison to the more subtle knobbled architecture of the VF17 parent (Figure 5.14A and B). A major feature of the </w:t>
      </w:r>
      <w:r>
        <w:rPr>
          <w:rFonts w:ascii="Times New Roman" w:hAnsi="Times New Roman" w:cs="Times New Roman"/>
          <w:i/>
          <w:color w:val="000000" w:themeColor="text1"/>
          <w:sz w:val="24"/>
          <w:szCs w:val="24"/>
        </w:rPr>
        <w:t xml:space="preserve">S. aureus </w:t>
      </w:r>
      <w:r>
        <w:rPr>
          <w:rFonts w:ascii="Times New Roman" w:hAnsi="Times New Roman" w:cs="Times New Roman"/>
          <w:color w:val="000000" w:themeColor="text1"/>
          <w:sz w:val="24"/>
          <w:szCs w:val="24"/>
        </w:rPr>
        <w:t>cell wall is the presence of orthogonal intersecting ribs of peptidoglycan which mark the planes of division, and are produced by the splitting of a thick ‘piecrust’ ring of peptidoglycan that is synthesised around the septum during cell division (Chapter 4.2.1.4). These intersecting ribs were more prominent in the uninduced SJF4094 (SH1000 P</w:t>
      </w:r>
      <w:r>
        <w:rPr>
          <w:rFonts w:ascii="Times New Roman" w:hAnsi="Times New Roman" w:cs="Times New Roman"/>
          <w:color w:val="000000" w:themeColor="text1"/>
          <w:sz w:val="24"/>
          <w:szCs w:val="24"/>
          <w:vertAlign w:val="subscript"/>
        </w:rPr>
        <w:t>spac</w:t>
      </w:r>
      <w:r>
        <w:rPr>
          <w:rFonts w:ascii="Times New Roman" w:hAnsi="Times New Roman" w:cs="Times New Roman"/>
          <w:color w:val="000000" w:themeColor="text1"/>
          <w:sz w:val="24"/>
          <w:szCs w:val="24"/>
        </w:rPr>
        <w:t>-</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Δ</w:t>
      </w:r>
      <w:r>
        <w:rPr>
          <w:rFonts w:ascii="Times New Roman" w:hAnsi="Times New Roman" w:cs="Times New Roman"/>
          <w:i/>
          <w:color w:val="000000" w:themeColor="text1"/>
          <w:sz w:val="24"/>
          <w:szCs w:val="24"/>
        </w:rPr>
        <w:t>atl::spc scaH::tetM</w:t>
      </w:r>
      <w:r>
        <w:rPr>
          <w:rFonts w:ascii="Times New Roman" w:hAnsi="Times New Roman" w:cs="Times New Roman"/>
          <w:color w:val="000000" w:themeColor="text1"/>
          <w:sz w:val="24"/>
          <w:szCs w:val="24"/>
        </w:rPr>
        <w:t xml:space="preserve"> SA2297</w:t>
      </w:r>
      <w:r>
        <w:rPr>
          <w:rFonts w:ascii="Times New Roman" w:hAnsi="Times New Roman" w:cs="Times New Roman"/>
          <w:i/>
          <w:color w:val="000000" w:themeColor="text1"/>
          <w:sz w:val="24"/>
          <w:szCs w:val="24"/>
        </w:rPr>
        <w:t xml:space="preserve">::tetL </w:t>
      </w:r>
      <w:r>
        <w:rPr>
          <w:rFonts w:ascii="Times New Roman" w:hAnsi="Times New Roman" w:cs="Times New Roman"/>
          <w:color w:val="000000" w:themeColor="text1"/>
          <w:sz w:val="24"/>
          <w:szCs w:val="24"/>
        </w:rPr>
        <w:t>pGL485)</w:t>
      </w:r>
      <w:r>
        <w:rPr>
          <w:rFonts w:ascii="Times New Roman" w:hAnsi="Times New Roman" w:cs="Times New Roman"/>
          <w:color w:val="000000" w:themeColor="text1"/>
          <w:sz w:val="24"/>
          <w:szCs w:val="24"/>
          <w:vertAlign w:val="superscript"/>
        </w:rPr>
        <w:t>3</w:t>
      </w:r>
      <w:r>
        <w:rPr>
          <w:rFonts w:ascii="Times New Roman" w:hAnsi="Times New Roman" w:cs="Times New Roman"/>
          <w:color w:val="000000" w:themeColor="text1"/>
          <w:sz w:val="24"/>
          <w:szCs w:val="24"/>
        </w:rPr>
        <w:t xml:space="preserve"> glucosaminidase mutant (Figure 5.14C and D).</w:t>
      </w:r>
      <w:r>
        <w:rPr>
          <w:rFonts w:ascii="Times New Roman" w:hAnsi="Times New Roman" w:cs="Times New Roman"/>
          <w:b/>
          <w:color w:val="000000" w:themeColor="text1"/>
          <w:sz w:val="24"/>
          <w:szCs w:val="24"/>
        </w:rPr>
        <w:br w:type="page"/>
      </w:r>
    </w:p>
    <w:p w:rsidR="007F78F1" w:rsidRDefault="007F78F1" w:rsidP="007F78F1">
      <w:pPr>
        <w:spacing w:after="120" w:line="360" w:lineRule="auto"/>
        <w:jc w:val="both"/>
        <w:rPr>
          <w:rFonts w:ascii="Times New Roman" w:hAnsi="Times New Roman" w:cs="Times New Roman"/>
          <w:b/>
          <w:sz w:val="24"/>
          <w:szCs w:val="24"/>
        </w:rPr>
      </w:pPr>
      <w:r>
        <w:rPr>
          <w:rFonts w:ascii="Times New Roman" w:hAnsi="Times New Roman" w:cs="Times New Roman"/>
          <w:b/>
          <w:noProof/>
          <w:sz w:val="24"/>
          <w:szCs w:val="24"/>
          <w:lang w:eastAsia="en-GB"/>
        </w:rPr>
        <w:lastRenderedPageBreak/>
        <w:drawing>
          <wp:inline distT="0" distB="0" distL="0" distR="0">
            <wp:extent cx="5272405" cy="7694930"/>
            <wp:effectExtent l="0" t="0" r="4445" b="0"/>
            <wp:docPr id="89" name="Picture 15" descr="Figure 5.13 AB.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gure 5.13 AB.emf"/>
                    <pic:cNvPicPr>
                      <a:picLocks noChangeAspect="1" noChangeArrowheads="1"/>
                    </pic:cNvPicPr>
                  </pic:nvPicPr>
                  <pic:blipFill>
                    <a:blip r:embed="rId101" cstate="print"/>
                    <a:srcRect/>
                    <a:stretch>
                      <a:fillRect/>
                    </a:stretch>
                  </pic:blipFill>
                  <pic:spPr bwMode="auto">
                    <a:xfrm>
                      <a:off x="0" y="0"/>
                      <a:ext cx="5272405" cy="7694930"/>
                    </a:xfrm>
                    <a:prstGeom prst="rect">
                      <a:avLst/>
                    </a:prstGeom>
                    <a:noFill/>
                    <a:ln w="9525">
                      <a:noFill/>
                      <a:miter lim="800000"/>
                      <a:headEnd/>
                      <a:tailEnd/>
                    </a:ln>
                  </pic:spPr>
                </pic:pic>
              </a:graphicData>
            </a:graphic>
          </wp:inline>
        </w:drawing>
      </w:r>
    </w:p>
    <w:p w:rsidR="007F78F1" w:rsidRDefault="007F78F1" w:rsidP="007F78F1">
      <w:pPr>
        <w:rPr>
          <w:rFonts w:ascii="Times New Roman" w:hAnsi="Times New Roman" w:cs="Times New Roman"/>
          <w:b/>
          <w:sz w:val="24"/>
          <w:szCs w:val="24"/>
        </w:rPr>
      </w:pPr>
      <w:r>
        <w:rPr>
          <w:rFonts w:ascii="Times New Roman" w:hAnsi="Times New Roman" w:cs="Times New Roman"/>
          <w:b/>
          <w:sz w:val="24"/>
          <w:szCs w:val="24"/>
        </w:rPr>
        <w:br w:type="page"/>
      </w:r>
    </w:p>
    <w:p w:rsidR="007F78F1" w:rsidRDefault="007F78F1" w:rsidP="007F78F1">
      <w:pPr>
        <w:spacing w:after="120" w:line="360" w:lineRule="auto"/>
        <w:jc w:val="both"/>
        <w:rPr>
          <w:rFonts w:ascii="Times New Roman" w:hAnsi="Times New Roman" w:cs="Times New Roman"/>
          <w:b/>
          <w:sz w:val="24"/>
          <w:szCs w:val="24"/>
        </w:rPr>
      </w:pPr>
      <w:r>
        <w:rPr>
          <w:rFonts w:ascii="Times New Roman" w:hAnsi="Times New Roman" w:cs="Times New Roman"/>
          <w:b/>
          <w:noProof/>
          <w:sz w:val="24"/>
          <w:szCs w:val="24"/>
          <w:lang w:eastAsia="en-GB"/>
        </w:rPr>
        <w:lastRenderedPageBreak/>
        <w:drawing>
          <wp:inline distT="0" distB="0" distL="0" distR="0">
            <wp:extent cx="5272405" cy="5509895"/>
            <wp:effectExtent l="0" t="0" r="4445" b="0"/>
            <wp:docPr id="88" name="Picture 13" descr="Figure 5.13 CD.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gure 5.13 CD.emf"/>
                    <pic:cNvPicPr>
                      <a:picLocks noChangeAspect="1" noChangeArrowheads="1"/>
                    </pic:cNvPicPr>
                  </pic:nvPicPr>
                  <pic:blipFill>
                    <a:blip r:embed="rId102" cstate="print"/>
                    <a:srcRect/>
                    <a:stretch>
                      <a:fillRect/>
                    </a:stretch>
                  </pic:blipFill>
                  <pic:spPr bwMode="auto">
                    <a:xfrm>
                      <a:off x="0" y="0"/>
                      <a:ext cx="5272405" cy="5509895"/>
                    </a:xfrm>
                    <a:prstGeom prst="rect">
                      <a:avLst/>
                    </a:prstGeom>
                    <a:noFill/>
                    <a:ln w="9525">
                      <a:noFill/>
                      <a:miter lim="800000"/>
                      <a:headEnd/>
                      <a:tailEnd/>
                    </a:ln>
                  </pic:spPr>
                </pic:pic>
              </a:graphicData>
            </a:graphic>
          </wp:inline>
        </w:drawing>
      </w:r>
    </w:p>
    <w:p w:rsidR="007F78F1" w:rsidRDefault="007F78F1" w:rsidP="007F78F1">
      <w:pPr>
        <w:spacing w:after="120" w:line="360" w:lineRule="auto"/>
        <w:jc w:val="both"/>
        <w:rPr>
          <w:rFonts w:ascii="Times New Roman" w:hAnsi="Times New Roman" w:cs="Times New Roman"/>
          <w:sz w:val="24"/>
          <w:szCs w:val="24"/>
        </w:rPr>
      </w:pPr>
      <w:proofErr w:type="gramStart"/>
      <w:r>
        <w:rPr>
          <w:rFonts w:ascii="Times New Roman" w:hAnsi="Times New Roman" w:cs="Times New Roman"/>
          <w:b/>
          <w:sz w:val="24"/>
          <w:szCs w:val="24"/>
        </w:rPr>
        <w:t>Figure 5.12.</w:t>
      </w:r>
      <w:proofErr w:type="gramEnd"/>
      <w:r>
        <w:rPr>
          <w:rFonts w:ascii="Times New Roman" w:hAnsi="Times New Roman" w:cs="Times New Roman"/>
          <w:b/>
          <w:sz w:val="24"/>
          <w:szCs w:val="24"/>
        </w:rPr>
        <w:t xml:space="preserve"> </w:t>
      </w:r>
      <w:proofErr w:type="gramStart"/>
      <w:r>
        <w:rPr>
          <w:rFonts w:ascii="Times New Roman" w:hAnsi="Times New Roman" w:cs="Times New Roman"/>
          <w:b/>
          <w:sz w:val="24"/>
          <w:szCs w:val="24"/>
        </w:rPr>
        <w:t xml:space="preserve">SEM of </w:t>
      </w:r>
      <w:r>
        <w:rPr>
          <w:rFonts w:ascii="Times New Roman" w:hAnsi="Times New Roman" w:cs="Times New Roman"/>
          <w:b/>
          <w:i/>
          <w:sz w:val="24"/>
          <w:szCs w:val="24"/>
        </w:rPr>
        <w:t xml:space="preserve">S. aureus </w:t>
      </w:r>
      <w:r>
        <w:rPr>
          <w:rFonts w:ascii="Times New Roman" w:hAnsi="Times New Roman" w:cs="Times New Roman"/>
          <w:b/>
          <w:sz w:val="24"/>
          <w:szCs w:val="24"/>
        </w:rPr>
        <w:t>glucosaminidase mutant cell walls.</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SEM fields showing (A) wildtype VF17 (SH1000 pGL485), (B) SJF4094 (SH1000 P</w:t>
      </w:r>
      <w:r>
        <w:rPr>
          <w:rFonts w:ascii="Times New Roman" w:hAnsi="Times New Roman" w:cs="Times New Roman"/>
          <w:sz w:val="24"/>
          <w:szCs w:val="24"/>
          <w:vertAlign w:val="subscript"/>
        </w:rPr>
        <w:t>spac</w:t>
      </w:r>
      <w:r>
        <w:rPr>
          <w:rFonts w:ascii="Times New Roman" w:hAnsi="Times New Roman" w:cs="Times New Roman"/>
          <w:sz w:val="24"/>
          <w:szCs w:val="24"/>
        </w:rPr>
        <w:t>-</w:t>
      </w:r>
      <w:r>
        <w:rPr>
          <w:rFonts w:ascii="Times New Roman" w:hAnsi="Times New Roman" w:cs="Times New Roman"/>
          <w:i/>
          <w:sz w:val="24"/>
          <w:szCs w:val="24"/>
        </w:rPr>
        <w:t xml:space="preserve">sagB </w:t>
      </w:r>
      <w:r>
        <w:rPr>
          <w:rFonts w:ascii="Times New Roman" w:hAnsi="Times New Roman" w:cs="Times New Roman"/>
          <w:sz w:val="24"/>
          <w:szCs w:val="24"/>
        </w:rPr>
        <w:t>Δ</w:t>
      </w:r>
      <w:r>
        <w:rPr>
          <w:rFonts w:ascii="Times New Roman" w:hAnsi="Times New Roman" w:cs="Times New Roman"/>
          <w:i/>
          <w:sz w:val="24"/>
          <w:szCs w:val="24"/>
        </w:rPr>
        <w:t xml:space="preserve">atl::spc scaH::tetM </w:t>
      </w:r>
      <w:r>
        <w:rPr>
          <w:rFonts w:ascii="Times New Roman" w:hAnsi="Times New Roman" w:cs="Times New Roman"/>
          <w:sz w:val="24"/>
          <w:szCs w:val="24"/>
        </w:rPr>
        <w:t>SA2297</w:t>
      </w:r>
      <w:r>
        <w:rPr>
          <w:rFonts w:ascii="Times New Roman" w:hAnsi="Times New Roman" w:cs="Times New Roman"/>
          <w:i/>
          <w:sz w:val="24"/>
          <w:szCs w:val="24"/>
        </w:rPr>
        <w:t>::tetL</w:t>
      </w:r>
      <w:r>
        <w:rPr>
          <w:rFonts w:ascii="Times New Roman" w:hAnsi="Times New Roman" w:cs="Times New Roman"/>
          <w:sz w:val="24"/>
          <w:szCs w:val="24"/>
        </w:rPr>
        <w:t xml:space="preserve"> pGL485)</w:t>
      </w:r>
      <w:r>
        <w:rPr>
          <w:rFonts w:ascii="Times New Roman" w:hAnsi="Times New Roman" w:cs="Times New Roman"/>
          <w:sz w:val="24"/>
          <w:szCs w:val="24"/>
          <w:vertAlign w:val="superscript"/>
        </w:rPr>
        <w:t>3</w:t>
      </w:r>
      <w:r>
        <w:rPr>
          <w:rFonts w:ascii="Times New Roman" w:hAnsi="Times New Roman" w:cs="Times New Roman"/>
          <w:sz w:val="24"/>
          <w:szCs w:val="24"/>
        </w:rPr>
        <w:t xml:space="preserve"> without IPTG induction (C) SJF4094 (SH1000 P</w:t>
      </w:r>
      <w:r>
        <w:rPr>
          <w:rFonts w:ascii="Times New Roman" w:hAnsi="Times New Roman" w:cs="Times New Roman"/>
          <w:sz w:val="24"/>
          <w:szCs w:val="24"/>
          <w:vertAlign w:val="subscript"/>
        </w:rPr>
        <w:t>spac</w:t>
      </w:r>
      <w:r>
        <w:rPr>
          <w:rFonts w:ascii="Times New Roman" w:hAnsi="Times New Roman" w:cs="Times New Roman"/>
          <w:sz w:val="24"/>
          <w:szCs w:val="24"/>
        </w:rPr>
        <w:t>-</w:t>
      </w:r>
      <w:r>
        <w:rPr>
          <w:rFonts w:ascii="Times New Roman" w:hAnsi="Times New Roman" w:cs="Times New Roman"/>
          <w:i/>
          <w:sz w:val="24"/>
          <w:szCs w:val="24"/>
        </w:rPr>
        <w:t xml:space="preserve">sagB </w:t>
      </w:r>
      <w:r>
        <w:rPr>
          <w:rFonts w:ascii="Times New Roman" w:hAnsi="Times New Roman" w:cs="Times New Roman"/>
          <w:sz w:val="24"/>
          <w:szCs w:val="24"/>
        </w:rPr>
        <w:t>Δ</w:t>
      </w:r>
      <w:r>
        <w:rPr>
          <w:rFonts w:ascii="Times New Roman" w:hAnsi="Times New Roman" w:cs="Times New Roman"/>
          <w:i/>
          <w:sz w:val="24"/>
          <w:szCs w:val="24"/>
        </w:rPr>
        <w:t xml:space="preserve">atl::spc scaH::tetM </w:t>
      </w:r>
      <w:r>
        <w:rPr>
          <w:rFonts w:ascii="Times New Roman" w:hAnsi="Times New Roman" w:cs="Times New Roman"/>
          <w:sz w:val="24"/>
          <w:szCs w:val="24"/>
        </w:rPr>
        <w:t>SA2297</w:t>
      </w:r>
      <w:r>
        <w:rPr>
          <w:rFonts w:ascii="Times New Roman" w:hAnsi="Times New Roman" w:cs="Times New Roman"/>
          <w:i/>
          <w:sz w:val="24"/>
          <w:szCs w:val="24"/>
        </w:rPr>
        <w:t>::tetL</w:t>
      </w:r>
      <w:r>
        <w:rPr>
          <w:rFonts w:ascii="Times New Roman" w:hAnsi="Times New Roman" w:cs="Times New Roman"/>
          <w:sz w:val="24"/>
          <w:szCs w:val="24"/>
        </w:rPr>
        <w:t xml:space="preserve"> pGL485)</w:t>
      </w:r>
      <w:r>
        <w:rPr>
          <w:rFonts w:ascii="Times New Roman" w:hAnsi="Times New Roman" w:cs="Times New Roman"/>
          <w:sz w:val="24"/>
          <w:szCs w:val="24"/>
          <w:vertAlign w:val="superscript"/>
        </w:rPr>
        <w:t>3</w:t>
      </w:r>
      <w:r>
        <w:rPr>
          <w:rFonts w:ascii="Times New Roman" w:hAnsi="Times New Roman" w:cs="Times New Roman"/>
          <w:sz w:val="24"/>
          <w:szCs w:val="24"/>
        </w:rPr>
        <w:t xml:space="preserve"> with IPTG induction and (D) SJF4092 (SH1000</w:t>
      </w:r>
      <w:r>
        <w:rPr>
          <w:rFonts w:ascii="Times New Roman" w:hAnsi="Times New Roman" w:cs="Times New Roman"/>
          <w:i/>
          <w:sz w:val="24"/>
          <w:szCs w:val="24"/>
        </w:rPr>
        <w:t xml:space="preserve"> </w:t>
      </w:r>
      <w:r>
        <w:rPr>
          <w:rFonts w:ascii="Times New Roman" w:hAnsi="Times New Roman" w:cs="Times New Roman"/>
          <w:sz w:val="24"/>
          <w:szCs w:val="24"/>
        </w:rPr>
        <w:t>Δ</w:t>
      </w:r>
      <w:r>
        <w:rPr>
          <w:rFonts w:ascii="Times New Roman" w:hAnsi="Times New Roman" w:cs="Times New Roman"/>
          <w:i/>
          <w:sz w:val="24"/>
          <w:szCs w:val="24"/>
        </w:rPr>
        <w:t xml:space="preserve">atl::spc scaH::tetM </w:t>
      </w:r>
      <w:r>
        <w:rPr>
          <w:rFonts w:ascii="Times New Roman" w:hAnsi="Times New Roman" w:cs="Times New Roman"/>
          <w:sz w:val="24"/>
          <w:szCs w:val="24"/>
        </w:rPr>
        <w:t>SA2297</w:t>
      </w:r>
      <w:r>
        <w:rPr>
          <w:rFonts w:ascii="Times New Roman" w:hAnsi="Times New Roman" w:cs="Times New Roman"/>
          <w:i/>
          <w:sz w:val="24"/>
          <w:szCs w:val="24"/>
        </w:rPr>
        <w:t xml:space="preserve">::tetL </w:t>
      </w:r>
      <w:r>
        <w:rPr>
          <w:rFonts w:ascii="Times New Roman" w:hAnsi="Times New Roman" w:cs="Times New Roman"/>
          <w:sz w:val="24"/>
          <w:szCs w:val="24"/>
        </w:rPr>
        <w:t>pGL485)</w:t>
      </w:r>
      <w:r>
        <w:rPr>
          <w:rFonts w:ascii="Times New Roman" w:hAnsi="Times New Roman" w:cs="Times New Roman"/>
          <w:sz w:val="24"/>
          <w:szCs w:val="24"/>
          <w:vertAlign w:val="superscript"/>
        </w:rPr>
        <w:t>2</w:t>
      </w:r>
      <w:r>
        <w:rPr>
          <w:rFonts w:ascii="Times New Roman" w:hAnsi="Times New Roman" w:cs="Times New Roman"/>
          <w:sz w:val="24"/>
          <w:szCs w:val="24"/>
        </w:rPr>
        <w:t>.</w:t>
      </w:r>
      <w:proofErr w:type="gramEnd"/>
      <w:r>
        <w:rPr>
          <w:rFonts w:ascii="Times New Roman" w:hAnsi="Times New Roman" w:cs="Times New Roman"/>
          <w:sz w:val="24"/>
          <w:szCs w:val="24"/>
        </w:rPr>
        <w:t xml:space="preserve"> Scale bars: 2 µm.</w:t>
      </w:r>
      <w:r>
        <w:rPr>
          <w:rFonts w:ascii="Times New Roman" w:hAnsi="Times New Roman" w:cs="Times New Roman"/>
          <w:sz w:val="24"/>
          <w:szCs w:val="24"/>
        </w:rPr>
        <w:br w:type="page"/>
      </w:r>
    </w:p>
    <w:p w:rsidR="007F78F1" w:rsidRDefault="007F78F1" w:rsidP="007F78F1">
      <w:pPr>
        <w:spacing w:after="120" w:line="360" w:lineRule="auto"/>
        <w:jc w:val="both"/>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5272405" cy="8692515"/>
            <wp:effectExtent l="0" t="0" r="4445" b="0"/>
            <wp:docPr id="87" name="Picture 9" descr="Figure 5.14 AB.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ure 5.14 AB.emf"/>
                    <pic:cNvPicPr>
                      <a:picLocks noChangeAspect="1" noChangeArrowheads="1"/>
                    </pic:cNvPicPr>
                  </pic:nvPicPr>
                  <pic:blipFill>
                    <a:blip r:embed="rId103" cstate="print"/>
                    <a:srcRect/>
                    <a:stretch>
                      <a:fillRect/>
                    </a:stretch>
                  </pic:blipFill>
                  <pic:spPr bwMode="auto">
                    <a:xfrm>
                      <a:off x="0" y="0"/>
                      <a:ext cx="5272405" cy="8692515"/>
                    </a:xfrm>
                    <a:prstGeom prst="rect">
                      <a:avLst/>
                    </a:prstGeom>
                    <a:noFill/>
                    <a:ln w="9525">
                      <a:noFill/>
                      <a:miter lim="800000"/>
                      <a:headEnd/>
                      <a:tailEnd/>
                    </a:ln>
                  </pic:spPr>
                </pic:pic>
              </a:graphicData>
            </a:graphic>
          </wp:inline>
        </w:drawing>
      </w:r>
    </w:p>
    <w:p w:rsidR="007F78F1" w:rsidRDefault="007F78F1" w:rsidP="007F78F1">
      <w:pPr>
        <w:spacing w:after="12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5272405" cy="6151245"/>
            <wp:effectExtent l="0" t="0" r="4445" b="0"/>
            <wp:docPr id="86" name="Picture 8" descr="Figure 5.14 CD.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ure 5.14 CD.emf"/>
                    <pic:cNvPicPr>
                      <a:picLocks noChangeAspect="1" noChangeArrowheads="1"/>
                    </pic:cNvPicPr>
                  </pic:nvPicPr>
                  <pic:blipFill>
                    <a:blip r:embed="rId104" cstate="print"/>
                    <a:srcRect/>
                    <a:stretch>
                      <a:fillRect/>
                    </a:stretch>
                  </pic:blipFill>
                  <pic:spPr bwMode="auto">
                    <a:xfrm>
                      <a:off x="0" y="0"/>
                      <a:ext cx="5272405" cy="6151245"/>
                    </a:xfrm>
                    <a:prstGeom prst="rect">
                      <a:avLst/>
                    </a:prstGeom>
                    <a:noFill/>
                    <a:ln w="9525">
                      <a:noFill/>
                      <a:miter lim="800000"/>
                      <a:headEnd/>
                      <a:tailEnd/>
                    </a:ln>
                  </pic:spPr>
                </pic:pic>
              </a:graphicData>
            </a:graphic>
          </wp:inline>
        </w:drawing>
      </w:r>
    </w:p>
    <w:p w:rsidR="007F78F1" w:rsidRDefault="007F78F1" w:rsidP="007F78F1">
      <w:pPr>
        <w:spacing w:after="120" w:line="360" w:lineRule="auto"/>
        <w:jc w:val="both"/>
        <w:rPr>
          <w:rFonts w:ascii="Times New Roman" w:hAnsi="Times New Roman" w:cs="Times New Roman"/>
          <w:sz w:val="24"/>
          <w:szCs w:val="24"/>
        </w:rPr>
      </w:pPr>
      <w:proofErr w:type="gramStart"/>
      <w:r>
        <w:rPr>
          <w:rFonts w:ascii="Times New Roman" w:hAnsi="Times New Roman" w:cs="Times New Roman"/>
          <w:b/>
          <w:sz w:val="24"/>
          <w:szCs w:val="24"/>
        </w:rPr>
        <w:t>Figure 5.13.</w:t>
      </w:r>
      <w:proofErr w:type="gramEnd"/>
      <w:r>
        <w:rPr>
          <w:rFonts w:ascii="Times New Roman" w:hAnsi="Times New Roman" w:cs="Times New Roman"/>
          <w:b/>
          <w:sz w:val="24"/>
          <w:szCs w:val="24"/>
        </w:rPr>
        <w:t xml:space="preserve"> </w:t>
      </w:r>
      <w:proofErr w:type="gramStart"/>
      <w:r>
        <w:rPr>
          <w:rFonts w:ascii="Times New Roman" w:hAnsi="Times New Roman" w:cs="Times New Roman"/>
          <w:b/>
          <w:sz w:val="24"/>
          <w:szCs w:val="24"/>
        </w:rPr>
        <w:t xml:space="preserve">TEM of </w:t>
      </w:r>
      <w:r>
        <w:rPr>
          <w:rFonts w:ascii="Times New Roman" w:hAnsi="Times New Roman" w:cs="Times New Roman"/>
          <w:b/>
          <w:i/>
          <w:sz w:val="24"/>
          <w:szCs w:val="24"/>
        </w:rPr>
        <w:t xml:space="preserve">S. aureus </w:t>
      </w:r>
      <w:r>
        <w:rPr>
          <w:rFonts w:ascii="Times New Roman" w:hAnsi="Times New Roman" w:cs="Times New Roman"/>
          <w:b/>
          <w:sz w:val="24"/>
          <w:szCs w:val="24"/>
        </w:rPr>
        <w:t>glucosaminidase mutant cells.</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TEM fields showing (A) wildtype VF17 (SH1000 pGL485), (B) SJF4094 (SH1000 P</w:t>
      </w:r>
      <w:r>
        <w:rPr>
          <w:rFonts w:ascii="Times New Roman" w:hAnsi="Times New Roman" w:cs="Times New Roman"/>
          <w:sz w:val="24"/>
          <w:szCs w:val="24"/>
          <w:vertAlign w:val="subscript"/>
        </w:rPr>
        <w:t>spac</w:t>
      </w:r>
      <w:r>
        <w:rPr>
          <w:rFonts w:ascii="Times New Roman" w:hAnsi="Times New Roman" w:cs="Times New Roman"/>
          <w:sz w:val="24"/>
          <w:szCs w:val="24"/>
        </w:rPr>
        <w:t>-</w:t>
      </w:r>
      <w:r>
        <w:rPr>
          <w:rFonts w:ascii="Times New Roman" w:hAnsi="Times New Roman" w:cs="Times New Roman"/>
          <w:i/>
          <w:sz w:val="24"/>
          <w:szCs w:val="24"/>
        </w:rPr>
        <w:t xml:space="preserve">sagB </w:t>
      </w:r>
      <w:r>
        <w:rPr>
          <w:rFonts w:ascii="Times New Roman" w:hAnsi="Times New Roman" w:cs="Times New Roman"/>
          <w:sz w:val="24"/>
          <w:szCs w:val="24"/>
        </w:rPr>
        <w:t>Δ</w:t>
      </w:r>
      <w:r>
        <w:rPr>
          <w:rFonts w:ascii="Times New Roman" w:hAnsi="Times New Roman" w:cs="Times New Roman"/>
          <w:i/>
          <w:sz w:val="24"/>
          <w:szCs w:val="24"/>
        </w:rPr>
        <w:t xml:space="preserve">atl::spc scaH::tetM </w:t>
      </w:r>
      <w:r>
        <w:rPr>
          <w:rFonts w:ascii="Times New Roman" w:hAnsi="Times New Roman" w:cs="Times New Roman"/>
          <w:sz w:val="24"/>
          <w:szCs w:val="24"/>
        </w:rPr>
        <w:t>SA2297</w:t>
      </w:r>
      <w:r>
        <w:rPr>
          <w:rFonts w:ascii="Times New Roman" w:hAnsi="Times New Roman" w:cs="Times New Roman"/>
          <w:i/>
          <w:sz w:val="24"/>
          <w:szCs w:val="24"/>
        </w:rPr>
        <w:t>::tetL</w:t>
      </w:r>
      <w:r>
        <w:rPr>
          <w:rFonts w:ascii="Times New Roman" w:hAnsi="Times New Roman" w:cs="Times New Roman"/>
          <w:sz w:val="24"/>
          <w:szCs w:val="24"/>
        </w:rPr>
        <w:t xml:space="preserve"> pGL485)</w:t>
      </w:r>
      <w:r>
        <w:rPr>
          <w:rFonts w:ascii="Times New Roman" w:hAnsi="Times New Roman" w:cs="Times New Roman"/>
          <w:sz w:val="24"/>
          <w:szCs w:val="24"/>
          <w:vertAlign w:val="superscript"/>
        </w:rPr>
        <w:t>3</w:t>
      </w:r>
      <w:r>
        <w:rPr>
          <w:rFonts w:ascii="Times New Roman" w:hAnsi="Times New Roman" w:cs="Times New Roman"/>
          <w:sz w:val="24"/>
          <w:szCs w:val="24"/>
        </w:rPr>
        <w:t xml:space="preserve"> without IPTG induction (C) SJF4094 (SH1000 P</w:t>
      </w:r>
      <w:r>
        <w:rPr>
          <w:rFonts w:ascii="Times New Roman" w:hAnsi="Times New Roman" w:cs="Times New Roman"/>
          <w:sz w:val="24"/>
          <w:szCs w:val="24"/>
          <w:vertAlign w:val="subscript"/>
        </w:rPr>
        <w:t>spac</w:t>
      </w:r>
      <w:r>
        <w:rPr>
          <w:rFonts w:ascii="Times New Roman" w:hAnsi="Times New Roman" w:cs="Times New Roman"/>
          <w:sz w:val="24"/>
          <w:szCs w:val="24"/>
        </w:rPr>
        <w:t>-</w:t>
      </w:r>
      <w:r>
        <w:rPr>
          <w:rFonts w:ascii="Times New Roman" w:hAnsi="Times New Roman" w:cs="Times New Roman"/>
          <w:i/>
          <w:sz w:val="24"/>
          <w:szCs w:val="24"/>
        </w:rPr>
        <w:t xml:space="preserve">sagB </w:t>
      </w:r>
      <w:r>
        <w:rPr>
          <w:rFonts w:ascii="Times New Roman" w:hAnsi="Times New Roman" w:cs="Times New Roman"/>
          <w:sz w:val="24"/>
          <w:szCs w:val="24"/>
        </w:rPr>
        <w:t>Δ</w:t>
      </w:r>
      <w:r>
        <w:rPr>
          <w:rFonts w:ascii="Times New Roman" w:hAnsi="Times New Roman" w:cs="Times New Roman"/>
          <w:i/>
          <w:sz w:val="24"/>
          <w:szCs w:val="24"/>
        </w:rPr>
        <w:t xml:space="preserve">atl::spc scaH::tetM </w:t>
      </w:r>
      <w:r>
        <w:rPr>
          <w:rFonts w:ascii="Times New Roman" w:hAnsi="Times New Roman" w:cs="Times New Roman"/>
          <w:sz w:val="24"/>
          <w:szCs w:val="24"/>
        </w:rPr>
        <w:t>SA2297</w:t>
      </w:r>
      <w:r>
        <w:rPr>
          <w:rFonts w:ascii="Times New Roman" w:hAnsi="Times New Roman" w:cs="Times New Roman"/>
          <w:i/>
          <w:sz w:val="24"/>
          <w:szCs w:val="24"/>
        </w:rPr>
        <w:t>::tetL</w:t>
      </w:r>
      <w:r>
        <w:rPr>
          <w:rFonts w:ascii="Times New Roman" w:hAnsi="Times New Roman" w:cs="Times New Roman"/>
          <w:sz w:val="24"/>
          <w:szCs w:val="24"/>
        </w:rPr>
        <w:t xml:space="preserve"> pGL485)</w:t>
      </w:r>
      <w:r>
        <w:rPr>
          <w:rFonts w:ascii="Times New Roman" w:hAnsi="Times New Roman" w:cs="Times New Roman"/>
          <w:sz w:val="24"/>
          <w:szCs w:val="24"/>
          <w:vertAlign w:val="superscript"/>
        </w:rPr>
        <w:t>3</w:t>
      </w:r>
      <w:r>
        <w:rPr>
          <w:rFonts w:ascii="Times New Roman" w:hAnsi="Times New Roman" w:cs="Times New Roman"/>
          <w:sz w:val="24"/>
          <w:szCs w:val="24"/>
        </w:rPr>
        <w:t xml:space="preserve"> with IPTG induction and (D) SJF4092 (SH1000</w:t>
      </w:r>
      <w:r>
        <w:rPr>
          <w:rFonts w:ascii="Times New Roman" w:hAnsi="Times New Roman" w:cs="Times New Roman"/>
          <w:i/>
          <w:sz w:val="24"/>
          <w:szCs w:val="24"/>
        </w:rPr>
        <w:t xml:space="preserve"> </w:t>
      </w:r>
      <w:r>
        <w:rPr>
          <w:rFonts w:ascii="Times New Roman" w:hAnsi="Times New Roman" w:cs="Times New Roman"/>
          <w:sz w:val="24"/>
          <w:szCs w:val="24"/>
        </w:rPr>
        <w:t>Δ</w:t>
      </w:r>
      <w:r>
        <w:rPr>
          <w:rFonts w:ascii="Times New Roman" w:hAnsi="Times New Roman" w:cs="Times New Roman"/>
          <w:i/>
          <w:sz w:val="24"/>
          <w:szCs w:val="24"/>
        </w:rPr>
        <w:t xml:space="preserve">atl::spc scaH::tetM </w:t>
      </w:r>
      <w:r>
        <w:rPr>
          <w:rFonts w:ascii="Times New Roman" w:hAnsi="Times New Roman" w:cs="Times New Roman"/>
          <w:sz w:val="24"/>
          <w:szCs w:val="24"/>
        </w:rPr>
        <w:t>SA2297</w:t>
      </w:r>
      <w:r>
        <w:rPr>
          <w:rFonts w:ascii="Times New Roman" w:hAnsi="Times New Roman" w:cs="Times New Roman"/>
          <w:i/>
          <w:sz w:val="24"/>
          <w:szCs w:val="24"/>
        </w:rPr>
        <w:t xml:space="preserve">::tetL </w:t>
      </w:r>
      <w:r>
        <w:rPr>
          <w:rFonts w:ascii="Times New Roman" w:hAnsi="Times New Roman" w:cs="Times New Roman"/>
          <w:sz w:val="24"/>
          <w:szCs w:val="24"/>
        </w:rPr>
        <w:t>pGL485)</w:t>
      </w:r>
      <w:r>
        <w:rPr>
          <w:rFonts w:ascii="Times New Roman" w:hAnsi="Times New Roman" w:cs="Times New Roman"/>
          <w:sz w:val="24"/>
          <w:szCs w:val="24"/>
          <w:vertAlign w:val="superscript"/>
        </w:rPr>
        <w:t>2</w:t>
      </w:r>
      <w:r>
        <w:rPr>
          <w:rFonts w:ascii="Times New Roman" w:hAnsi="Times New Roman" w:cs="Times New Roman"/>
          <w:sz w:val="24"/>
          <w:szCs w:val="24"/>
        </w:rPr>
        <w:t>.</w:t>
      </w:r>
      <w:proofErr w:type="gramEnd"/>
    </w:p>
    <w:p w:rsidR="007F78F1" w:rsidRDefault="007F78F1" w:rsidP="007F78F1">
      <w:pPr>
        <w:spacing w:after="120" w:line="360" w:lineRule="auto"/>
        <w:jc w:val="both"/>
        <w:rPr>
          <w:rFonts w:ascii="Times New Roman" w:hAnsi="Times New Roman" w:cs="Times New Roman"/>
          <w:sz w:val="24"/>
          <w:szCs w:val="24"/>
        </w:rPr>
      </w:pPr>
    </w:p>
    <w:p w:rsidR="007F78F1" w:rsidRDefault="007F78F1" w:rsidP="007F78F1">
      <w:pPr>
        <w:rPr>
          <w:rFonts w:ascii="Times New Roman" w:hAnsi="Times New Roman" w:cs="Times New Roman"/>
          <w:b/>
          <w:sz w:val="24"/>
          <w:szCs w:val="24"/>
        </w:rPr>
      </w:pPr>
      <w:r>
        <w:rPr>
          <w:rFonts w:ascii="Times New Roman" w:hAnsi="Times New Roman" w:cs="Times New Roman"/>
          <w:b/>
          <w:sz w:val="24"/>
          <w:szCs w:val="24"/>
        </w:rPr>
        <w:br w:type="page"/>
      </w:r>
    </w:p>
    <w:p w:rsidR="007F78F1" w:rsidRDefault="007F78F1" w:rsidP="007F78F1">
      <w:pPr>
        <w:rPr>
          <w:rFonts w:ascii="Times New Roman" w:hAnsi="Times New Roman" w:cs="Times New Roman"/>
          <w:b/>
          <w:sz w:val="24"/>
          <w:szCs w:val="24"/>
        </w:rPr>
      </w:pPr>
      <w:r>
        <w:rPr>
          <w:rFonts w:ascii="Times New Roman" w:hAnsi="Times New Roman" w:cs="Times New Roman"/>
          <w:b/>
          <w:noProof/>
          <w:sz w:val="24"/>
          <w:szCs w:val="24"/>
          <w:lang w:eastAsia="en-GB"/>
        </w:rPr>
        <w:lastRenderedPageBreak/>
        <w:drawing>
          <wp:inline distT="0" distB="0" distL="0" distR="0">
            <wp:extent cx="4643120" cy="8870950"/>
            <wp:effectExtent l="0" t="0" r="5080" b="0"/>
            <wp:docPr id="85" name="Picture 79" descr="Figure 5.18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Figure 5.18AB.png"/>
                    <pic:cNvPicPr>
                      <a:picLocks noChangeAspect="1" noChangeArrowheads="1"/>
                    </pic:cNvPicPr>
                  </pic:nvPicPr>
                  <pic:blipFill>
                    <a:blip r:embed="rId105" cstate="print"/>
                    <a:srcRect/>
                    <a:stretch>
                      <a:fillRect/>
                    </a:stretch>
                  </pic:blipFill>
                  <pic:spPr bwMode="auto">
                    <a:xfrm>
                      <a:off x="0" y="0"/>
                      <a:ext cx="4643120" cy="8870950"/>
                    </a:xfrm>
                    <a:prstGeom prst="rect">
                      <a:avLst/>
                    </a:prstGeom>
                    <a:noFill/>
                    <a:ln w="9525">
                      <a:noFill/>
                      <a:miter lim="800000"/>
                      <a:headEnd/>
                      <a:tailEnd/>
                    </a:ln>
                  </pic:spPr>
                </pic:pic>
              </a:graphicData>
            </a:graphic>
          </wp:inline>
        </w:drawing>
      </w:r>
      <w:r>
        <w:rPr>
          <w:rFonts w:ascii="Times New Roman" w:hAnsi="Times New Roman" w:cs="Times New Roman"/>
          <w:b/>
          <w:sz w:val="24"/>
          <w:szCs w:val="24"/>
        </w:rPr>
        <w:br w:type="page"/>
      </w:r>
    </w:p>
    <w:p w:rsidR="007F78F1" w:rsidRDefault="007F78F1" w:rsidP="007F78F1">
      <w:pPr>
        <w:rPr>
          <w:rFonts w:ascii="Times New Roman" w:hAnsi="Times New Roman" w:cs="Times New Roman"/>
          <w:b/>
          <w:sz w:val="24"/>
          <w:szCs w:val="24"/>
        </w:rPr>
      </w:pPr>
      <w:r>
        <w:rPr>
          <w:rFonts w:ascii="Times New Roman" w:hAnsi="Times New Roman" w:cs="Times New Roman"/>
          <w:b/>
          <w:noProof/>
          <w:sz w:val="24"/>
          <w:szCs w:val="24"/>
          <w:lang w:eastAsia="en-GB"/>
        </w:rPr>
        <w:lastRenderedPageBreak/>
        <w:drawing>
          <wp:inline distT="0" distB="0" distL="0" distR="0">
            <wp:extent cx="4655185" cy="8870950"/>
            <wp:effectExtent l="0" t="0" r="0" b="0"/>
            <wp:docPr id="84" name="Picture 26" descr="Figure 5_18CD.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igure 5_18CD.emf"/>
                    <pic:cNvPicPr>
                      <a:picLocks noChangeAspect="1" noChangeArrowheads="1"/>
                    </pic:cNvPicPr>
                  </pic:nvPicPr>
                  <pic:blipFill>
                    <a:blip r:embed="rId106" cstate="print"/>
                    <a:srcRect/>
                    <a:stretch>
                      <a:fillRect/>
                    </a:stretch>
                  </pic:blipFill>
                  <pic:spPr bwMode="auto">
                    <a:xfrm>
                      <a:off x="0" y="0"/>
                      <a:ext cx="4655185" cy="8870950"/>
                    </a:xfrm>
                    <a:prstGeom prst="rect">
                      <a:avLst/>
                    </a:prstGeom>
                    <a:noFill/>
                    <a:ln w="9525">
                      <a:noFill/>
                      <a:miter lim="800000"/>
                      <a:headEnd/>
                      <a:tailEnd/>
                    </a:ln>
                  </pic:spPr>
                </pic:pic>
              </a:graphicData>
            </a:graphic>
          </wp:inline>
        </w:drawing>
      </w:r>
      <w:r>
        <w:rPr>
          <w:rFonts w:ascii="Times New Roman" w:hAnsi="Times New Roman" w:cs="Times New Roman"/>
          <w:b/>
          <w:sz w:val="24"/>
          <w:szCs w:val="24"/>
        </w:rPr>
        <w:br w:type="page"/>
      </w:r>
    </w:p>
    <w:p w:rsidR="007F78F1" w:rsidRDefault="007F78F1" w:rsidP="007F78F1">
      <w:pPr>
        <w:spacing w:after="120" w:line="360" w:lineRule="auto"/>
        <w:jc w:val="both"/>
        <w:rPr>
          <w:rFonts w:ascii="Times New Roman" w:hAnsi="Times New Roman" w:cs="Times New Roman"/>
          <w:sz w:val="24"/>
          <w:szCs w:val="24"/>
        </w:rPr>
      </w:pPr>
      <w:proofErr w:type="gramStart"/>
      <w:r>
        <w:rPr>
          <w:rFonts w:ascii="Times New Roman" w:hAnsi="Times New Roman" w:cs="Times New Roman"/>
          <w:b/>
          <w:sz w:val="24"/>
          <w:szCs w:val="24"/>
        </w:rPr>
        <w:lastRenderedPageBreak/>
        <w:t>Figure 5.14.</w:t>
      </w:r>
      <w:proofErr w:type="gramEnd"/>
      <w:r>
        <w:rPr>
          <w:rFonts w:ascii="Times New Roman" w:hAnsi="Times New Roman" w:cs="Times New Roman"/>
          <w:b/>
          <w:sz w:val="24"/>
          <w:szCs w:val="24"/>
        </w:rPr>
        <w:t xml:space="preserve"> Gallery of AFM images showing the peptidoglycan architecture of an </w:t>
      </w:r>
      <w:r>
        <w:rPr>
          <w:rFonts w:ascii="Times New Roman" w:hAnsi="Times New Roman" w:cs="Times New Roman"/>
          <w:b/>
          <w:i/>
          <w:sz w:val="24"/>
          <w:szCs w:val="24"/>
        </w:rPr>
        <w:t xml:space="preserve">S. aureus </w:t>
      </w:r>
      <w:r>
        <w:rPr>
          <w:rFonts w:ascii="Times New Roman" w:hAnsi="Times New Roman" w:cs="Times New Roman"/>
          <w:b/>
          <w:sz w:val="24"/>
          <w:szCs w:val="24"/>
        </w:rPr>
        <w:t>conditional quadruple mutant.</w:t>
      </w:r>
      <w:r>
        <w:rPr>
          <w:rFonts w:ascii="Times New Roman" w:hAnsi="Times New Roman" w:cs="Times New Roman"/>
          <w:sz w:val="24"/>
          <w:szCs w:val="24"/>
        </w:rPr>
        <w:t xml:space="preserve"> Images show sacculi of the wildtype VF17 (SH1000 pGL485) strain and conditional quadruple mutant SJF4094 (SH1000 P</w:t>
      </w:r>
      <w:r>
        <w:rPr>
          <w:rFonts w:ascii="Times New Roman" w:hAnsi="Times New Roman" w:cs="Times New Roman"/>
          <w:sz w:val="24"/>
          <w:szCs w:val="24"/>
          <w:vertAlign w:val="subscript"/>
        </w:rPr>
        <w:t>spac</w:t>
      </w:r>
      <w:r>
        <w:rPr>
          <w:rFonts w:ascii="Times New Roman" w:hAnsi="Times New Roman" w:cs="Times New Roman"/>
          <w:sz w:val="24"/>
          <w:szCs w:val="24"/>
        </w:rPr>
        <w:t>-</w:t>
      </w:r>
      <w:r>
        <w:rPr>
          <w:rFonts w:ascii="Times New Roman" w:hAnsi="Times New Roman" w:cs="Times New Roman"/>
          <w:i/>
          <w:sz w:val="24"/>
          <w:szCs w:val="24"/>
        </w:rPr>
        <w:t xml:space="preserve">sagB </w:t>
      </w:r>
      <w:r>
        <w:rPr>
          <w:rFonts w:ascii="Times New Roman" w:hAnsi="Times New Roman" w:cs="Times New Roman"/>
          <w:sz w:val="24"/>
          <w:szCs w:val="24"/>
        </w:rPr>
        <w:t>Δ</w:t>
      </w:r>
      <w:r>
        <w:rPr>
          <w:rFonts w:ascii="Times New Roman" w:hAnsi="Times New Roman" w:cs="Times New Roman"/>
          <w:i/>
          <w:sz w:val="24"/>
          <w:szCs w:val="24"/>
        </w:rPr>
        <w:t xml:space="preserve">atl::spc scaH::tetM </w:t>
      </w:r>
      <w:r>
        <w:rPr>
          <w:rFonts w:ascii="Times New Roman" w:hAnsi="Times New Roman" w:cs="Times New Roman"/>
          <w:sz w:val="24"/>
          <w:szCs w:val="24"/>
        </w:rPr>
        <w:t>SA2297</w:t>
      </w:r>
      <w:r>
        <w:rPr>
          <w:rFonts w:ascii="Times New Roman" w:hAnsi="Times New Roman" w:cs="Times New Roman"/>
          <w:i/>
          <w:sz w:val="24"/>
          <w:szCs w:val="24"/>
        </w:rPr>
        <w:t>::tetL</w:t>
      </w:r>
      <w:r>
        <w:rPr>
          <w:rFonts w:ascii="Times New Roman" w:hAnsi="Times New Roman" w:cs="Times New Roman"/>
          <w:sz w:val="24"/>
          <w:szCs w:val="24"/>
        </w:rPr>
        <w:t xml:space="preserve"> pGL485)</w:t>
      </w:r>
      <w:r>
        <w:rPr>
          <w:rFonts w:ascii="Times New Roman" w:hAnsi="Times New Roman" w:cs="Times New Roman"/>
          <w:sz w:val="24"/>
          <w:szCs w:val="24"/>
          <w:vertAlign w:val="superscript"/>
        </w:rPr>
        <w:t>3</w:t>
      </w:r>
      <w:r>
        <w:rPr>
          <w:rFonts w:ascii="Times New Roman" w:hAnsi="Times New Roman" w:cs="Times New Roman"/>
          <w:sz w:val="24"/>
          <w:szCs w:val="24"/>
        </w:rPr>
        <w:t xml:space="preserve"> without IPTG induction (SJF4094 -IPTG). Purified, flattened sacculi were imaged under ambient conditions in tapping mode. Height (h) and phase (p) images are presented. (A) Field of VF17 sacculi, (B) isolated VF17 sacculi, (C) field of SJF4094 sacculi, (D) isolated SJF4094 sacculi. Scales: (A) H 150 nm P 82°; (B) top, H 100 nm P 13°; middle, H 50 nm P 3.5°; bottom, H 100 nm P 15°; (C) H 150 nm P 5°; (D) top, H 150 nm P 35°; middle, H 100 nm P 30°; bottom, H 100 nm P 8°. Field in (A) provided by R. D. Turner</w:t>
      </w:r>
      <w:r>
        <w:rPr>
          <w:rFonts w:ascii="Times New Roman" w:hAnsi="Times New Roman" w:cs="Times New Roman"/>
          <w:sz w:val="24"/>
          <w:szCs w:val="24"/>
        </w:rPr>
        <w:br w:type="page"/>
      </w:r>
    </w:p>
    <w:p w:rsidR="007F78F1" w:rsidRDefault="007F78F1" w:rsidP="007F78F1">
      <w:pPr>
        <w:spacing w:before="24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5.3</w:t>
      </w:r>
      <w:r>
        <w:rPr>
          <w:rFonts w:ascii="Times New Roman" w:hAnsi="Times New Roman" w:cs="Times New Roman"/>
          <w:sz w:val="28"/>
          <w:szCs w:val="28"/>
        </w:rPr>
        <w:tab/>
      </w:r>
      <w:r>
        <w:rPr>
          <w:rFonts w:ascii="Times New Roman" w:hAnsi="Times New Roman" w:cs="Times New Roman"/>
          <w:sz w:val="28"/>
          <w:szCs w:val="28"/>
        </w:rPr>
        <w:tab/>
        <w:t>Discussion</w:t>
      </w:r>
    </w:p>
    <w:p w:rsidR="007F78F1" w:rsidRDefault="007F78F1" w:rsidP="007F78F1">
      <w:pPr>
        <w:spacing w:after="120" w:line="480" w:lineRule="auto"/>
        <w:jc w:val="both"/>
        <w:rPr>
          <w:rFonts w:ascii="Times New Roman" w:hAnsi="Times New Roman" w:cs="Times New Roman"/>
          <w:color w:val="000000" w:themeColor="text1"/>
          <w:sz w:val="24"/>
          <w:szCs w:val="24"/>
        </w:rPr>
      </w:pP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xml:space="preserve"> is an excellent model for studying the fundamentals of growth and division in Gram-positive bacteria, as a spherical shape is the most basic form that a bacterium can assume as it does not require the coordination of multiple peptidoglycan biosynthesis machineries necessary for more complex cell shapes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{"citationID":"2d3esk71rg","properties":{"formattedCitation":"(Cabeen and Jacobs-Wagner, 2005)","plainCitation":"(Cabeen and Jacobs-Wagner, 2005)"},"citationItems":[{"id":61,"uris":["http://zotero.org/users/944474/items/3GDATWN3"],"uri":["http://zotero.org/users/944474/items/3GDATWN3"],"itemData":{"id":61,"type":"article-journal","title":"Bacterial cell shape","container-title":"Nature Reviews. Microbiology","page":"601-610","volume":"3","issue":"8","abstract":"Bacterial species have long been classified on the basis of their characteristic cell shapes. Despite intensive research, the molecular mechanisms underlying the generation and maintenance of bacterial cell shape remain largely unresolved. The field has recently taken an important step forward with the discovery that eukaryotic cytoskeletal proteins have homologues in bacteria that affect cell shape. Here, we discuss how a bacterium gains and maintains its shape, the challenges still confronting us and emerging strategies for answering difficult questions in this rapidly evolving field.","DOI":"10.1038/nrmicro1205","note":"PMID: 16012516","journalAbbreviation":"Nat. Rev. Microbiol.","author":[{"family":"Cabeen","given":"Matthew T"},{"family":"Jacobs-Wagner","given":"Christine"}],"issued":{"year":2005,"month":8},"accessed":{"year":2012,"month":3,"day":6},"page-first":"601"}}],"schema":"https://github.com/citation-style-language/schema/raw/master/csl-citation.json"}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(Cabeen and Jacobs-Wagner, 2005)</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Nevertheless, a comprehensive bioinformatic analysis of the </w:t>
      </w:r>
      <w:r>
        <w:rPr>
          <w:rFonts w:ascii="Times New Roman" w:hAnsi="Times New Roman" w:cs="Times New Roman"/>
          <w:i/>
          <w:color w:val="000000" w:themeColor="text1"/>
          <w:sz w:val="24"/>
          <w:szCs w:val="24"/>
        </w:rPr>
        <w:t xml:space="preserve">S. aureus </w:t>
      </w:r>
      <w:r>
        <w:rPr>
          <w:rFonts w:ascii="Times New Roman" w:hAnsi="Times New Roman" w:cs="Times New Roman"/>
          <w:color w:val="000000" w:themeColor="text1"/>
          <w:sz w:val="24"/>
          <w:szCs w:val="24"/>
        </w:rPr>
        <w:t xml:space="preserve">COL genome identified at least 20 putative peptidoglycan hydrolases, including targets for all possible bond specificities. No putative lysozymes were detected and only two putative lytic transglycosylases, identified previously (Table 5.1;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{"citationID":"1l0kgbbko5","properties":{"formattedCitation":"(Stapleton et al., 2007)","plainCitation":"(Stapleton et al., 2007)"},"citationItems":[{"id":164,"uris":["http://zotero.org/users/944474/items/TSCN2PPV"],"uri":["http://zotero.org/users/944474/items/TSCN2PPV"],"itemData":{"id":164,"type":"article-journal","title":"Characterization of IsaA and SceD, Two Putative Lytic Transglycosylases of Staphylococcus Aureus","container-title":"Journal of Bacteriology","page":"7316-7325","volume":"189","issue":"20","DOI":"10.1128/JB.00734-07","journalAbbreviation":"J. Bacteriol.","language":"en","author":[{"family":"Stapleton","given":"Melanie R."},{"family":"Horsburgh","given":"Malcolm J."},{"family":"Hayhurst","given":"Emma J."},{"family":"Wright","given":"Lynda"},{"family":"Jonsson","given":"Ing-Marie"},{"family":"Tarkowski","given":"Andrej"},{"family":"Kokai-Kun","given":"John F."},{"family":"Mond","given":"James J."},{"family":"Foster","given":"Simon J."}],"issued":{"year":2007,"month":10,"day":15},"accessed":{"year":2012,"month":5,"day":4},"page-first":"7316"}}],"schema":"https://github.com/citation-style-language/schema/raw/master/csl-citation.json"}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Stapleton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2007)</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Peaks associated with lytic transglycosylase activity could not be resolved by HPLC analysis of peptidoglycan from </w:t>
      </w:r>
      <w:r>
        <w:rPr>
          <w:rFonts w:ascii="Times New Roman" w:hAnsi="Times New Roman" w:cs="Times New Roman"/>
          <w:i/>
          <w:color w:val="000000" w:themeColor="text1"/>
          <w:sz w:val="24"/>
          <w:szCs w:val="24"/>
        </w:rPr>
        <w:t>isaA</w:t>
      </w:r>
      <w:r>
        <w:rPr>
          <w:rFonts w:ascii="Times New Roman" w:hAnsi="Times New Roman" w:cs="Times New Roman"/>
          <w:color w:val="000000" w:themeColor="text1"/>
          <w:sz w:val="24"/>
          <w:szCs w:val="24"/>
        </w:rPr>
        <w:t xml:space="preserve"> and </w:t>
      </w:r>
      <w:r>
        <w:rPr>
          <w:rFonts w:ascii="Times New Roman" w:hAnsi="Times New Roman" w:cs="Times New Roman"/>
          <w:i/>
          <w:color w:val="000000" w:themeColor="text1"/>
          <w:sz w:val="24"/>
          <w:szCs w:val="24"/>
        </w:rPr>
        <w:t>sceD</w:t>
      </w:r>
      <w:r>
        <w:rPr>
          <w:rFonts w:ascii="Times New Roman" w:hAnsi="Times New Roman" w:cs="Times New Roman"/>
          <w:color w:val="000000" w:themeColor="text1"/>
          <w:sz w:val="24"/>
          <w:szCs w:val="24"/>
        </w:rPr>
        <w:t xml:space="preserve"> mutants, or peptidoglycan digested with the recombinant enzymes, whilst satellite peaks associated with glucosaminidase activity were readily identified during chainlength analysis of amidase digested </w:t>
      </w:r>
      <w:r>
        <w:rPr>
          <w:rFonts w:ascii="Times New Roman" w:hAnsi="Times New Roman" w:cs="Times New Roman"/>
          <w:i/>
          <w:color w:val="000000" w:themeColor="text1"/>
          <w:sz w:val="24"/>
          <w:szCs w:val="24"/>
        </w:rPr>
        <w:t xml:space="preserve">S. aureus </w:t>
      </w:r>
      <w:r>
        <w:rPr>
          <w:rFonts w:ascii="Times New Roman" w:hAnsi="Times New Roman" w:cs="Times New Roman"/>
          <w:color w:val="000000" w:themeColor="text1"/>
          <w:sz w:val="24"/>
          <w:szCs w:val="24"/>
        </w:rPr>
        <w:t xml:space="preserve">peptidoglycan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{"citationID":"2o9qag29td","properties":{"formattedCitation":"(Boneca et al., 2000; Stapleton et al., 2007)","plainCitation":"(Boneca et al., 2000; Stapleton et al., 2007)"},"citationItems":[{"id":7,"uris":["http://zotero.org/users/944474/items/AQ75H8SX"],"uri":["http://zotero.org/users/944474/items/AQ75H8SX"],"itemData":{"id":7,"type":"article-journal","title":"Characterization of Staphylococcus aureus cell wall glycan strands, evidence for a new beta-N-acetylglucosaminidase activity","container-title":"The Journal of Biological Chemistry","page":"9910-9918","volume":"275","issue":"14","abstract":"Using sequential digestion with the glycyl-glycine endopeptidase lysostaphin followed by the pneumococcal N-acetylmuramyl-L-alanine amidase (amidase), the glycan strands of the peptidoglycan of Staphylococcus aureus were purified and analyzed by a combination of reverse-phase-high pressure liquid chromatography (HPLC) and mass spectrometry. Reverse-phase-HPLC resolved the glycan strands to a family of major peaks, which represented oligosaccharides composed of repeating disaccharide units (N-acetylglucosamine-[beta-1, 4]-N-acetylmuramic acid) with different degrees of polymerization and terminating with N-acetylmuramic acid residues at the reducing ends. The method allowed separation of strands up to 23-26 disaccharide units with a predominant length between 3 and 10 and an average degree of polymerization of approximately 6. Glycan strands with a higher degree of polymerization (&gt;26 disaccharide units) represented 10-15% of the total UV absorbing glycan material. A unique feature of the staphylococcal glycan strands was the presence of minor satellite peaks that were present throughout the HPLC elution profile eluting either just prior or shortly after the major oligosaccharide peaks. A number of observations including mass spectrometric analysis suggest that the satellites are the products of an N-acetylglucosaminidase activity that differs from the atl gene product and that appears to be involved with modification of the glycan strand structure.","note":"PMID: 10744664","journalAbbreviation":"J. Biol. Chem.","author":[{"family":"Boneca","given":"I G"},{"family":"Huang","given":"Z H"},{"family":"Gage","given":"D A"},{"family":"Tomasz","given":"A"}],"issued":{"year":2000,"month":4,"day":7},"accessed":{"year":2012,"month":3,"day":6},"page-first":"9910"}},{"id":164,"uris":["http://zotero.org/users/944474/items/TSCN2PPV"],"uri":["http://zotero.org/users/944474/items/TSCN2PPV"],"itemData":{"id":164,"type":"article-journal","title":"Characterization of IsaA and SceD, Two Putative Lytic Transglycosylases of Staphylococcus Aureus","container-title":"Journal of Bacteriology","page":"7316-7325","volume":"189","issue":"20","DOI":"10.1128/JB.00734-07","journalAbbreviation":"J. Bacteriol.","language":"en","author":[{"family":"Stapleton","given":"Melanie R."},{"family":"Horsburgh","given":"Malcolm J."},{"family":"Hayhurst","given":"Emma J."},{"family":"Wright","given":"Lynda"},{"family":"Jonsson","given":"Ing-Marie"},{"family":"Tarkowski","given":"Andrej"},{"family":"Kokai-Kun","given":"John F."},{"family":"Mond","given":"James J."},{"family":"Foster","given":"Simon J."}],"issued":{"year":2007,"month":10,"day":15},"accessed":{"year":2012,"month":5,"day":4},"page-first":"7316"}}],"schema":"https://github.com/citation-style-language/schema/raw/master/csl-citation.json"}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(Boneca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xml:space="preserve">., 2000; Stapleton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2007)</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These results suggest that in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w:t>
      </w:r>
      <w:r>
        <w:rPr>
          <w:rFonts w:ascii="Times New Roman" w:hAnsi="Times New Roman" w:cs="Times New Roman"/>
          <w:i/>
          <w:color w:val="000000" w:themeColor="text1"/>
          <w:sz w:val="24"/>
          <w:szCs w:val="24"/>
        </w:rPr>
        <w:t xml:space="preserve"> </w:t>
      </w:r>
      <w:r>
        <w:rPr>
          <w:rFonts w:ascii="Times New Roman" w:hAnsi="Times New Roman" w:cs="Times New Roman"/>
          <w:color w:val="000000" w:themeColor="text1"/>
          <w:sz w:val="24"/>
          <w:szCs w:val="24"/>
        </w:rPr>
        <w:t xml:space="preserve">processing of glycan chains is almost entirely due to glucosaminidase activity. Our analysis of the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xml:space="preserve"> COL genome identified a small complement of just four putative glucosaminidases. Loss of SagB had a profound</w:t>
      </w:r>
      <w:r>
        <w:rPr>
          <w:rFonts w:ascii="Times New Roman" w:hAnsi="Times New Roman" w:cs="Times New Roman"/>
          <w:sz w:val="24"/>
          <w:szCs w:val="24"/>
        </w:rPr>
        <w:t xml:space="preserve"> impact on the peptidoglycan architecture of </w:t>
      </w:r>
      <w:r>
        <w:rPr>
          <w:rFonts w:ascii="Times New Roman" w:hAnsi="Times New Roman" w:cs="Times New Roman"/>
          <w:i/>
          <w:sz w:val="24"/>
          <w:szCs w:val="24"/>
        </w:rPr>
        <w:t>S. aureus</w:t>
      </w:r>
      <w:r>
        <w:rPr>
          <w:rFonts w:ascii="Times New Roman" w:hAnsi="Times New Roman" w:cs="Times New Roman"/>
          <w:sz w:val="24"/>
          <w:szCs w:val="24"/>
        </w:rPr>
        <w:t xml:space="preserve">, causing a change from short glycan strands to predominantly long glycan strands. Our data indicate that, by default, </w:t>
      </w:r>
      <w:r>
        <w:rPr>
          <w:rFonts w:ascii="Times New Roman" w:hAnsi="Times New Roman" w:cs="Times New Roman"/>
          <w:i/>
          <w:sz w:val="24"/>
          <w:szCs w:val="24"/>
        </w:rPr>
        <w:t xml:space="preserve">S. aureus </w:t>
      </w:r>
      <w:r>
        <w:rPr>
          <w:rFonts w:ascii="Times New Roman" w:hAnsi="Times New Roman" w:cs="Times New Roman"/>
          <w:sz w:val="24"/>
          <w:szCs w:val="24"/>
        </w:rPr>
        <w:t xml:space="preserve">synthesises long glycan strands up to 100 disaccharides in length. The archetypal short glycan strands of </w:t>
      </w:r>
      <w:r>
        <w:rPr>
          <w:rFonts w:ascii="Times New Roman" w:hAnsi="Times New Roman" w:cs="Times New Roman"/>
          <w:i/>
          <w:sz w:val="24"/>
          <w:szCs w:val="24"/>
        </w:rPr>
        <w:t xml:space="preserve">S. aureus </w:t>
      </w:r>
      <w:r>
        <w:rPr>
          <w:rFonts w:ascii="Times New Roman" w:hAnsi="Times New Roman" w:cs="Times New Roman"/>
          <w:sz w:val="24"/>
          <w:szCs w:val="24"/>
        </w:rPr>
        <w:t xml:space="preserve">are the product of glucosaminidase activity, primarily mediated by the glucosaminidase SagB. It is not yet known whether a </w:t>
      </w:r>
      <w:r>
        <w:rPr>
          <w:rFonts w:ascii="Times New Roman" w:hAnsi="Times New Roman" w:cs="Times New Roman"/>
          <w:i/>
          <w:sz w:val="24"/>
          <w:szCs w:val="24"/>
        </w:rPr>
        <w:t>sagB</w:t>
      </w:r>
      <w:r>
        <w:rPr>
          <w:rFonts w:ascii="Times New Roman" w:hAnsi="Times New Roman" w:cs="Times New Roman"/>
          <w:sz w:val="24"/>
          <w:szCs w:val="24"/>
        </w:rPr>
        <w:t xml:space="preserve"> single glucosaminidase mutant has long glycan chains, however it is highly likely given that SJF2124 (SH1000 </w:t>
      </w:r>
      <w:r>
        <w:rPr>
          <w:rFonts w:ascii="Times New Roman" w:hAnsi="Times New Roman" w:cs="Times New Roman"/>
          <w:i/>
          <w:sz w:val="24"/>
          <w:szCs w:val="24"/>
        </w:rPr>
        <w:t>atl::pAZ106</w:t>
      </w:r>
      <w:r>
        <w:rPr>
          <w:rFonts w:ascii="Times New Roman" w:hAnsi="Times New Roman" w:cs="Times New Roman"/>
          <w:sz w:val="24"/>
          <w:szCs w:val="24"/>
        </w:rPr>
        <w:t xml:space="preserve"> </w:t>
      </w:r>
      <w:r>
        <w:rPr>
          <w:rFonts w:ascii="Times New Roman" w:hAnsi="Times New Roman" w:cs="Times New Roman"/>
          <w:i/>
          <w:sz w:val="24"/>
          <w:szCs w:val="24"/>
        </w:rPr>
        <w:t>scaH::tetM</w:t>
      </w:r>
      <w:r>
        <w:rPr>
          <w:rFonts w:ascii="Times New Roman" w:hAnsi="Times New Roman" w:cs="Times New Roman"/>
          <w:sz w:val="24"/>
          <w:szCs w:val="24"/>
        </w:rPr>
        <w:t xml:space="preserve"> SA2297</w:t>
      </w:r>
      <w:r>
        <w:rPr>
          <w:rFonts w:ascii="Times New Roman" w:hAnsi="Times New Roman" w:cs="Times New Roman"/>
          <w:i/>
          <w:sz w:val="24"/>
          <w:szCs w:val="24"/>
        </w:rPr>
        <w:t>::tetL</w:t>
      </w:r>
      <w:r>
        <w:rPr>
          <w:rFonts w:ascii="Times New Roman" w:hAnsi="Times New Roman" w:cs="Times New Roman"/>
          <w:sz w:val="24"/>
          <w:szCs w:val="24"/>
        </w:rPr>
        <w:t>)</w:t>
      </w:r>
      <w:r>
        <w:rPr>
          <w:rFonts w:ascii="Times New Roman" w:hAnsi="Times New Roman" w:cs="Times New Roman"/>
          <w:sz w:val="24"/>
          <w:szCs w:val="24"/>
          <w:vertAlign w:val="superscript"/>
        </w:rPr>
        <w:t>2</w:t>
      </w:r>
      <w:r>
        <w:rPr>
          <w:rFonts w:ascii="Times New Roman" w:hAnsi="Times New Roman" w:cs="Times New Roman"/>
          <w:sz w:val="24"/>
          <w:szCs w:val="24"/>
        </w:rPr>
        <w:t xml:space="preserve"> had a glycan strand distribution similar to that of the wildtype. Strains are currently under construction for </w:t>
      </w:r>
      <w:r>
        <w:rPr>
          <w:rFonts w:ascii="Times New Roman" w:hAnsi="Times New Roman" w:cs="Times New Roman"/>
          <w:color w:val="000000" w:themeColor="text1"/>
          <w:sz w:val="24"/>
          <w:szCs w:val="24"/>
        </w:rPr>
        <w:lastRenderedPageBreak/>
        <w:t xml:space="preserve">chain length analysis, using a single </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mutant and a complemented strain, however there was insufficient time to complete this work for inclusion in this thesis. </w:t>
      </w:r>
    </w:p>
    <w:p w:rsidR="007F78F1" w:rsidRDefault="007F78F1" w:rsidP="007F78F1">
      <w:pPr>
        <w:spacing w:after="120" w:line="480" w:lineRule="auto"/>
        <w:jc w:val="both"/>
        <w:rPr>
          <w:rFonts w:ascii="Times New Roman" w:hAnsi="Times New Roman" w:cs="Times New Roman"/>
          <w:color w:val="000000" w:themeColor="text1"/>
          <w:sz w:val="24"/>
          <w:szCs w:val="24"/>
        </w:rPr>
      </w:pP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xml:space="preserve"> is one of the most halotolerant bacterial pathogens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{"citationID":"228sn1q325","properties":{"formattedCitation":"(Parfentjev and Catelli, 1964)","plainCitation":"(Parfentjev and Catelli, 1964)"},"citationItems":[{"id":21,"uris":["http://zotero.org/users/944474/items/ZXQ2BEZN"],"uri":["http://zotero.org/users/944474/items/ZXQ2BEZN"],"itemData":{"id":21,"type":"article-journal","title":"Tolerance of Staphylococcus aureus to sodium chloride","container-title":"Journal of Bacteriology","page":"1-3","volume":"88","abstract":"Parfentjev, I. A. (Institute of Applied Biology, New York, N.Y.), and Anna R. Catelli. Tolerance of Staphylococcus aureus to sodium chloride. J. Bacteriol. 88:1-3. 1964.-The tolerance of Staphylococcus aureus to high concentrations of sodium chloride in liquid medium has been reported. We found that S. aureus grows at 37 C in Tryptose Phosphate Broth saturated with sodium chloride. No difference was noticed between possibly pathogenic and nonpathogenic strains. Under the conditions of our tests, no changes in the original properties of S. aureus strains occurred. In contrast, solutions of sodium chloride in distilled water were injurious to staphylococci and killed most of these organisms in 1 hr. Staphylococci were killed faster at 37 C than at room temperature in a solution of 0.85% sodium chloride in water. Addition of traces of Tryptose Phosphate Broth had a protective effect and prolonged the life of these organisms in physiological saline. All tests were performed at pH 7.2.","note":"PMID: 14197887","journalAbbreviation":"J. Bacteriol.","author":[{"family":"Parfentjev","given":"I A"},{"family":"Catelli","given":"A R"}],"issued":{"year":1964,"month":7},"accessed":{"year":2012,"month":3,"day":6},"page-first":"1"}}],"schema":"https://github.com/citation-style-language/schema/raw/master/csl-citation.json"}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(Parfentjev and Catelli, 1964)</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Using different combinations of triple mutant, we demonstrated that </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activity was critical for survival of cells under high salt stress, as perturbation of cell growth was greatest in the three triple mutants associated with </w:t>
      </w:r>
      <w:r>
        <w:rPr>
          <w:rFonts w:ascii="Times New Roman" w:hAnsi="Times New Roman" w:cs="Times New Roman"/>
          <w:i/>
          <w:color w:val="000000" w:themeColor="text1"/>
          <w:sz w:val="24"/>
          <w:szCs w:val="24"/>
        </w:rPr>
        <w:t>sagB</w:t>
      </w:r>
      <w:r>
        <w:rPr>
          <w:rFonts w:ascii="Times New Roman" w:hAnsi="Times New Roman" w:cs="Times New Roman"/>
          <w:color w:val="000000" w:themeColor="text1"/>
          <w:sz w:val="24"/>
          <w:szCs w:val="24"/>
        </w:rPr>
        <w:t xml:space="preserve"> inactivation (Figure 5.7). Of particular note, the most pronounced growth defects in the presence of 2.0 M NaCl were observed in strain SJF2125 (SH1000</w:t>
      </w:r>
      <w:r>
        <w:rPr>
          <w:rFonts w:ascii="Times New Roman" w:hAnsi="Times New Roman" w:cs="Times New Roman"/>
          <w:i/>
          <w:color w:val="000000" w:themeColor="text1"/>
          <w:sz w:val="24"/>
          <w:szCs w:val="24"/>
        </w:rPr>
        <w:t xml:space="preserve"> atl::pAZ106 sagB::kan, scaH:: tetM</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3</w:t>
      </w:r>
      <w:r>
        <w:rPr>
          <w:rFonts w:ascii="Times New Roman" w:hAnsi="Times New Roman" w:cs="Times New Roman"/>
          <w:color w:val="000000" w:themeColor="text1"/>
          <w:sz w:val="24"/>
          <w:szCs w:val="24"/>
        </w:rPr>
        <w:t>, the triple glucosaminidase mutant, and SJF2126  (SH1000</w:t>
      </w:r>
      <w:r>
        <w:rPr>
          <w:rFonts w:ascii="Times New Roman" w:hAnsi="Times New Roman" w:cs="Times New Roman"/>
          <w:i/>
          <w:color w:val="000000" w:themeColor="text1"/>
          <w:sz w:val="24"/>
          <w:szCs w:val="24"/>
        </w:rPr>
        <w:t xml:space="preserve"> sagB::kan, scaH:: tetM </w:t>
      </w:r>
      <w:r>
        <w:rPr>
          <w:rFonts w:ascii="Times New Roman" w:hAnsi="Times New Roman" w:cs="Times New Roman"/>
          <w:color w:val="000000" w:themeColor="text1"/>
          <w:sz w:val="24"/>
          <w:szCs w:val="24"/>
        </w:rPr>
        <w:t>SA2297</w:t>
      </w:r>
      <w:r>
        <w:rPr>
          <w:rFonts w:ascii="Times New Roman" w:hAnsi="Times New Roman" w:cs="Times New Roman"/>
          <w:i/>
          <w:color w:val="000000" w:themeColor="text1"/>
          <w:sz w:val="24"/>
          <w:szCs w:val="24"/>
        </w:rPr>
        <w:t>::tetL</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 in which Atl was expressed. Growth of the triple glucosaminidase mutant SJF2125 (SH1000</w:t>
      </w:r>
      <w:r>
        <w:rPr>
          <w:rFonts w:ascii="Times New Roman" w:hAnsi="Times New Roman" w:cs="Times New Roman"/>
          <w:i/>
          <w:color w:val="000000" w:themeColor="text1"/>
          <w:sz w:val="24"/>
          <w:szCs w:val="24"/>
        </w:rPr>
        <w:t xml:space="preserve"> atl::pAZ106 sagB::kan, scaH::tetM</w:t>
      </w:r>
      <w:proofErr w:type="gramStart"/>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3</w:t>
      </w:r>
      <w:proofErr w:type="gramEnd"/>
      <w:r>
        <w:rPr>
          <w:rFonts w:ascii="Times New Roman" w:hAnsi="Times New Roman" w:cs="Times New Roman"/>
          <w:color w:val="000000" w:themeColor="text1"/>
          <w:sz w:val="24"/>
          <w:szCs w:val="24"/>
        </w:rPr>
        <w:t xml:space="preserve"> on solid agar supplemented with 2.0 M NaCl was reduced by 75% compared to the wildtype strain (SH1000). Under salt stress, large colonies and smaller satellite colonies emerged, resulting in rather high variability in the growth of this strain. SJF2126 (SH1000</w:t>
      </w:r>
      <w:r>
        <w:rPr>
          <w:rFonts w:ascii="Times New Roman" w:hAnsi="Times New Roman" w:cs="Times New Roman"/>
          <w:i/>
          <w:color w:val="000000" w:themeColor="text1"/>
          <w:sz w:val="24"/>
          <w:szCs w:val="24"/>
        </w:rPr>
        <w:t xml:space="preserve"> sagB::kan, scaH::tetM </w:t>
      </w:r>
      <w:r>
        <w:rPr>
          <w:rFonts w:ascii="Times New Roman" w:hAnsi="Times New Roman" w:cs="Times New Roman"/>
          <w:color w:val="000000" w:themeColor="text1"/>
          <w:sz w:val="24"/>
          <w:szCs w:val="24"/>
        </w:rPr>
        <w:t>SA2297</w:t>
      </w:r>
      <w:r>
        <w:rPr>
          <w:rFonts w:ascii="Times New Roman" w:hAnsi="Times New Roman" w:cs="Times New Roman"/>
          <w:i/>
          <w:color w:val="000000" w:themeColor="text1"/>
          <w:sz w:val="24"/>
          <w:szCs w:val="24"/>
        </w:rPr>
        <w:t>::tetL</w:t>
      </w:r>
      <w:proofErr w:type="gramStart"/>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vertAlign w:val="superscript"/>
        </w:rPr>
        <w:t>2</w:t>
      </w:r>
      <w:proofErr w:type="gramEnd"/>
      <w:r>
        <w:rPr>
          <w:rFonts w:ascii="Times New Roman" w:hAnsi="Times New Roman" w:cs="Times New Roman"/>
          <w:i/>
          <w:color w:val="000000" w:themeColor="text1"/>
          <w:sz w:val="24"/>
          <w:szCs w:val="24"/>
        </w:rPr>
        <w:t xml:space="preserve"> </w:t>
      </w:r>
      <w:r>
        <w:rPr>
          <w:rFonts w:ascii="Times New Roman" w:hAnsi="Times New Roman" w:cs="Times New Roman"/>
          <w:color w:val="000000" w:themeColor="text1"/>
          <w:sz w:val="24"/>
          <w:szCs w:val="24"/>
        </w:rPr>
        <w:t xml:space="preserve">had the most pronounced defect (95% reduction of growth compared to the SH1000 wildtype strain). Growth at high salt concentrations has been correlated with increased autolysin expression, reduced cross-linking of peptidoglycan, shorter glycine interbridges and increased cell size in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{"citationID":"2j4gm4f9a","properties":{"formattedCitation":"(Tobin et al., 1994; Vijaranakul et al., 1995)","plainCitation":"(Tobin et al., 1994; Vijaranakul et al., 1995)"},"citationItems":[{"id":32,"uris":["http://zotero.org/users/944474/items/MTFNKZTG"],"uri":["http://zotero.org/users/944474/items/MTFNKZTG"],"itemData":{"id":32,"type":"article-journal","title":"Effect of physiological conditions on the autolysis of Staphylococcus aureus strains","container-title":"Antonie Van Leeuwenhoek","page":"71-78","volume":"65","issue":"1","abstract":"The effect of physiological conditions on autolysis and autolytic activity in various strains of Staphylococcus aureus was determined. The rate of whole cell autolysis of S. aureus was growth phase dependent and a maximum rate was observed in early stationary phase cultures. However, the autolysins extracted by the freeze-thaw method (cell-wall bound autolytic activity) did not show any significant increase in activity. The addition of NaCl to the growth medium enhanced the rate of autolysis with the highest rate being displayed by cultures grown in 1.5 M NaCl. However, lower autolytic activity was found in the freeze-thaw extracts of cultures grown at higher concentrations of NaCl. The rate of autolysis of cultures grown at 30 degrees C was higher than cultures grown at 37 or 43 degrees C. Thus, the rate of autolysis seems to be independent of the bacterial growth rate. Cultures grown in slightly acidic conditions showed a faster rate of autolysis compared to cultures grown under alkaline conditions. SDS-polyacrylamide gel containing 0.2% crude cell-wall of S. aureus did not show any obvious correlation with the appearance of any particular lytic band in the zymogram to autolytic activity or rate of autolysis of cultures grown under various environmental conditions. A nonhemolytic phenotype, mutations in the accessory gene regulator, and lysogeny (phages phi 11, phi 12, phi 13) had no obvious effect either on the rate of autolysis or on the pattern of lytic bands in the zymograms.","note":"PMID: 8060127","journalAbbreviation":"Antonie Van Leeuwenhoek","author":[{"family":"Tobin","given":"P J"},{"family":"Mani","given":"N"},{"family":"Jayaswal","given":"R K"}],"issued":{"year":1994},"accessed":{"year":2012,"month":3,"day":6},"page-first":"71"}},{"id":35,"uris":["http://zotero.org/users/944474/items/XP28MS7T"],"uri":["http://zotero.org/users/944474/items/XP28MS7T"],"itemData":{"id":35,"type":"article-journal","title":"Increased cell size and shortened peptidoglycan interpeptide bridge of NaCl-stressed Staphylococcus aureus and their reversal by glycine betaine","container-title":"Journal of Bacteriology","page":"5116-5121","volume":"177","issue":"17","abstract":"Staphylococcus aureus cells grown in a defined medium under conditions of high ionic stress (2.5 M NaCl) were significantly larger than cells grown under unstressed conditions, even though the cells grew much more slowly under stressed conditions. Analysis of the structure of peptidoglycan from stressed cells showed a shorter interpeptide bridge than in peptidoglycan from unstressed cells. Glycine betaine inclusion in the high-NaCl medium resulted in cells with sizes and interpeptide bridges similar to those of cells grown under unstressed conditions.","note":"PMID: 7665491","journalAbbreviation":"J. Bacteriol.","author":[{"family":"Vijaranakul","given":"U"},{"family":"Nadakavukaren","given":"M J"},{"family":"de Jonge","given":"B L"},{"family":"Wilkinson","given":"B J"},{"family":"Jayaswal","given":"R K"}],"issued":{"year":1995,"month":9},"accessed":{"year":2012,"month":3,"day":6},"page-first":"5116"}}],"schema":"https://github.com/citation-style-language/schema/raw/master/csl-citation.json"} </w:instrTex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{"citationID":"hf88jknk","properties":{"formattedCitation":"(Tobin et al., 1994; Foster, 1995; Vijaranakul et al., 1995)","plainCitation":"(Tobin et al., 1994; Foster, 1995; Vijaranakul et al., 1995)"},"citationItems":[{"id":32,"uris":["http://zotero.org/users/944474/items/MTFNKZTG"],"uri":["http://zotero.org/users/944474/items/MTFNKZTG"],"itemData":{"id":32,"type":"article-journal","title":"Effect of physiological conditions on the autolysis of Staphylococcus aureus strains","container-title":"Antonie Van Leeuwenhoek","page":"71-78","volume":"65","issue":"1","abstract":"The effect of physiological conditions on autolysis and autolytic activity in various strains of Staphylococcus aureus was determined. The rate of whole cell autolysis of S. aureus was growth phase dependent and a maximum rate was observed in early stationary phase cultures. However, the autolysins extracted by the freeze-thaw method (cell-wall bound autolytic activity) did not show any significant increase in activity. The addition of NaCl to the growth medium enhanced the rate of autolysis with the highest rate being displayed by cultures grown in 1.5 M NaCl. However, lower autolytic activity was found in the freeze-thaw extracts of cultures grown at higher concentrations of NaCl. The rate of autolysis of cultures grown at 30 degrees C was higher than cultures grown at 37 or 43 degrees C. Thus, the rate of autolysis seems to be independent of the bacterial growth rate. Cultures grown in slightly acidic conditions showed a faster rate of autolysis compared to cultures grown under alkaline conditions. SDS-polyacrylamide gel containing 0.2% crude cell-wall of S. aureus did not show any obvious correlation with the appearance of any particular lytic band in the zymogram to autolytic activity or rate of autolysis of cultures grown under various environmental conditions. A nonhemolytic phenotype, mutations in the accessory gene regulator, and lysogeny (phages phi 11, phi 12, phi 13) had no obvious effect either on the rate of autolysis or on the pattern of lytic bands in the zymograms.","note":"PMID: 8060127","journalAbbreviation":"Antonie Van Leeuwenhoek","author":[{"family":"Tobin","given":"P J"},{"family":"Mani","given":"N"},{"family":"Jayaswal","given":"R K"}],"issued":{"year":1994},"accessed":{"year":2012,"month":3,"day":6},"page-first":"71"}},{"id":48,"uris":["http://zotero.org/users/944474/items/D8DIGEZA"],"uri":["http://zotero.org/users/944474/items/D8DIGEZA"],"itemData":{"id":48,"type":"article-journal","title":"Molecular characterization and functional analysis of the major autolysin of Staphylococcus aureus 8325/4","container-title":"Journal of Bacteriology","page":"5723-5725","volume":"177","issue":"19","abstract":"The gene encoding the major autolysin of Staphylococcus aureus 8325/4 has been cloned, sequenced, and insertionally inactivated. The three-domain, 137,384-Da protein has a C-terminal glucosaminidase active site and is involved in cell separation, generalized cell lysis, and release of wall material at the cell surface. Expression occurs throughout growth and is stimulated by low temperatures and in the presence of 1 M NaCl.","note":"PMID: 7559367","journalAbbreviation":"J. Bacteriol.","author":[{"family":"Foster","given":"S J"}],"issued":{"year":1995,"month":10},"accessed":{"year":2012,"month":3,"day":6},"page-first":"5723"}},{"id":35,"uris":["http://zotero.org/users/944474/items/XP28MS7T"],"uri":["http://zotero.org/users/944474/items/XP28MS7T"],"itemData":{"id":35,"type":"article-journal","title":"Increased cell size and shortened peptidoglycan interpeptide bridge of NaCl-stressed Staphylococcus aureus and their reversal by glycine betaine","container-title":"Journal of Bacteriology","page":"5116-5121","volume":"177","issue":"17","abstract":"Staphylococcus aureus cells grown in a defined medium under conditions of high ionic stress (2.5 M NaCl) were significantly larger than cells grown under unstressed conditions, even though the cells grew much more slowly under stressed conditions. Analysis of the structure of peptidoglycan from stressed cells showed a shorter interpeptide bridge than in peptidoglycan from unstressed cells. Glycine betaine inclusion in the high-NaCl medium resulted in cells with sizes and interpeptide bridges similar to those of cells grown under unstressed conditions.","note":"PMID: 7665491","journalAbbreviation":"J. Bacteriol.","author":[{"family":"Vijaranakul","given":"U"},{"family":"Nadakavukaren","given":"M J"},{"family":"de Jonge","given":"B L"},{"family":"Wilkinson","given":"B J"},{"family":"Jayaswal","given":"R K"}],"issued":{"year":1995,"month":9},"accessed":{"year":2012,"month":3,"day":6},"page-first":"5116"}}],"schema":"https://github.com/citation-style-language/schema/raw/master/csl-citation.json"}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(Tobin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xml:space="preserve">., 1994; Foster, 1995; Vijaranakul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1995)</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Growth in salt also results in a slight increase in glycan chain length (unpublished data;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{"citationID":"2fodt21bjb","properties":{"formattedCitation":"(Hayhurst et al., 2008)","plainCitation":"(Hayhurst et al., 2008)"},"citationItems":[{"id":77,"uris":["http://zotero.org/users/944474/items/Z6IUFDEB"],"uri":["http://zotero.org/users/944474/items/Z6IUFDEB"],"itemData":{"id":77,"type":"article-journal","title":"Cell wall peptidoglycan architecture in Bacillus subtilis","container-title":"Proceedings of the National Academy of Sciences of the United States of America","page":"14603-14608","volume":"105","issue":"38","abstract":"The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polymer.","DOI":"10.1073/pnas.0804138105","note":"PMID: 18784364","journalAbbreviation":"Proc. Natl. Acad. Sci. U.S.A.","author":[{"family":"Hayhurst","given":"Emma J"},{"family":"Kailas","given":"Lekshmi"},{"family":"Hobbs","given":"Jamie K"},{"family":"Foster","given":"Simon J"}],"issued":{"year":2008,"month":9,"day":23},"accessed":{"year":2012,"month":3,"day":7},"page-first":"14603"}}],"schema":"https://github.com/citation-style-language/schema/raw/master/csl-citation.json"}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Hayhurst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2008)</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Autolysin activity is likely increased in response to high salt stress to compensate for ionic interference of the interaction between hydrolases and the peptidoglycan substrate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{"citationID":"v8qt0gvrq","properties":{"formattedCitation":"(Vijaranakul et al., 1995)","plainCitation":"(Vijaranakul et al., 1995)"},"citationItems":[{"id":35,"uris":["http://zotero.org/users/944474/items/XP28MS7T"],"uri":["http://zotero.org/users/944474/items/XP28MS7T"],"itemData":{"id":35,"type":"article-journal","title":"Increased cell size and shortened peptidoglycan interpeptide bridge of NaCl-stressed Staphylococcus aureus and their reversal by glycine betaine","container-title":"Journal of Bacteriology","page":"5116-5121","volume":"177","issue":"17","abstract":"Staphylococcus aureus cells grown in a defined medium under conditions of high ionic stress (2.5 M NaCl) were significantly larger than cells grown under unstressed conditions, even though the cells grew much more slowly under stressed conditions. Analysis of the structure of peptidoglycan from stressed cells showed a shorter interpeptide bridge than in peptidoglycan from unstressed cells. Glycine betaine inclusion in the high-NaCl medium resulted in cells with sizes and interpeptide bridges similar to those of cells grown under unstressed conditions.","note":"PMID: 7665491","journalAbbreviation":"J. Bacteriol.","author":[{"family":"Vijaranakul","given":"U"},{"family":"Nadakavukaren","given":"M J"},{"family":"de Jonge","given":"B L"},{"family":"Wilkinson","given":"B J"},{"family":"Jayaswal","given":"R K"}],"issued":{"year":1995,"month":9},"accessed":{"year":2012,"month":3,"day":6},"page-first":"5116"}}],"schema":"https://github.com/citation-style-language/schema/raw/master/csl-citation.json"}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(Vijaranakul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1995)</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It is possible that in the absence of other glucosaminidase activities, upregulation of Atl, the major autolysin</w:t>
      </w:r>
      <w:r>
        <w:rPr>
          <w:rFonts w:ascii="Times New Roman" w:hAnsi="Times New Roman" w:cs="Times New Roman"/>
          <w:i/>
          <w:color w:val="000000" w:themeColor="text1"/>
          <w:sz w:val="24"/>
          <w:szCs w:val="24"/>
        </w:rPr>
        <w:t xml:space="preserve"> </w:t>
      </w:r>
      <w:r>
        <w:rPr>
          <w:rFonts w:ascii="Times New Roman" w:hAnsi="Times New Roman" w:cs="Times New Roman"/>
          <w:color w:val="000000" w:themeColor="text1"/>
          <w:sz w:val="24"/>
          <w:szCs w:val="24"/>
        </w:rPr>
        <w:t xml:space="preserve">of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resulted in excessive cell wall hydrolysis which was detrimental to cell viability.</w:t>
      </w:r>
    </w:p>
    <w:p w:rsidR="007F78F1" w:rsidRDefault="007F78F1" w:rsidP="007F78F1">
      <w:pPr>
        <w:spacing w:after="12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Staphylococcal cell wall synthesis occurs during cell division by formation of a septal cross-wall, which forms the new cell wall hemisphere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{"citationID":"2qje2vmodb","properties":{"formattedCitation":"(Pinho and Errington, 2003)","plainCitation":"(Pinho and Errington, 2003)"},"citationItems":[{"id":42,"uris":["http://zotero.org/users/944474/items/7VW7ZGTG"],"uri":["http://zotero.org/users/944474/items/7VW7ZGTG"],"itemData":{"id":42,"type":"article-journal","title":"Dispersed mode of Staphylococcus aureus cell wall synthesis in the absence of the division machinery","container-title":"Molecular Microbiology","page":"871-881","volume":"50","issue":"3","abstract":"We have developed several new fluorescent staining procedures that enabled us to study the synthesis of cell wall material in the spherical Gram-positive bacterium Staphylococcus aureus. The results obtained support previous proposals that these cells synthesize new wall material specifically at cell division sites, in the form of a flat circular plate that is subsequently cleaved and remodelled to produce the new hemispherical poles of the daughter cells. We have shown that formation of the septal peptidoglycan is dependent on the key cell division protein FtsZ, which recruits penicillin-binding protein (PBP) 2. Unexpectedly, in FtsZ-depleted cells, the cell wall synthetic machinery becomes dispersed and new wall material is made in dispersed patches over the entire surface of the cells, which increase in volume by up to eightfold before lysing. The results have implications for understanding the nature of S. aureus morphogenesis and for inhibitors of cell division proteins as drug targets.","note":"PMID: 14617148","journalAbbreviation":"Mol. Microbiol.","author":[{"family":"Pinho","given":"Mariana G"},{"family":"Errington","given":"Jeff"}],"issued":{"year":2003,"month":11},"accessed":{"year":2012,"month":3,"day":6},"page-first":"871"}}],"schema":"https://github.com/citation-style-language/schema/raw/master/csl-citation.json"}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(Pinho and Errington, 2003)</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The peptidoglycan of the new wall has an architecture of rings, which transitions to a rough architecture of knobbles of peptidoglycan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{"citationID":"1pnt3icdvh","properties":{"formattedCitation":"(Amako et al., 1982; Giesbrecht et al., 1998; Turner et al., 2010)","plainCitation":"(Amako et al., 1982; Giesbrecht et al., 1998; Turner et al., 2010)"},"citationItems":[{"id":43,"uris":["http://zotero.org/users/944474/items/P9M47BKB"],"uri":["http://zotero.org/users/944474/items/P9M47BKB"],"itemData":{"id":43,"type":"article-journal","title":"Arrangement of peptidoglycan in the cell wall of Staphylococcus spp","container-title":"Journal of Bacteriology","page":"844-850","volume":"150","issue":"2","abstract":"The arrangement of peptidoglycan in the cell wall of Staphylococcus was observed with the newly developed freeze-fracture technique, using n-octanol instead of water as the freezing medium. The replica of the trichloroacetic acid-extracted cell wall (TCA-wall) showed two areas. One of them has a concentric circular structure, a characteristic surface structure of the staphylococcal cell wall, and the other showed an irregular and rough surface. The chemical analysis of the wall revealed that the TCA-wall consisted of mostly peptidoglycan. By digesting the TCA-wall with lysozyme, the circular structures were greatly disturbed, and they disappeared after 60 min of treatment. From these observations it can be expected that the peptidoglycan is arranged in a concentric circular manner in the newly generated cell wall of Staphylococcus.","note":"PMID: 7068534","journalAbbreviation":"J. Bacteriol.","author":[{"family":"Amako","given":"K"},{"family":"Umeda","given":"A"},{"family":"Murata","given":"K"}],"issued":{"year":1982,"month":5},"accessed":{"year":2012,"month":3,"day":6},"page-first":"844"}},{"id":44,"uris":["http://zotero.org/users/944474/items/CUPN6QRV"],"uri":["http://zotero.org/users/944474/items/CUPN6QRV"],"itemData":{"id":44,"type":"article-journal","title":"Staphylococcal cell wall: morphogenesis and fatal variations in the presence of penicillin","container-title":"Microbiology and Molecular Biology Reviews: MMBR","page":"1371-1414","volume":"62","issue":"4","abstract":"The primary goal of this review is to provide a compilation of the complex architectural features of staphylococcal cell walls and of some of their unusual morphogenetic traits including the utilization of murosomes and two different mechanisms of cell separation. Knowledge of these electron microscopic findings may serve as a prerequisite for a better understanding of the sophisticated events which lead to penicillin-induced death. For more than 50 years there have been controversial disputes about the mechanisms by which penicillin kills bacteria. Many hypotheses have tried to explain this fatal event biochemically and mainly via bacteriolysis. However, indications that penicillin-induced death of staphylococci results from overall biochemical defects or from a fatal attack of bacterial cell walls by bacteriolytic murein hydrolases were not been found. Rather, penicillin, claimed to trigger the activity of murein hydrolases, impaired autolytic wall enzymes of staphylococci. Electron microscopic investigations have meanwhile shown that penicillin-mediated induction of seemingly minute cross wall mistakes is the very reason for this killing. Such \"morphogenetic death\" taking place at predictable cross wall sites and at a predictable time is based on the initiation of normal cell separations in those staphylococci in which the completion of cross walls had been prevented by local penicillin-mediated impairment of the distribution of newly synthesized peptidoglycan; this death occurs because the high internal pressure of the protoplast abruptly kills such cells via ejection of some cytoplasm during attempted cell separation. An analogous fatal onset of cell partition is considered to take place without involvement of a detectable quantity of autolytic wall enzymes (\"mechanical cell separation\"). The most prominent feature of penicillin, the disintegration of bacterial cells via bacteriolysis, is shown to represent only a postmortem process resulting from shrinkage of dead cells and perturbation of the cytoplasmic membrane. Several schematic drawings have been included in this review to facilitate an understanding of the complex morphogenetic events.","note":"PMID: 9841676","shortTitle":"Staphylococcal cell wall","journalAbbreviation":"Microbiol. Mol. Biol. Rev.","author":[{"family":"Giesbrecht","given":"P"},{"family":"Kersten","given":"T"},{"family":"Maidhof","given":"H"},{"family":"Wecke","given":"J"}],"issued":{"year":1998,"month":12},"accessed":{"year":2012,"month":3,"day":6},"page-first":"1371"}},{"id":45,"uris":["http://zotero.org/users/944474/items/G32WSWAT"],"uri":["http://zotero.org/users/944474/items/G32WSWAT"],"itemData":{"id":45,"type":"article-journal","title":"Peptidoglycan architecture can specify division planes in Staphylococcus aureus","container-title":"Nature Communications","page":"26","volume":"1","abstract":"Division in Staphylococci occurs equatorially and on specific sequentially orthogonal planes in three dimensions, resulting, after incomplete cell separation, in the 'bunch of grapes' cluster organization that defines the genus. The shape of Staphylococci is principally maintained by peptidoglycan. In this study, we use Atomic Force Microscopy (AFM) and fluorescence microscopy with vancomycin labelling to examine purified peptidoglycan architecture and its dynamics in Staphylococcus aureus and correlate these with the cell cycle. At the presumptive septum, cells were found to form a large belt of peptidoglycan in the division plane before the centripetal formation of the septal disc; this often had a 'piecrust' texture. After division, the structures remain as orthogonal ribs, encoding the location of past division planes in the cell wall. We propose that this epigenetic information is used to enable S. aureus to divide in sequentially orthogonal planes, explaining how a spherical organism can maintain division plane localization with fidelity over many generations.","DOI":"10.1038/ncomms1025","note":"PMID: 20975691","journalAbbreviation":"Nat Commun","author":[{"family":"Turner","given":"Robert D"},{"family":"Ratcliffe","given":"Emma C"},{"family":"Wheeler","given":"Richard"},{"family":"Golestanian","given":"Ramin"},{"family":"Hobbs","given":"Jamie K"},{"family":"Foster","given":"Simon J"}],"issued":{"year":2010},"accessed":{"year":2012,"month":3,"day":6},"page-first":"26"}}],"schema":"https://github.com/citation-style-language/schema/raw/master/csl-citation.json"}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(Chapter 4; Amako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xml:space="preserve">., 1982; Giesbrecht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1998)</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It has been postulated that glucosaminidase enzymes are responsible for the transition from ring architecture to knobbles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{"citationID":"g9vh9v4bq","properties":{"formattedCitation":"(Turner et al., 2010)","plainCitation":"(Turner et al., 2010)"},"citationItems":[{"id":45,"uris":["http://zotero.org/users/944474/items/G32WSWAT"],"uri":["http://zotero.org/users/944474/items/G32WSWAT"],"itemData":{"id":45,"type":"article-journal","title":"Peptidoglycan architecture can specify division planes in Staphylococcus aureus","container-title":"Nature Communications","page":"26","volume":"1","abstract":"Division in Staphylococci occurs equatorially and on specific sequentially orthogonal planes in three dimensions, resulting, after incomplete cell separation, in the 'bunch of grapes' cluster organization that defines the genus. The shape of Staphylococci is principally maintained by peptidoglycan. In this study, we use Atomic Force Microscopy (AFM) and fluorescence microscopy with vancomycin labelling to examine purified peptidoglycan architecture and its dynamics in Staphylococcus aureus and correlate these with the cell cycle. At the presumptive septum, cells were found to form a large belt of peptidoglycan in the division plane before the centripetal formation of the septal disc; this often had a 'piecrust' texture. After division, the structures remain as orthogonal ribs, encoding the location of past division planes in the cell wall. We propose that this epigenetic information is used to enable S. aureus to divide in sequentially orthogonal planes, explaining how a spherical organism can maintain division plane localization with fidelity over many generations.","DOI":"10.1038/ncomms1025","note":"PMID: 20975691","journalAbbreviation":"Nat Commun","author":[{"family":"Turner","given":"Robert D"},{"family":"Ratcliffe","given":"Emma C"},{"family":"Wheeler","given":"Richard"},{"family":"Golestanian","given":"Ramin"},{"family":"Hobbs","given":"Jamie K"},{"family":"Foster","given":"Simon J"}],"issued":{"year":2010},"accessed":{"year":2012,"month":3,"day":6},"page-first":"26"}}],"schema":"https://github.com/citation-style-language/schema/raw/master/csl-citation.json"}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(Chapter 4)</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AFM analysis of the conditional quadruple mutant (Figure 5.14C and D) showed that the mature wall architecture was distinct from the smooth rings architecture of the nascent cell wall. Therefore loss of ring architecture was either due to SagA activity or, more likely, other classes of autolysin modify the nascent wall architecture during peptidoglycan turnover. Critically, the conditional quadruple mutant formed hemispherical-shaped cells (Figure 5.12B and Figure 5.13B), indicating that processing of the nascent cell wall was severely impaired. In this strain devoid of the major glucosaminidase activities, cells were impaired in their ability to undergo volume increase to spherical shape. The persistence of hemispherical cell shape in the uninduced quadruple mutant demonstrates that transition of the flat septal wall to spherical shape is not simply a consequence of high internal osmotic pressure, but requires glucosaminidase-mediated alteration of the peptidoglycan architecture following cell separation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{"citationID":"25itu4ha81","properties":{"formattedCitation":"(Frankel et al., 2011)","plainCitation":"(Frankel et al., 2011)"},"citationItems":[{"id":78,"uris":["http://zotero.org/users/944474/items/WW8BWZPB"],"uri":["http://zotero.org/users/944474/items/WW8BWZPB"],"itemData":{"id":78,"type":"article-journal","title":"LytN, a murein hydrolase in the cross-wall compartment of Staphylococcus aureus, is involved in proper bacterial growth and envelope assembly","container-title":"The Journal of Biological Chemistry","page":"32593-32605","volume":"286","issue":"37","abstract":"Cell cycle progression for the spherical microbe Staphylococcus aureus requires the coordinated synthesis and remodeling of peptidoglycan. The majority of these rearrangements takes place at the mid-cell, in a compartment designated the cross-wall. Secreted polypeptides endowed with a YSIRK-G/S signal peptide are directly delivered to the cross-wall compartment. One such YSIRK-containing protein is the murein hydrolase LytN. lytN mutations precipitate structural damage to the cross-wall and interfere with staphylococcal growth. Overexpression of lytN also affects growth and triggers rupture of the cross-wall. The lytN phenotype can be reversed by the controlled expression of lytN but not by adding purified LytN to staphylococcal cultures. LytN harbors LysM and CHAP domains, the latter of which functions as both an N-acetylmuramoyl-L-alanine amidase and D-alanyl-glycine endopeptidase. Thus, LytN secretion into the cross-wall promotes peptidoglycan separation and completion of the staphylococcal cell cycle.","DOI":"10.1074/jbc.M111.258863","note":"PMID: 21784864","journalAbbreviation":"J. Biol. Chem.","author":[{"family":"Frankel","given":"Matthew B"},{"family":"Hendrickx","given":"Antoni P A"},{"family":"Missiakas","given":"Dominique M"},{"family":"Schneewind","given":"Olaf"}],"issued":{"year":2011,"month":9,"day":16},"accessed":{"year":2012,"month":3,"day":8},"page-first":"32593"}}],"schema":"https://github.com/citation-style-language/schema/raw/master/csl-citation.json"}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(Frankel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2011)</w:t>
      </w:r>
      <w:r>
        <w:rPr>
          <w:rFonts w:ascii="Times New Roman" w:hAnsi="Times New Roman" w:cs="Times New Roman"/>
          <w:color w:val="000000" w:themeColor="text1"/>
          <w:sz w:val="24"/>
          <w:szCs w:val="24"/>
        </w:rPr>
        <w:fldChar w:fldCharType="end"/>
      </w:r>
    </w:p>
    <w:p w:rsidR="007F78F1" w:rsidRDefault="007F78F1" w:rsidP="007F78F1">
      <w:pPr>
        <w:spacing w:after="12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Apparent failure to transition from hemispherical to spherical shape over several generations resulted in cells with perturbed morphology. By TEM and SEM, the surface of the mature wall of SJF4094, comprised irregular lumps of material, differing greatly from the smoother, hair-like surface structure observed for the parental VF17 (SH1000 pGL485) strain by TEM. Such a rough surface has been linked previously to incomplete peptidoglycan turnover in a </w:t>
      </w:r>
      <w:r>
        <w:rPr>
          <w:rFonts w:ascii="Times New Roman" w:hAnsi="Times New Roman" w:cs="Times New Roman"/>
          <w:i/>
          <w:color w:val="000000" w:themeColor="text1"/>
          <w:sz w:val="24"/>
          <w:szCs w:val="24"/>
        </w:rPr>
        <w:t>S. aureus atl</w:t>
      </w:r>
      <w:r>
        <w:rPr>
          <w:rFonts w:ascii="Times New Roman" w:hAnsi="Times New Roman" w:cs="Times New Roman"/>
          <w:color w:val="000000" w:themeColor="text1"/>
          <w:sz w:val="24"/>
          <w:szCs w:val="24"/>
        </w:rPr>
        <w:t xml:space="preserve"> mutant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{"citationID":"111c29s6v0","properties":{"formattedCitation":"(Foster, 1995)","plainCitation":"(Foster, 1995)"},"citationItems":[{"id":48,"uris":["http://zotero.org/users/944474/items/D8DIGEZA"],"uri":["http://zotero.org/users/944474/items/D8DIGEZA"],"itemData":{"id":48,"type":"article-journal","title":"Molecular characterization and functional analysis of the major autolysin of Staphylococcus aureus 8325/4","container-title":"Journal of Bacteriology","page":"5723-5725","volume":"177","issue":"19","abstract":"The gene encoding the major autolysin of Staphylococcus aureus 8325/4 has been cloned, sequenced, and insertionally inactivated. The three-domain, 137,384-Da protein has a C-terminal glucosaminidase active site and is involved in cell separation, generalized cell lysis, and release of wall material at the cell surface. Expression occurs throughout growth and is stimulated by low temperatures and in the presence of 1 M NaCl.","note":"PMID: 7559367","journalAbbreviation":"J. Bacteriol.","author":[{"family":"Foster","given":"S J"}],"issued":{"year":1995,"month":10},"accessed":{"year":2012,"month":3,"day":6},"page-first":"5723"}}],"schema":"https://github.com/citation-style-language/schema/raw/master/csl-citation.json"}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(Foster, 1995)</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Clusters of cells were</w:t>
      </w:r>
      <w:r>
        <w:rPr>
          <w:rFonts w:ascii="Times New Roman" w:hAnsi="Times New Roman" w:cs="Times New Roman"/>
          <w:sz w:val="24"/>
          <w:szCs w:val="24"/>
        </w:rPr>
        <w:t xml:space="preserve"> </w:t>
      </w:r>
      <w:r>
        <w:rPr>
          <w:rFonts w:ascii="Times New Roman" w:hAnsi="Times New Roman" w:cs="Times New Roman"/>
          <w:color w:val="000000" w:themeColor="text1"/>
          <w:sz w:val="24"/>
          <w:szCs w:val="24"/>
        </w:rPr>
        <w:t xml:space="preserve">encompassed by a contiguous cell wall, similar to pseudomulticellular clusters </w:t>
      </w:r>
      <w:r>
        <w:rPr>
          <w:rFonts w:ascii="Times New Roman" w:hAnsi="Times New Roman" w:cs="Times New Roman"/>
          <w:color w:val="000000" w:themeColor="text1"/>
          <w:sz w:val="24"/>
          <w:szCs w:val="24"/>
        </w:rPr>
        <w:lastRenderedPageBreak/>
        <w:t xml:space="preserve">described by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{"citationID":"t4f4svsgm","properties":{"formattedCitation":"(Henze et al., 1993)","plainCitation":"(Henze et al., 1993)"},"citationItems":[{"id":60,"uris":["http://zotero.org/users/944474/items/WWADCSXT"],"uri":["http://zotero.org/users/944474/items/WWADCSXT"],"itemData":{"id":60,"type":"article-journal","title":"Influence of femB on methicillin resistance and peptidoglycan metabolism in Staphylococcus aureus","container-title":"Journal of Bacteriology","page":"1612-1620","volume":"175","issue":"6","abstract":"The inactivation of FemB by insertion of Tn551 in the central part of the femB open reading frame was shown to increase susceptibility of methicillin-resistant Staphylococcus aureus strains toward beta-lactam antibiotics to the same extent as did inactivation of femA. Strains carrying the methicillin resistance determinant (mec) and expressing PBP 2' were affected to the same extent as were strains selected for in vitro resistance, which did not express PBP 2'. Both femA and femB, which form an operon, are involved in a yet unknown manner in the glycine interpeptide bridge formation of the S. aureus peptidoglycan. FemB inactivation was shown to reduce the glycine content of peptidoglycan by approximately 40%, depending on the S. aureus strain. The reduction of the interpeptide bridge glycine content led to significant reduction in peptidoglycan cross-linking, as measured by gel permeation high-pressure liquid chromatography of muramidase-digested cell walls. Maximum peptide chain length was reduced by approximately 40%. It is shown that the complete pentaglycine interpeptide bridge is important for the sensitivity against beta-lactam antibiotics and for the undisturbed activity of the staphylococcal cell wall-synthesizing and hydrolyzing enzymes, as was also apparent from electron microscopic examinations, which revealed aberrant placement of cross walls and retarded cell separation, leading to a pseudomulticellular phenotype of the cells for both femA and femB mutants.","note":"PMID: 8383661","journalAbbreviation":"J. Bacteriol.","author":[{"family":"Henze","given":"U"},{"family":"Sidow","given":"T"},{"family":"Wecke","given":"J"},{"family":"Labischinski","given":"H"},{"family":"Berger-Bächi","given":"B"}],"issued":{"year":1993,"month":3},"accessed":{"year":2012,"month":3,"day":6},"page-first":"1612"}}],"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 xml:space="preserve">(Henze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1993)</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for </w:t>
      </w:r>
      <w:r>
        <w:rPr>
          <w:rFonts w:ascii="Times New Roman" w:hAnsi="Times New Roman" w:cs="Times New Roman"/>
          <w:i/>
          <w:color w:val="000000" w:themeColor="text1"/>
          <w:sz w:val="24"/>
          <w:szCs w:val="24"/>
        </w:rPr>
        <w:t>femA</w:t>
      </w:r>
      <w:r>
        <w:rPr>
          <w:rFonts w:ascii="Times New Roman" w:hAnsi="Times New Roman" w:cs="Times New Roman"/>
          <w:color w:val="000000" w:themeColor="text1"/>
          <w:sz w:val="24"/>
          <w:szCs w:val="24"/>
        </w:rPr>
        <w:t xml:space="preserve"> and </w:t>
      </w:r>
      <w:r>
        <w:rPr>
          <w:rFonts w:ascii="Times New Roman" w:hAnsi="Times New Roman" w:cs="Times New Roman"/>
          <w:i/>
          <w:color w:val="000000" w:themeColor="text1"/>
          <w:sz w:val="24"/>
          <w:szCs w:val="24"/>
        </w:rPr>
        <w:t>femB</w:t>
      </w:r>
      <w:r>
        <w:rPr>
          <w:rFonts w:ascii="Times New Roman" w:hAnsi="Times New Roman" w:cs="Times New Roman"/>
          <w:color w:val="000000" w:themeColor="text1"/>
          <w:sz w:val="24"/>
          <w:szCs w:val="24"/>
        </w:rPr>
        <w:t xml:space="preserve"> mutants (Figure 5.12B and Figure 5.13B). The presence of pitted scars and long strands of material attached to the cell surfaces indicated that although separation had occurred, incomplete hydrolysis of the septal cross-wall between daughter cells had resulted in damage to the cell surface (Figure 5.12A).</w:t>
      </w:r>
    </w:p>
    <w:p w:rsidR="007F78F1" w:rsidRDefault="007F78F1" w:rsidP="00FE29E6">
      <w:pPr>
        <w:spacing w:after="12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Processing of long glycan strands to short strands coincides with cell volume increase by hydrolysis of the nascent cell wall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{"citationID":"afh7od6c2","properties":{"formattedCitation":"(Turner et al., 2010)","plainCitation":"(Turner et al., 2010)"},"citationItems":[{"id":45,"uris":["http://zotero.org/users/944474/items/G32WSWAT"],"uri":["http://zotero.org/users/944474/items/G32WSWAT"],"itemData":{"id":45,"type":"article-journal","title":"Peptidoglycan architecture can specify division planes in Staphylococcus aureus","container-title":"Nature Communications","page":"26","volume":"1","abstract":"Division in Staphylococci occurs equatorially and on specific sequentially orthogonal planes in three dimensions, resulting, after incomplete cell separation, in the 'bunch of grapes' cluster organization that defines the genus. The shape of Staphylococci is principally maintained by peptidoglycan. In this study, we use Atomic Force Microscopy (AFM) and fluorescence microscopy with vancomycin labelling to examine purified peptidoglycan architecture and its dynamics in Staphylococcus aureus and correlate these with the cell cycle. At the presumptive septum, cells were found to form a large belt of peptidoglycan in the division plane before the centripetal formation of the septal disc; this often had a 'piecrust' texture. After division, the structures remain as orthogonal ribs, encoding the location of past division planes in the cell wall. We propose that this epigenetic information is used to enable S. aureus to divide in sequentially orthogonal planes, explaining how a spherical organism can maintain division plane localization with fidelity over many generations.","DOI":"10.1038/ncomms1025","note":"PMID: 20975691","journalAbbreviation":"Nat Commun","author":[{"family":"Turner","given":"Robert D"},{"family":"Ratcliffe","given":"Emma C"},{"family":"Wheeler","given":"Richard"},{"family":"Golestanian","given":"Ramin"},{"family":"Hobbs","given":"Jamie K"},{"family":"Foster","given":"Simon J"}],"issued":{"year":2010},"accessed":{"year":2012,"month":3,"day":6},"page-first":"26"}}],"schema":"https://github.com/citation-style-language/schema/raw/master/csl-citation.json"}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(Chapter 4)</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suggesting that cleavage of long glycan strands to short glycan strands is required for normal spherical shape of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xml:space="preserve"> cells. Glycan chain length of </w:t>
      </w:r>
      <w:r>
        <w:rPr>
          <w:rFonts w:ascii="Times New Roman" w:hAnsi="Times New Roman" w:cs="Times New Roman"/>
          <w:i/>
          <w:color w:val="000000" w:themeColor="text1"/>
          <w:sz w:val="24"/>
          <w:szCs w:val="24"/>
        </w:rPr>
        <w:t>S. aureus</w:t>
      </w:r>
      <w:r>
        <w:rPr>
          <w:rFonts w:ascii="Times New Roman" w:hAnsi="Times New Roman" w:cs="Times New Roman"/>
          <w:color w:val="000000" w:themeColor="text1"/>
          <w:sz w:val="24"/>
          <w:szCs w:val="24"/>
        </w:rPr>
        <w:t xml:space="preserve"> peptidoglycan is predominantly between 3 and 10 disaccharides, but up to 14% of glycan material is greater than 50 disaccharides in length when grown in rich media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ZOTERO_ITEM CSL_CITATION {"citationID":"27h3tv1vol","properties":{"formattedCitation":"(Boneca et al., 2000)","plainCitation":"(Boneca et al., 2000)"},"citationItems":[{"id":7,"uris":["http://zotero.org/users/944474/items/AQ75H8SX"],"uri":["http://zotero.org/users/944474/items/AQ75H8SX"],"itemData":{"id":7,"type":"article-journal","title":"Characterization of Staphylococcus aureus cell wall glycan strands, evidence for a new beta-N-acetylglucosaminidase activity","container-title":"The Journal of Biological Chemistry","page":"9910-9918","volume":"275","issue":"14","abstract":"Using sequential digestion with the glycyl-glycine endopeptidase lysostaphin followed by the pneumococcal N-acetylmuramyl-L-alanine amidase (amidase), the glycan strands of the peptidoglycan of Staphylococcus aureus were purified and analyzed by a combination of reverse-phase-high pressure liquid chromatography (HPLC) and mass spectrometry. Reverse-phase-HPLC resolved the glycan strands to a family of major peaks, which represented oligosaccharides composed of repeating disaccharide units (N-acetylglucosamine-[beta-1, 4]-N-acetylmuramic acid) with different degrees of polymerization and terminating with N-acetylmuramic acid residues at the reducing ends. The method allowed separation of strands up to 23-26 disaccharide units with a predominant length between 3 and 10 and an average degree of polymerization of approximately 6. Glycan strands with a higher degree of polymerization (&gt;26 disaccharide units) represented 10-15% of the total UV absorbing glycan material. A unique feature of the staphylococcal glycan strands was the presence of minor satellite peaks that were present throughout the HPLC elution profile eluting either just prior or shortly after the major oligosaccharide peaks. A number of observations including mass spectrometric analysis suggest that the satellites are the products of an N-acetylglucosaminidase activity that differs from the atl gene product and that appears to be involved with modification of the glycan strand structure.","note":"PMID: 10744664","journalAbbreviation":"J. Biol. Chem.","author":[{"family":"Boneca","given":"I G"},{"family":"Huang","given":"Z H"},{"family":"Gage","given":"D A"},{"family":"Tomasz","given":"A"}],"issued":{"year":2000,"month":4,"day":7},"accessed":{"year":2012,"month":3,"day":6},"page-first":"9910"}}],"schema":"https://github.com/citation-style-language/schema/raw/master/csl-citation.json"} </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rPr>
        <w:t>(</w:t>
      </w:r>
      <w:r>
        <w:rPr>
          <w:rFonts w:ascii="Times New Roman" w:hAnsi="Times New Roman" w:cs="Times New Roman"/>
          <w:color w:val="000000" w:themeColor="text1"/>
          <w:sz w:val="24"/>
          <w:szCs w:val="24"/>
        </w:rPr>
        <w:t xml:space="preserve">Chapter 3.2.1.7; </w:t>
      </w:r>
      <w:r>
        <w:rPr>
          <w:rFonts w:ascii="Times New Roman" w:hAnsi="Times New Roman" w:cs="Times New Roman"/>
          <w:color w:val="000000" w:themeColor="text1"/>
          <w:sz w:val="24"/>
        </w:rPr>
        <w:t xml:space="preserve">Boneca </w:t>
      </w:r>
      <w:r>
        <w:rPr>
          <w:rFonts w:ascii="Times New Roman" w:hAnsi="Times New Roman" w:cs="Times New Roman"/>
          <w:i/>
          <w:color w:val="000000" w:themeColor="text1"/>
          <w:sz w:val="24"/>
        </w:rPr>
        <w:t>et al</w:t>
      </w:r>
      <w:r>
        <w:rPr>
          <w:rFonts w:ascii="Times New Roman" w:hAnsi="Times New Roman" w:cs="Times New Roman"/>
          <w:color w:val="000000" w:themeColor="text1"/>
          <w:sz w:val="24"/>
        </w:rPr>
        <w:t>., 2000)</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The findings of the present study suggest that whilst there may be a currently unknown physiological role for a small proportion of long glycan strands, long chains are probably a transient feature of new wall synthesis. We propose a model of peptidoglycan architecture in </w:t>
      </w:r>
      <w:r>
        <w:rPr>
          <w:rFonts w:ascii="Times New Roman" w:hAnsi="Times New Roman" w:cs="Times New Roman"/>
          <w:i/>
          <w:color w:val="000000" w:themeColor="text1"/>
          <w:sz w:val="24"/>
          <w:szCs w:val="24"/>
        </w:rPr>
        <w:t xml:space="preserve">S. aureus </w:t>
      </w:r>
      <w:r>
        <w:rPr>
          <w:rFonts w:ascii="Times New Roman" w:hAnsi="Times New Roman" w:cs="Times New Roman"/>
          <w:color w:val="000000" w:themeColor="text1"/>
          <w:sz w:val="24"/>
          <w:szCs w:val="24"/>
        </w:rPr>
        <w:t>whereby the ring architecture of the nascent cell wall peptidoglycan comprises stress-bearing long glycan strands, producing a densely packed, low elasticity wall (Figure 5.15). Cleavage of the glycan chains from long to short strands increases the elasticity of the peptidoglycan network, and is the major activity regulating cell volume increase under turgor pressure to spherical cell shape.</w:t>
      </w:r>
    </w:p>
    <w:p w:rsidR="007F78F1" w:rsidRDefault="007F78F1" w:rsidP="00FE29E6">
      <w:pPr>
        <w:spacing w:after="12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In this study, the putative glucosaminidase </w:t>
      </w:r>
      <w:r>
        <w:rPr>
          <w:rFonts w:ascii="Times New Roman" w:hAnsi="Times New Roman" w:cs="Times New Roman"/>
          <w:i/>
          <w:color w:val="000000" w:themeColor="text1"/>
          <w:sz w:val="24"/>
          <w:szCs w:val="24"/>
        </w:rPr>
        <w:t>sagA</w:t>
      </w:r>
      <w:r>
        <w:rPr>
          <w:rFonts w:ascii="Times New Roman" w:hAnsi="Times New Roman" w:cs="Times New Roman"/>
          <w:color w:val="000000" w:themeColor="text1"/>
          <w:sz w:val="24"/>
          <w:szCs w:val="24"/>
        </w:rPr>
        <w:t xml:space="preserve"> was not inactivated. Instead, a downstream gene SA2297 was erroneously inactivated. SA2297 is a predicted monooxygenase oxidoreductase with an FAD binding domain, and therefore is likely to have a role in energy metabolism, unrelated to autolysin activity. Analysis of the intergenic region between </w:t>
      </w:r>
      <w:r>
        <w:rPr>
          <w:rFonts w:ascii="Times New Roman" w:hAnsi="Times New Roman" w:cs="Times New Roman"/>
          <w:i/>
          <w:color w:val="000000" w:themeColor="text1"/>
          <w:sz w:val="24"/>
          <w:szCs w:val="24"/>
        </w:rPr>
        <w:t>sagA</w:t>
      </w:r>
      <w:r>
        <w:rPr>
          <w:rFonts w:ascii="Times New Roman" w:hAnsi="Times New Roman" w:cs="Times New Roman"/>
          <w:color w:val="000000" w:themeColor="text1"/>
          <w:sz w:val="24"/>
          <w:szCs w:val="24"/>
        </w:rPr>
        <w:t xml:space="preserve"> and SA2297</w:t>
      </w:r>
      <w:r>
        <w:rPr>
          <w:rFonts w:ascii="Times New Roman" w:hAnsi="Times New Roman" w:cs="Times New Roman"/>
          <w:i/>
          <w:color w:val="000000" w:themeColor="text1"/>
          <w:sz w:val="24"/>
          <w:szCs w:val="24"/>
        </w:rPr>
        <w:t xml:space="preserve"> </w:t>
      </w:r>
      <w:r>
        <w:rPr>
          <w:rFonts w:ascii="Times New Roman" w:hAnsi="Times New Roman" w:cs="Times New Roman"/>
          <w:color w:val="000000" w:themeColor="text1"/>
          <w:sz w:val="24"/>
          <w:szCs w:val="24"/>
        </w:rPr>
        <w:t xml:space="preserve">with FindTerm bacterial terminator </w:t>
      </w:r>
    </w:p>
    <w:p w:rsidR="007F78F1" w:rsidRDefault="007F78F1" w:rsidP="007F78F1">
      <w:pPr>
        <w:spacing w:after="0" w:line="480" w:lineRule="auto"/>
        <w:rPr>
          <w:rFonts w:ascii="Times New Roman" w:hAnsi="Times New Roman" w:cs="Times New Roman"/>
          <w:color w:val="000000" w:themeColor="text1"/>
          <w:sz w:val="24"/>
          <w:szCs w:val="24"/>
        </w:rPr>
        <w:sectPr w:rsidR="007F78F1">
          <w:type w:val="continuous"/>
          <w:pgSz w:w="11906" w:h="16838"/>
          <w:pgMar w:top="1440" w:right="1134" w:bottom="1440" w:left="2268" w:header="709" w:footer="709" w:gutter="0"/>
          <w:cols w:space="720"/>
        </w:sectPr>
      </w:pPr>
    </w:p>
    <w:p w:rsidR="007F78F1" w:rsidRDefault="007F78F1" w:rsidP="007F78F1">
      <w:pPr>
        <w:jc w:val="center"/>
        <w:rPr>
          <w:rFonts w:ascii="Times New Roman" w:hAnsi="Times New Roman" w:cs="Times New Roman"/>
          <w:b/>
          <w:sz w:val="24"/>
          <w:szCs w:val="24"/>
        </w:rPr>
      </w:pPr>
      <w:r>
        <w:lastRenderedPageBreak/>
        <w:pict>
          <v:shape id="_x0000_s1071" type="#_x0000_t202" style="position:absolute;left:0;text-align:left;margin-left:211.45pt;margin-top:169pt;width:28.7pt;height:29pt;z-index:251709440;mso-width-relative:margin;mso-height-relative:margin" filled="f" stroked="f">
            <v:textbox style="mso-next-textbox:#_x0000_s1071">
              <w:txbxContent>
                <w:p w:rsidR="007F78F1" w:rsidRDefault="007F78F1" w:rsidP="007F78F1">
                  <w:pPr>
                    <w:rPr>
                      <w:rFonts w:ascii="Times New Roman" w:hAnsi="Times New Roman" w:cs="Times New Roman"/>
                      <w:sz w:val="36"/>
                      <w:szCs w:val="36"/>
                    </w:rPr>
                  </w:pPr>
                  <w:r>
                    <w:rPr>
                      <w:rFonts w:ascii="Times New Roman" w:hAnsi="Times New Roman" w:cs="Times New Roman"/>
                      <w:sz w:val="36"/>
                      <w:szCs w:val="36"/>
                    </w:rPr>
                    <w:t>D</w:t>
                  </w:r>
                </w:p>
              </w:txbxContent>
            </v:textbox>
          </v:shape>
        </w:pict>
      </w:r>
      <w:r>
        <w:pict>
          <v:shape id="_x0000_s1070" type="#_x0000_t202" style="position:absolute;left:0;text-align:left;margin-left:59.8pt;margin-top:169pt;width:28.7pt;height:29pt;z-index:251708416;mso-width-relative:margin;mso-height-relative:margin" filled="f" stroked="f">
            <v:textbox style="mso-next-textbox:#_x0000_s1070">
              <w:txbxContent>
                <w:p w:rsidR="007F78F1" w:rsidRDefault="007F78F1" w:rsidP="007F78F1">
                  <w:pPr>
                    <w:rPr>
                      <w:rFonts w:ascii="Times New Roman" w:hAnsi="Times New Roman" w:cs="Times New Roman"/>
                      <w:sz w:val="36"/>
                      <w:szCs w:val="36"/>
                    </w:rPr>
                  </w:pPr>
                  <w:r>
                    <w:rPr>
                      <w:rFonts w:ascii="Times New Roman" w:hAnsi="Times New Roman" w:cs="Times New Roman"/>
                      <w:sz w:val="36"/>
                      <w:szCs w:val="36"/>
                    </w:rPr>
                    <w:t>C</w:t>
                  </w:r>
                </w:p>
              </w:txbxContent>
            </v:textbox>
          </v:shape>
        </w:pict>
      </w:r>
      <w:r>
        <w:pict>
          <v:shape id="_x0000_s1069" type="#_x0000_t202" style="position:absolute;left:0;text-align:left;margin-left:163.45pt;margin-top:-.25pt;width:28.7pt;height:29pt;z-index:251707392;mso-width-relative:margin;mso-height-relative:margin" stroked="f">
            <v:textbox style="mso-next-textbox:#_x0000_s1069">
              <w:txbxContent>
                <w:p w:rsidR="007F78F1" w:rsidRDefault="007F78F1" w:rsidP="007F78F1">
                  <w:pPr>
                    <w:rPr>
                      <w:rFonts w:ascii="Times New Roman" w:hAnsi="Times New Roman" w:cs="Times New Roman"/>
                      <w:sz w:val="36"/>
                      <w:szCs w:val="36"/>
                    </w:rPr>
                  </w:pPr>
                  <w:r>
                    <w:rPr>
                      <w:rFonts w:ascii="Times New Roman" w:hAnsi="Times New Roman" w:cs="Times New Roman"/>
                      <w:sz w:val="36"/>
                      <w:szCs w:val="36"/>
                    </w:rPr>
                    <w:t>B</w:t>
                  </w:r>
                </w:p>
              </w:txbxContent>
            </v:textbox>
          </v:shape>
        </w:pict>
      </w:r>
      <w:r>
        <w:pict>
          <v:shape id="_x0000_s1068" type="#_x0000_t202" style="position:absolute;left:0;text-align:left;margin-left:11.95pt;margin-top:-.25pt;width:28.7pt;height:29pt;z-index:251706368;mso-width-relative:margin;mso-height-relative:margin" stroked="f">
            <v:textbox style="mso-next-textbox:#_x0000_s1068">
              <w:txbxContent>
                <w:p w:rsidR="007F78F1" w:rsidRDefault="007F78F1" w:rsidP="007F78F1">
                  <w:pPr>
                    <w:rPr>
                      <w:rFonts w:ascii="Times New Roman" w:hAnsi="Times New Roman" w:cs="Times New Roman"/>
                      <w:sz w:val="36"/>
                      <w:szCs w:val="36"/>
                    </w:rPr>
                  </w:pPr>
                  <w:r>
                    <w:rPr>
                      <w:rFonts w:ascii="Times New Roman" w:hAnsi="Times New Roman" w:cs="Times New Roman"/>
                      <w:sz w:val="36"/>
                      <w:szCs w:val="36"/>
                    </w:rPr>
                    <w:t>A</w:t>
                  </w:r>
                </w:p>
              </w:txbxContent>
            </v:textbox>
          </v:shape>
        </w:pict>
      </w:r>
      <w:r>
        <w:rPr>
          <w:rFonts w:ascii="Times New Roman" w:hAnsi="Times New Roman" w:cs="Times New Roman"/>
          <w:b/>
          <w:noProof/>
          <w:sz w:val="24"/>
          <w:szCs w:val="24"/>
          <w:lang w:eastAsia="en-GB"/>
        </w:rPr>
        <w:drawing>
          <wp:inline distT="0" distB="0" distL="0" distR="0">
            <wp:extent cx="5272405" cy="2351405"/>
            <wp:effectExtent l="19050" t="0" r="4445" b="0"/>
            <wp:docPr id="83" name="Picture 3" descr="Figure 7 redraft for thesis 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 7 redraft for thesis AB.png"/>
                    <pic:cNvPicPr>
                      <a:picLocks noChangeAspect="1" noChangeArrowheads="1"/>
                    </pic:cNvPicPr>
                  </pic:nvPicPr>
                  <pic:blipFill>
                    <a:blip r:embed="rId107" cstate="print"/>
                    <a:srcRect/>
                    <a:stretch>
                      <a:fillRect/>
                    </a:stretch>
                  </pic:blipFill>
                  <pic:spPr bwMode="auto">
                    <a:xfrm>
                      <a:off x="0" y="0"/>
                      <a:ext cx="5272405" cy="2351405"/>
                    </a:xfrm>
                    <a:prstGeom prst="rect">
                      <a:avLst/>
                    </a:prstGeom>
                    <a:noFill/>
                    <a:ln w="9525">
                      <a:noFill/>
                      <a:miter lim="800000"/>
                      <a:headEnd/>
                      <a:tailEnd/>
                    </a:ln>
                  </pic:spPr>
                </pic:pic>
              </a:graphicData>
            </a:graphic>
          </wp:inline>
        </w:drawing>
      </w:r>
    </w:p>
    <w:p w:rsidR="007F78F1" w:rsidRDefault="007F78F1" w:rsidP="007F78F1">
      <w:pPr>
        <w:jc w:val="center"/>
        <w:rPr>
          <w:rFonts w:ascii="Times New Roman" w:hAnsi="Times New Roman" w:cs="Times New Roman"/>
          <w:b/>
          <w:sz w:val="24"/>
          <w:szCs w:val="24"/>
        </w:rPr>
      </w:pPr>
      <w:r>
        <w:rPr>
          <w:rFonts w:ascii="Times New Roman" w:hAnsi="Times New Roman" w:cs="Times New Roman"/>
          <w:b/>
          <w:noProof/>
          <w:sz w:val="24"/>
          <w:szCs w:val="24"/>
          <w:lang w:eastAsia="en-GB"/>
        </w:rPr>
        <w:drawing>
          <wp:inline distT="0" distB="0" distL="0" distR="0">
            <wp:extent cx="4156075" cy="2351405"/>
            <wp:effectExtent l="19050" t="0" r="0" b="0"/>
            <wp:docPr id="82" name="Picture 6" descr="Figure 7 redraft for thesis 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gure 7 redraft for thesis CD.png"/>
                    <pic:cNvPicPr>
                      <a:picLocks noChangeAspect="1" noChangeArrowheads="1"/>
                    </pic:cNvPicPr>
                  </pic:nvPicPr>
                  <pic:blipFill>
                    <a:blip r:embed="rId108" cstate="print"/>
                    <a:srcRect/>
                    <a:stretch>
                      <a:fillRect/>
                    </a:stretch>
                  </pic:blipFill>
                  <pic:spPr bwMode="auto">
                    <a:xfrm>
                      <a:off x="0" y="0"/>
                      <a:ext cx="4156075" cy="2351405"/>
                    </a:xfrm>
                    <a:prstGeom prst="rect">
                      <a:avLst/>
                    </a:prstGeom>
                    <a:noFill/>
                    <a:ln w="9525">
                      <a:noFill/>
                      <a:miter lim="800000"/>
                      <a:headEnd/>
                      <a:tailEnd/>
                    </a:ln>
                  </pic:spPr>
                </pic:pic>
              </a:graphicData>
            </a:graphic>
          </wp:inline>
        </w:drawing>
      </w:r>
    </w:p>
    <w:p w:rsidR="007F78F1" w:rsidRDefault="007F78F1" w:rsidP="007F78F1">
      <w:pPr>
        <w:spacing w:after="120" w:line="360" w:lineRule="auto"/>
        <w:jc w:val="both"/>
        <w:rPr>
          <w:rFonts w:ascii="Times New Roman" w:hAnsi="Times New Roman" w:cs="Times New Roman"/>
          <w:sz w:val="24"/>
          <w:szCs w:val="24"/>
        </w:rPr>
      </w:pPr>
      <w:proofErr w:type="gramStart"/>
      <w:r>
        <w:rPr>
          <w:rFonts w:ascii="Times New Roman" w:hAnsi="Times New Roman" w:cs="Times New Roman"/>
          <w:b/>
          <w:sz w:val="24"/>
          <w:szCs w:val="24"/>
        </w:rPr>
        <w:t>Figure 5.15.</w:t>
      </w:r>
      <w:proofErr w:type="gramEnd"/>
      <w:r>
        <w:rPr>
          <w:rFonts w:ascii="Times New Roman" w:hAnsi="Times New Roman" w:cs="Times New Roman"/>
          <w:b/>
          <w:sz w:val="24"/>
          <w:szCs w:val="24"/>
        </w:rPr>
        <w:t xml:space="preserve"> </w:t>
      </w:r>
      <w:proofErr w:type="gramStart"/>
      <w:r>
        <w:rPr>
          <w:rFonts w:ascii="Times New Roman" w:hAnsi="Times New Roman" w:cs="Times New Roman"/>
          <w:b/>
          <w:sz w:val="24"/>
          <w:szCs w:val="24"/>
        </w:rPr>
        <w:t xml:space="preserve">Model of growth by hydrolysis in </w:t>
      </w:r>
      <w:r>
        <w:rPr>
          <w:rFonts w:ascii="Times New Roman" w:hAnsi="Times New Roman" w:cs="Times New Roman"/>
          <w:b/>
          <w:i/>
          <w:sz w:val="24"/>
          <w:szCs w:val="24"/>
        </w:rPr>
        <w:t>S. aureus</w:t>
      </w:r>
      <w:r>
        <w:rPr>
          <w:rFonts w:ascii="Times New Roman" w:hAnsi="Times New Roman" w:cs="Times New Roman"/>
          <w:b/>
          <w:sz w:val="24"/>
          <w:szCs w:val="24"/>
        </w:rPr>
        <w:t>.</w:t>
      </w:r>
      <w:proofErr w:type="gramEnd"/>
      <w:r>
        <w:rPr>
          <w:rFonts w:ascii="Times New Roman" w:hAnsi="Times New Roman" w:cs="Times New Roman"/>
          <w:sz w:val="24"/>
          <w:szCs w:val="24"/>
        </w:rPr>
        <w:t xml:space="preserve"> (A) A spherical </w:t>
      </w:r>
      <w:r>
        <w:rPr>
          <w:rFonts w:ascii="Times New Roman" w:hAnsi="Times New Roman" w:cs="Times New Roman"/>
          <w:i/>
          <w:sz w:val="24"/>
          <w:szCs w:val="24"/>
        </w:rPr>
        <w:t>S. aureus</w:t>
      </w:r>
      <w:r>
        <w:rPr>
          <w:rFonts w:ascii="Times New Roman" w:hAnsi="Times New Roman" w:cs="Times New Roman"/>
          <w:sz w:val="24"/>
          <w:szCs w:val="24"/>
        </w:rPr>
        <w:t xml:space="preserve"> cell has a mature cell wall with a rough, knobbled peptidoglycan architecture. </w:t>
      </w:r>
      <w:r>
        <w:rPr>
          <w:rFonts w:ascii="Times New Roman" w:hAnsi="Times New Roman" w:cs="Times New Roman"/>
          <w:i/>
          <w:sz w:val="24"/>
          <w:szCs w:val="24"/>
        </w:rPr>
        <w:t>S. aureus</w:t>
      </w:r>
      <w:r>
        <w:rPr>
          <w:rFonts w:ascii="Times New Roman" w:hAnsi="Times New Roman" w:cs="Times New Roman"/>
          <w:sz w:val="24"/>
          <w:szCs w:val="24"/>
        </w:rPr>
        <w:t xml:space="preserve"> synthesises a septal cross-wall and divides into two daughter cells. (B) Immediately after splitting, the newly exposed cross-wall is smooth and flat. The densely packed peptidoglycan of the cross-wall has a distinct centripetal architecture. (C) The densely packed glycan strands are cleaved by glucosaminidase enzymes, allowing expansion of the flat cross-wall under turgor pressure to form a new cell hemisphere. During glucosamindase processing of the cross-wall, the ring architecture is lost, transitioning to (D) the rough, knobbled architecture of the mature </w:t>
      </w:r>
      <w:r>
        <w:rPr>
          <w:rFonts w:ascii="Times New Roman" w:hAnsi="Times New Roman" w:cs="Times New Roman"/>
          <w:i/>
          <w:sz w:val="24"/>
          <w:szCs w:val="24"/>
        </w:rPr>
        <w:t>S. aureus</w:t>
      </w:r>
      <w:r>
        <w:rPr>
          <w:rFonts w:ascii="Times New Roman" w:hAnsi="Times New Roman" w:cs="Times New Roman"/>
          <w:sz w:val="24"/>
          <w:szCs w:val="24"/>
        </w:rPr>
        <w:t xml:space="preserve"> cell wall. Black lines indicate the orientation of interior peptidoglycan ribs that denote the orthogonal division planes.</w:t>
      </w:r>
      <w:r>
        <w:rPr>
          <w:rFonts w:ascii="Times New Roman" w:hAnsi="Times New Roman" w:cs="Times New Roman"/>
          <w:sz w:val="24"/>
          <w:szCs w:val="24"/>
        </w:rPr>
        <w:br w:type="page"/>
      </w:r>
    </w:p>
    <w:p w:rsidR="007F78F1" w:rsidRDefault="007F78F1" w:rsidP="007F78F1">
      <w:pPr>
        <w:spacing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prediction</w:t>
      </w:r>
      <w:proofErr w:type="gramEnd"/>
      <w:r>
        <w:rPr>
          <w:rFonts w:ascii="Times New Roman" w:hAnsi="Times New Roman" w:cs="Times New Roman"/>
          <w:sz w:val="24"/>
          <w:szCs w:val="24"/>
        </w:rPr>
        <w:t xml:space="preserve"> software (www.softberry.com) identified a terminator signal suggesting that these genes are not part of an operon. An SA2297 insertional inactivation had no obvious phenotypic effects and no apparent impact on growth in rich media in the single, double or triple mutant backgrounds. Under conditions of salt stress, the triple mutant SJF2126 (SH1000 </w:t>
      </w:r>
      <w:r>
        <w:rPr>
          <w:rFonts w:ascii="Times New Roman" w:hAnsi="Times New Roman" w:cs="Times New Roman"/>
          <w:i/>
          <w:sz w:val="24"/>
          <w:szCs w:val="24"/>
        </w:rPr>
        <w:t xml:space="preserve">sagB::kan scaH::tetM </w:t>
      </w:r>
      <w:r>
        <w:rPr>
          <w:rFonts w:ascii="Times New Roman" w:hAnsi="Times New Roman" w:cs="Times New Roman"/>
          <w:sz w:val="24"/>
          <w:szCs w:val="24"/>
        </w:rPr>
        <w:t>SA2297</w:t>
      </w:r>
      <w:r>
        <w:rPr>
          <w:rFonts w:ascii="Times New Roman" w:hAnsi="Times New Roman" w:cs="Times New Roman"/>
          <w:i/>
          <w:sz w:val="24"/>
          <w:szCs w:val="24"/>
        </w:rPr>
        <w:t>::tetL</w:t>
      </w:r>
      <w:proofErr w:type="gramStart"/>
      <w:r>
        <w:rPr>
          <w:rFonts w:ascii="Times New Roman" w:hAnsi="Times New Roman" w:cs="Times New Roman"/>
          <w:sz w:val="24"/>
          <w:szCs w:val="24"/>
        </w:rPr>
        <w:t>)</w:t>
      </w:r>
      <w:r>
        <w:rPr>
          <w:rFonts w:ascii="Times New Roman" w:hAnsi="Times New Roman" w:cs="Times New Roman"/>
          <w:sz w:val="24"/>
          <w:szCs w:val="24"/>
          <w:vertAlign w:val="superscript"/>
        </w:rPr>
        <w:t>2</w:t>
      </w:r>
      <w:proofErr w:type="gramEnd"/>
      <w:r>
        <w:rPr>
          <w:rFonts w:ascii="Times New Roman" w:hAnsi="Times New Roman" w:cs="Times New Roman"/>
          <w:sz w:val="24"/>
          <w:szCs w:val="24"/>
        </w:rPr>
        <w:t xml:space="preserve">, which included a SA2297 knockout, had the most severe growth defect. This finding suggests that under salt stress, loss of SA2297 activity exacerbated the growth defect associated with the absence of the major glucosaminidase activities of </w:t>
      </w:r>
      <w:r>
        <w:rPr>
          <w:rFonts w:ascii="Times New Roman" w:hAnsi="Times New Roman" w:cs="Times New Roman"/>
          <w:i/>
          <w:sz w:val="24"/>
          <w:szCs w:val="24"/>
        </w:rPr>
        <w:t>S. aureus</w:t>
      </w:r>
      <w:r>
        <w:rPr>
          <w:rFonts w:ascii="Times New Roman" w:hAnsi="Times New Roman" w:cs="Times New Roman"/>
          <w:sz w:val="24"/>
          <w:szCs w:val="24"/>
        </w:rPr>
        <w:t xml:space="preserve">. Initially, this study aimed to characterise a </w:t>
      </w:r>
      <w:r>
        <w:rPr>
          <w:rFonts w:ascii="Times New Roman" w:hAnsi="Times New Roman" w:cs="Times New Roman"/>
          <w:i/>
          <w:sz w:val="24"/>
          <w:szCs w:val="24"/>
        </w:rPr>
        <w:t xml:space="preserve">S. aureus </w:t>
      </w:r>
      <w:r>
        <w:rPr>
          <w:rFonts w:ascii="Times New Roman" w:hAnsi="Times New Roman" w:cs="Times New Roman"/>
          <w:sz w:val="24"/>
          <w:szCs w:val="24"/>
        </w:rPr>
        <w:t xml:space="preserve">strain devoid of glucosaminidase activity. Given that the conditional quadruple mutant was not devoid of glucosaminidase activity, and that loss of SA2297 activity could impact on cell viability under certain conditions, it is not possible to draw broad conclusions about the essentiality of the glucosaminidase family of autolysins in </w:t>
      </w:r>
      <w:r>
        <w:rPr>
          <w:rFonts w:ascii="Times New Roman" w:hAnsi="Times New Roman" w:cs="Times New Roman"/>
          <w:i/>
          <w:sz w:val="24"/>
          <w:szCs w:val="24"/>
        </w:rPr>
        <w:t>S. aureus</w:t>
      </w:r>
      <w:r>
        <w:rPr>
          <w:rFonts w:ascii="Times New Roman" w:hAnsi="Times New Roman" w:cs="Times New Roman"/>
          <w:sz w:val="24"/>
          <w:szCs w:val="24"/>
        </w:rPr>
        <w:t xml:space="preserve">. However, the data presented here suggests that Atl and SagB are responsible for the major glucosaminidase activities of the cell. The finding that </w:t>
      </w:r>
      <w:r>
        <w:rPr>
          <w:rFonts w:ascii="Times New Roman" w:hAnsi="Times New Roman" w:cs="Times New Roman"/>
          <w:i/>
          <w:sz w:val="24"/>
          <w:szCs w:val="24"/>
        </w:rPr>
        <w:t xml:space="preserve">sagB </w:t>
      </w:r>
      <w:r>
        <w:rPr>
          <w:rFonts w:ascii="Times New Roman" w:hAnsi="Times New Roman" w:cs="Times New Roman"/>
          <w:sz w:val="24"/>
          <w:szCs w:val="24"/>
        </w:rPr>
        <w:t xml:space="preserve">knockout mutants have long glycan strands is all the more remarkable given that these strains still possessed a functional glucosaminidase, </w:t>
      </w:r>
      <w:r>
        <w:rPr>
          <w:rFonts w:ascii="Times New Roman" w:hAnsi="Times New Roman" w:cs="Times New Roman"/>
          <w:i/>
          <w:sz w:val="24"/>
          <w:szCs w:val="24"/>
        </w:rPr>
        <w:t>sagA,</w:t>
      </w:r>
      <w:r>
        <w:rPr>
          <w:rFonts w:ascii="Times New Roman" w:hAnsi="Times New Roman" w:cs="Times New Roman"/>
          <w:sz w:val="24"/>
          <w:szCs w:val="24"/>
        </w:rPr>
        <w:t xml:space="preserve"> which was unable to compensate for the loss of other glucosaminidase activities. An SH1000 </w:t>
      </w:r>
      <w:r>
        <w:rPr>
          <w:rFonts w:ascii="Times New Roman" w:hAnsi="Times New Roman" w:cs="Times New Roman"/>
          <w:i/>
          <w:sz w:val="24"/>
          <w:szCs w:val="24"/>
        </w:rPr>
        <w:t xml:space="preserve">sagA::tetL </w:t>
      </w:r>
      <w:r>
        <w:rPr>
          <w:rFonts w:ascii="Times New Roman" w:hAnsi="Times New Roman" w:cs="Times New Roman"/>
          <w:sz w:val="24"/>
          <w:szCs w:val="24"/>
        </w:rPr>
        <w:t xml:space="preserve">mutant is currently under construction. The multiple glucosaminidase mutants will be reconstructed and characterised, and essentiality of </w:t>
      </w:r>
      <w:r>
        <w:rPr>
          <w:rFonts w:ascii="Times New Roman" w:hAnsi="Times New Roman" w:cs="Times New Roman"/>
          <w:i/>
          <w:sz w:val="24"/>
          <w:szCs w:val="24"/>
        </w:rPr>
        <w:t>S. aureus</w:t>
      </w:r>
      <w:r>
        <w:rPr>
          <w:rFonts w:ascii="Times New Roman" w:hAnsi="Times New Roman" w:cs="Times New Roman"/>
          <w:sz w:val="24"/>
          <w:szCs w:val="24"/>
        </w:rPr>
        <w:t xml:space="preserve"> glucosaminidase enzymes as a family will be reassessed.</w:t>
      </w:r>
    </w:p>
    <w:p w:rsidR="00FE29E6" w:rsidRDefault="007F78F1" w:rsidP="007F78F1">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Together, our data provides new insight regarding the contribution of glucosaminidases to cell wall dynamics and architecture of </w:t>
      </w:r>
      <w:r>
        <w:rPr>
          <w:rFonts w:ascii="Times New Roman" w:hAnsi="Times New Roman" w:cs="Times New Roman"/>
          <w:i/>
          <w:sz w:val="24"/>
          <w:szCs w:val="24"/>
        </w:rPr>
        <w:t>S. aureus</w:t>
      </w:r>
      <w:r>
        <w:rPr>
          <w:rFonts w:ascii="Times New Roman" w:hAnsi="Times New Roman" w:cs="Times New Roman"/>
          <w:sz w:val="24"/>
          <w:szCs w:val="24"/>
        </w:rPr>
        <w:t xml:space="preserve">. In the face of large enzyme complements and apparent functional redundancy, comprehensive studies involving complete families of peptidoglycan hydrolase, and relating peptidoglycan biochemistry </w:t>
      </w:r>
      <w:r>
        <w:rPr>
          <w:rFonts w:ascii="Times New Roman" w:hAnsi="Times New Roman" w:cs="Times New Roman"/>
          <w:sz w:val="24"/>
          <w:szCs w:val="24"/>
        </w:rPr>
        <w:lastRenderedPageBreak/>
        <w:t>to architecture, are essential to understand the multiple complex roles of autolysins in the bacterial life cycle.</w:t>
      </w:r>
    </w:p>
    <w:p w:rsidR="00FE29E6" w:rsidRDefault="00FE29E6">
      <w:pPr>
        <w:rPr>
          <w:rFonts w:ascii="Times New Roman" w:hAnsi="Times New Roman" w:cs="Times New Roman"/>
          <w:sz w:val="24"/>
          <w:szCs w:val="24"/>
        </w:rPr>
      </w:pPr>
      <w:r>
        <w:rPr>
          <w:rFonts w:ascii="Times New Roman" w:hAnsi="Times New Roman" w:cs="Times New Roman"/>
          <w:sz w:val="24"/>
          <w:szCs w:val="24"/>
        </w:rPr>
        <w:br w:type="page"/>
      </w:r>
    </w:p>
    <w:p w:rsidR="00FE29E6" w:rsidRDefault="00FE29E6" w:rsidP="00FE29E6">
      <w:pPr>
        <w:spacing w:after="120" w:line="480" w:lineRule="auto"/>
        <w:jc w:val="center"/>
        <w:rPr>
          <w:rFonts w:ascii="Times New Roman" w:hAnsi="Times New Roman" w:cs="Times New Roman"/>
          <w:sz w:val="28"/>
          <w:szCs w:val="28"/>
        </w:rPr>
      </w:pPr>
      <w:r w:rsidRPr="00A7211C">
        <w:rPr>
          <w:rFonts w:ascii="Times New Roman" w:hAnsi="Times New Roman" w:cs="Times New Roman"/>
          <w:sz w:val="28"/>
          <w:szCs w:val="28"/>
        </w:rPr>
        <w:lastRenderedPageBreak/>
        <w:t xml:space="preserve">Chapter </w:t>
      </w:r>
      <w:r>
        <w:rPr>
          <w:rFonts w:ascii="Times New Roman" w:hAnsi="Times New Roman" w:cs="Times New Roman"/>
          <w:sz w:val="28"/>
          <w:szCs w:val="28"/>
        </w:rPr>
        <w:t>6</w:t>
      </w:r>
    </w:p>
    <w:p w:rsidR="00FE29E6" w:rsidRDefault="00FE29E6" w:rsidP="00FE29E6">
      <w:pPr>
        <w:spacing w:line="480" w:lineRule="auto"/>
        <w:jc w:val="center"/>
        <w:rPr>
          <w:rFonts w:ascii="Times New Roman" w:hAnsi="Times New Roman" w:cs="Times New Roman"/>
          <w:sz w:val="28"/>
          <w:szCs w:val="28"/>
        </w:rPr>
      </w:pPr>
      <w:r>
        <w:rPr>
          <w:rFonts w:ascii="Times New Roman" w:hAnsi="Times New Roman" w:cs="Times New Roman"/>
          <w:sz w:val="28"/>
          <w:szCs w:val="28"/>
        </w:rPr>
        <w:t>Discussion</w:t>
      </w:r>
    </w:p>
    <w:p w:rsidR="00FE29E6" w:rsidRDefault="00FE29E6" w:rsidP="00FE29E6">
      <w:pPr>
        <w:spacing w:line="480" w:lineRule="auto"/>
        <w:jc w:val="center"/>
        <w:rPr>
          <w:rFonts w:ascii="Times New Roman" w:hAnsi="Times New Roman" w:cs="Times New Roman"/>
          <w:sz w:val="28"/>
          <w:szCs w:val="28"/>
        </w:rPr>
      </w:pPr>
    </w:p>
    <w:p w:rsidR="00FE29E6" w:rsidRDefault="00FE29E6" w:rsidP="00FE29E6">
      <w:pPr>
        <w:spacing w:line="480" w:lineRule="auto"/>
        <w:jc w:val="both"/>
        <w:rPr>
          <w:rFonts w:ascii="Times New Roman" w:hAnsi="Times New Roman" w:cs="Times New Roman"/>
          <w:sz w:val="28"/>
          <w:szCs w:val="28"/>
        </w:rPr>
      </w:pPr>
      <w:r>
        <w:rPr>
          <w:rFonts w:ascii="Times New Roman" w:hAnsi="Times New Roman" w:cs="Times New Roman"/>
          <w:sz w:val="28"/>
          <w:szCs w:val="28"/>
        </w:rPr>
        <w:t>6.1</w:t>
      </w:r>
      <w:r>
        <w:rPr>
          <w:rFonts w:ascii="Times New Roman" w:hAnsi="Times New Roman" w:cs="Times New Roman"/>
          <w:sz w:val="28"/>
          <w:szCs w:val="28"/>
        </w:rPr>
        <w:tab/>
      </w:r>
      <w:r>
        <w:rPr>
          <w:rFonts w:ascii="Times New Roman" w:hAnsi="Times New Roman" w:cs="Times New Roman"/>
          <w:sz w:val="28"/>
          <w:szCs w:val="28"/>
        </w:rPr>
        <w:tab/>
        <w:t>Peptidoglycan architecture of cocci and ovococci</w:t>
      </w:r>
    </w:p>
    <w:p w:rsidR="00FE29E6" w:rsidRDefault="00FE29E6" w:rsidP="00FE29E6">
      <w:pPr>
        <w:spacing w:line="480" w:lineRule="auto"/>
        <w:jc w:val="both"/>
        <w:rPr>
          <w:rFonts w:ascii="Times New Roman" w:hAnsi="Times New Roman" w:cs="Times New Roman"/>
          <w:sz w:val="28"/>
          <w:szCs w:val="28"/>
        </w:rPr>
      </w:pPr>
      <w:r>
        <w:rPr>
          <w:rFonts w:ascii="Times New Roman" w:hAnsi="Times New Roman" w:cs="Times New Roman"/>
          <w:sz w:val="28"/>
          <w:szCs w:val="28"/>
        </w:rPr>
        <w:t>6.1.1</w:t>
      </w:r>
      <w:r>
        <w:rPr>
          <w:rFonts w:ascii="Times New Roman" w:hAnsi="Times New Roman" w:cs="Times New Roman"/>
          <w:sz w:val="28"/>
          <w:szCs w:val="28"/>
        </w:rPr>
        <w:tab/>
      </w:r>
      <w:r>
        <w:rPr>
          <w:rFonts w:ascii="Times New Roman" w:hAnsi="Times New Roman" w:cs="Times New Roman"/>
          <w:sz w:val="28"/>
          <w:szCs w:val="28"/>
        </w:rPr>
        <w:tab/>
        <w:t>Peptidoglycan architecture of the ovococcal peripheral wall</w:t>
      </w:r>
    </w:p>
    <w:p w:rsidR="00FE29E6" w:rsidRPr="007C155A" w:rsidRDefault="00FE29E6" w:rsidP="00FE29E6">
      <w:pPr>
        <w:spacing w:line="48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The </w:t>
      </w:r>
      <w:r w:rsidRPr="007C155A">
        <w:rPr>
          <w:rFonts w:ascii="Times New Roman" w:hAnsi="Times New Roman" w:cs="Times New Roman"/>
          <w:color w:val="000000" w:themeColor="text1"/>
          <w:sz w:val="24"/>
          <w:szCs w:val="24"/>
        </w:rPr>
        <w:t xml:space="preserve">peptidoglycan architecture and dynamics of rod shaped organisms has been widely debated. Recent studies suggest a  poorly ordered, circumferential orientation of glycan strands around the cell short axis in Gram-negative rods </w:t>
      </w:r>
      <w:r w:rsidRPr="007C155A">
        <w:rPr>
          <w:rFonts w:ascii="Times New Roman" w:hAnsi="Times New Roman" w:cs="Times New Roman"/>
          <w:i/>
          <w:color w:val="000000" w:themeColor="text1"/>
          <w:sz w:val="24"/>
          <w:szCs w:val="24"/>
        </w:rPr>
        <w:t>E. coli</w:t>
      </w:r>
      <w:r w:rsidRPr="007C155A">
        <w:rPr>
          <w:rFonts w:ascii="Times New Roman" w:hAnsi="Times New Roman" w:cs="Times New Roman"/>
          <w:color w:val="000000" w:themeColor="text1"/>
          <w:sz w:val="24"/>
          <w:szCs w:val="24"/>
        </w:rPr>
        <w:t xml:space="preserve"> and </w:t>
      </w:r>
      <w:r w:rsidRPr="007C155A">
        <w:rPr>
          <w:rFonts w:ascii="Times New Roman" w:hAnsi="Times New Roman" w:cs="Times New Roman"/>
          <w:i/>
          <w:color w:val="000000" w:themeColor="text1"/>
          <w:sz w:val="24"/>
          <w:szCs w:val="24"/>
        </w:rPr>
        <w:t xml:space="preserve">C. crescentus </w:t>
      </w:r>
      <w:r w:rsidRPr="007C155A">
        <w:rPr>
          <w:rFonts w:ascii="Times New Roman" w:hAnsi="Times New Roman" w:cs="Times New Roman"/>
          <w:i/>
          <w:color w:val="000000" w:themeColor="text1"/>
          <w:sz w:val="24"/>
          <w:szCs w:val="24"/>
        </w:rPr>
        <w:fldChar w:fldCharType="begin"/>
      </w:r>
      <w:r w:rsidRPr="007C155A">
        <w:rPr>
          <w:rFonts w:ascii="Times New Roman" w:hAnsi="Times New Roman" w:cs="Times New Roman"/>
          <w:i/>
          <w:color w:val="000000" w:themeColor="text1"/>
          <w:sz w:val="24"/>
          <w:szCs w:val="24"/>
        </w:rPr>
        <w:instrText xml:space="preserve"> ADDIN ZOTERO_ITEM CSL_CITATION {"citationID":"23hn4igivh","properties":{"formattedCitation":"(Gan et al., 2008; Wang et al., 2012)","plainCitation":"(Gan et al., 2008; Wang et al., 2012)"},"citationItems":[{"id":175,"uris":["http://zotero.org/users/944474/items/QMKJ7NXX"],"uri":["http://zotero.org/users/944474/items/QMKJ7NXX"],"itemData":{"id":175,"type":"article-journal","title":"Molecular organization of Gram-negative peptidoglycan","container-title":"Proceedings of the National Academy of Sciences of the United States of America","page":"18953-18957","volume":"105","issue":"48","abstract":"The stress-bearing component of the bacterial cell wall--a multi-gigadalton bag-like molecule called the sacculus--is synthesized from peptidoglycan. Whereas the chemical composition and the 3-dimensional structure of the peptidoglycan subunit (in at least one conformation) are known, the architecture of the assembled sacculus is not. Four decades' worth of biochemical and electron microscopy experiments have resulted in two leading 3-D peptidoglycan models: \"Layered\" and \"Scaffold\", in which the glycan strands are parallel and perpendicular to the cell surface, respectively. Here we resolved the basic architecture of purified, frozen-hydrated sacculi through electron cryotomography. In the Gram-negative sacculus, a single layer of glycans lie parallel to the cell surface, roughly perpendicular to the long axis of the cell, encircling the cell in a disorganized hoop-like fashion.","DOI":"10.1073/pnas.0808035105","note":"PMID: 19033194","journalAbbreviation":"Proc. Natl. Acad. Sci. U.S.A.","author":[{"family":"Gan","given":"Lu"},{"family":"Chen","given":"Songye"},{"family":"Jensen","given":"Grant J"}],"issued":{"year":2008,"month":12,"day":2},"accessed":{"year":2012,"month":5,"day":9},"page-first":"18953"}},{"id":198,"uris":["http://zotero.org/users/944474/items/TJK5BZVZ"],"uri":["http://zotero.org/users/944474/items/TJK5BZVZ"],"itemData":{"id":198,"type":"article-journal","title":"Helical insertion of peptidoglycan produces chiral ordering of the bacterial cell wall","container-title":"Proceedings of the National Academy of Sciences of the United States of America","page":"E595-604","volume":"109","issue":"10","abstract":"The regulation of cell shape is a common challenge faced by organisms across all biological kingdoms. In nearly all bacteria, cell shape is determined by the architecture of the peptidoglycan cell wall, a macromolecule consisting of glycan strands crosslinked by peptides. In addition to shape, cell growth must also maintain the wall structural integrity to prevent lysis due to large turgor pressures. Robustness can be accomplished by establishing a globally ordered cell-wall network, although how a bacterium generates and maintains peptidoglycan order on the micron scale using nanometer-sized proteins remains a mystery. Here, we demonstrate that left-handed chirality of the MreB cytoskeleton in the rod-shaped bacterium Escherichia coli gives rise to a global, right-handed chiral ordering of the cell wall. Local, MreB-guided insertion of material into the peptidoglycan network naturally orders the glycan strands and causes cells to twist left-handedly during elongational growth. Through comparison with the right-handed twisting of Bacillus subtilis cells, our work supports a common mechanism linking helical insertion and chiral cell-wall ordering in rod-shaped bacteria. These physical principles of cell growth link the molecular structure of the bacterial cytoskeleton, mechanisms of wall synthesis, and the coordination of cell-wall architecture.","DOI":"10.1073/pnas.1117132109","note":"PMID: 22343529","journalAbbreviation":"Proc. Natl. Acad. Sci. U.S.A.","author":[{"family":"Wang","given":"Siyuan"},{"family":"Furchtgott","given":"Leon"},{"family":"Huang","given":"Kerwyn Casey"},{"family":"Shaevitz","given":"Joshua W"}],"issued":{"year":2012,"month":3,"day":6},"accessed":{"year":2012,"month":5,"day":14},"page-first":"E595"}}],"schema":"https://github.com/citation-style-language/schema/raw/master/csl-citation.json"} </w:instrText>
      </w:r>
      <w:r w:rsidRPr="007C155A">
        <w:rPr>
          <w:rFonts w:ascii="Times New Roman" w:hAnsi="Times New Roman" w:cs="Times New Roman"/>
          <w:i/>
          <w:color w:val="000000" w:themeColor="text1"/>
          <w:sz w:val="24"/>
          <w:szCs w:val="24"/>
        </w:rPr>
        <w:fldChar w:fldCharType="separate"/>
      </w:r>
      <w:r w:rsidRPr="007C155A">
        <w:rPr>
          <w:rFonts w:ascii="Times New Roman" w:hAnsi="Times New Roman" w:cs="Times New Roman"/>
          <w:color w:val="000000" w:themeColor="text1"/>
          <w:sz w:val="24"/>
        </w:rPr>
        <w:t xml:space="preserve">(Gan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xml:space="preserve">., 2008; Wang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2012)</w:t>
      </w:r>
      <w:r w:rsidRPr="007C155A">
        <w:rPr>
          <w:rFonts w:ascii="Times New Roman" w:hAnsi="Times New Roman" w:cs="Times New Roman"/>
          <w:i/>
          <w:color w:val="000000" w:themeColor="text1"/>
          <w:sz w:val="24"/>
          <w:szCs w:val="24"/>
        </w:rPr>
        <w:fldChar w:fldCharType="end"/>
      </w:r>
      <w:r w:rsidRPr="007C155A">
        <w:rPr>
          <w:rFonts w:ascii="Times New Roman" w:hAnsi="Times New Roman" w:cs="Times New Roman"/>
          <w:color w:val="000000" w:themeColor="text1"/>
          <w:sz w:val="24"/>
          <w:szCs w:val="24"/>
        </w:rPr>
        <w:t xml:space="preserve">, whilst a more complex architecture of peptidoglycan cables has been proposed for the Gram-positive rod-shaped bacterium </w:t>
      </w:r>
      <w:r w:rsidRPr="007C155A">
        <w:rPr>
          <w:rFonts w:ascii="Times New Roman" w:hAnsi="Times New Roman" w:cs="Times New Roman"/>
          <w:i/>
          <w:color w:val="000000" w:themeColor="text1"/>
          <w:sz w:val="24"/>
          <w:szCs w:val="24"/>
        </w:rPr>
        <w:t>B. subtilis</w:t>
      </w:r>
      <w:r w:rsidRPr="007C155A">
        <w:rPr>
          <w:rFonts w:ascii="Times New Roman" w:hAnsi="Times New Roman" w:cs="Times New Roman"/>
          <w:color w:val="000000" w:themeColor="text1"/>
          <w:sz w:val="24"/>
          <w:szCs w:val="24"/>
        </w:rPr>
        <w:t xml:space="preserve"> (</w:t>
      </w:r>
      <w:r w:rsidRPr="007C155A">
        <w:rPr>
          <w:rFonts w:ascii="Times New Roman" w:hAnsi="Times New Roman" w:cs="Times New Roman"/>
          <w:i/>
          <w:color w:val="000000" w:themeColor="text1"/>
          <w:sz w:val="24"/>
          <w:szCs w:val="24"/>
        </w:rPr>
        <w:fldChar w:fldCharType="begin"/>
      </w:r>
      <w:r w:rsidRPr="007C155A">
        <w:rPr>
          <w:rFonts w:ascii="Times New Roman" w:hAnsi="Times New Roman" w:cs="Times New Roman"/>
          <w:i/>
          <w:color w:val="000000" w:themeColor="text1"/>
          <w:sz w:val="24"/>
          <w:szCs w:val="24"/>
        </w:rPr>
        <w:instrText xml:space="preserve"> ADDIN ZOTERO_ITEM CSL_CITATION {"citationID":"t26s4mqn7","properties":{"formattedCitation":"(Hayhurst et al., 2008)","plainCitation":"(Hayhurst et al., 2008)"},"citationItems":[{"id":77,"uris":["http://zotero.org/users/944474/items/Z6IUFDEB"],"uri":["http://zotero.org/users/944474/items/Z6IUFDEB"],"itemData":{"id":77,"type":"article-journal","title":"Cell wall peptidoglycan architecture in Bacillus subtilis","container-title":"Proceedings of the National Academy of Sciences of the United States of America","page":"14603-14608","volume":"105","issue":"38","abstract":"The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polymer.","DOI":"10.1073/pnas.0804138105","note":"PMID: 18784364","journalAbbreviation":"Proc. Natl. Acad. Sci. U.S.A.","author":[{"family":"Hayhurst","given":"Emma J"},{"family":"Kailas","given":"Lekshmi"},{"family":"Hobbs","given":"Jamie K"},{"family":"Foster","given":"Simon J"}],"issued":{"year":2008,"month":9,"day":23},"accessed":{"year":2012,"month":3,"day":7},"page-first":"14603"}}],"schema":"https://github.com/citation-style-language/schema/raw/master/csl-citation.json"} </w:instrText>
      </w:r>
      <w:r w:rsidRPr="007C155A">
        <w:rPr>
          <w:rFonts w:ascii="Times New Roman" w:hAnsi="Times New Roman" w:cs="Times New Roman"/>
          <w:i/>
          <w:color w:val="000000" w:themeColor="text1"/>
          <w:sz w:val="24"/>
          <w:szCs w:val="24"/>
        </w:rPr>
        <w:fldChar w:fldCharType="separate"/>
      </w:r>
      <w:r w:rsidRPr="007C155A">
        <w:rPr>
          <w:rFonts w:ascii="Times New Roman" w:hAnsi="Times New Roman" w:cs="Times New Roman"/>
          <w:color w:val="000000" w:themeColor="text1"/>
          <w:sz w:val="24"/>
        </w:rPr>
        <w:t xml:space="preserve">Hayhurst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2008)</w:t>
      </w:r>
      <w:r w:rsidRPr="007C155A">
        <w:rPr>
          <w:rFonts w:ascii="Times New Roman" w:hAnsi="Times New Roman" w:cs="Times New Roman"/>
          <w:i/>
          <w:color w:val="000000" w:themeColor="text1"/>
          <w:sz w:val="24"/>
          <w:szCs w:val="24"/>
        </w:rPr>
        <w:fldChar w:fldCharType="end"/>
      </w:r>
      <w:r w:rsidRPr="007C155A">
        <w:rPr>
          <w:rFonts w:ascii="Times New Roman" w:hAnsi="Times New Roman" w:cs="Times New Roman"/>
          <w:color w:val="000000" w:themeColor="text1"/>
          <w:sz w:val="24"/>
          <w:szCs w:val="24"/>
        </w:rPr>
        <w:t>. The peptidoglycan architecture of ovococcal bacteria has received little attention. A key question is whether the cylinder architecture of rod-shaped organisms is conserved in the peripheral wall architecture of ovococci, and whether models of maintenance of rod-shape are relevant for ovococci.</w:t>
      </w:r>
    </w:p>
    <w:p w:rsidR="00FE29E6" w:rsidRPr="007C155A" w:rsidRDefault="00FE29E6" w:rsidP="00FE29E6">
      <w:pPr>
        <w:spacing w:line="480" w:lineRule="auto"/>
        <w:jc w:val="both"/>
        <w:rPr>
          <w:rFonts w:ascii="Times New Roman" w:hAnsi="Times New Roman" w:cs="Times New Roman"/>
          <w:color w:val="000000" w:themeColor="text1"/>
          <w:sz w:val="24"/>
          <w:szCs w:val="24"/>
        </w:rPr>
      </w:pPr>
      <w:r w:rsidRPr="007C155A">
        <w:rPr>
          <w:rFonts w:ascii="Times New Roman" w:hAnsi="Times New Roman" w:cs="Times New Roman"/>
          <w:color w:val="000000" w:themeColor="text1"/>
          <w:sz w:val="24"/>
          <w:szCs w:val="24"/>
        </w:rPr>
        <w:t xml:space="preserve">Andre </w:t>
      </w:r>
      <w:r w:rsidRPr="0011411F">
        <w:rPr>
          <w:rFonts w:ascii="Times New Roman" w:hAnsi="Times New Roman" w:cs="Times New Roman"/>
          <w:i/>
          <w:color w:val="000000" w:themeColor="text1"/>
          <w:sz w:val="24"/>
          <w:szCs w:val="24"/>
        </w:rPr>
        <w:t>et al</w:t>
      </w:r>
      <w:r w:rsidRPr="007C155A">
        <w:rPr>
          <w:rFonts w:ascii="Times New Roman" w:hAnsi="Times New Roman" w:cs="Times New Roman"/>
          <w:i/>
          <w:color w:val="000000" w:themeColor="text1"/>
          <w:sz w:val="24"/>
          <w:szCs w:val="24"/>
        </w:rPr>
        <w:t xml:space="preserve">. </w:t>
      </w:r>
      <w:r w:rsidRPr="007C155A">
        <w:rPr>
          <w:rFonts w:ascii="Times New Roman" w:hAnsi="Times New Roman" w:cs="Times New Roman"/>
          <w:color w:val="000000" w:themeColor="text1"/>
          <w:sz w:val="24"/>
          <w:szCs w:val="24"/>
        </w:rPr>
        <w:t xml:space="preserve">proposed a cable-like peptidoglycan architecture for the peripheral and polar wall of the ovococcus </w:t>
      </w:r>
      <w:r w:rsidRPr="007C155A">
        <w:rPr>
          <w:rFonts w:ascii="Times New Roman" w:hAnsi="Times New Roman" w:cs="Times New Roman"/>
          <w:i/>
          <w:color w:val="000000" w:themeColor="text1"/>
          <w:sz w:val="24"/>
          <w:szCs w:val="24"/>
        </w:rPr>
        <w:t>L. lactis</w:t>
      </w:r>
      <w:r w:rsidRPr="007C155A">
        <w:rPr>
          <w:rFonts w:ascii="Times New Roman" w:hAnsi="Times New Roman" w:cs="Times New Roman"/>
          <w:color w:val="000000" w:themeColor="text1"/>
          <w:sz w:val="24"/>
          <w:szCs w:val="24"/>
        </w:rPr>
        <w:t xml:space="preserve"> (Chapter 1.8.6;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{"citationID":"29o5ine3k5","properties":{"formattedCitation":"(Andre et al., 2010)","plainCitation":"(Andre et al., 2010)"},"citationItems":[{"id":92,"uris":["http://zotero.org/users/944474/items/HJM9TTUJ"],"uri":["http://zotero.org/users/944474/items/HJM9TTUJ"],"itemData":{"id":92,"type":"article-journal","title":"Imaging the nanoscale organization of peptidoglycan in living Lactococcus lactis cells","container-title":"Nature Communications","page":"27","volume":"1","abstract":"The spatial organization of peptidoglycan, the major constituent of bacterial cell-walls, is an important, yet still unsolved issue in microbiology. In this paper, we show that the combined use of atomic force microscopy and cell wall mutants is a powerful platform for probing the nanoscale architecture of cell wall peptidoglycan in living Gram-positive bacteria. Using topographic imaging, we found that Lactococcus lactis wild-type cells display a smooth, featureless surface morphology, whereas mutant strains lacking cell wall exopolysaccharides feature 25-nm-wide periodic bands running parallel to the short axis of the cell. In addition, we used single-molecule recognition imaging to show that parallel bands are made of peptidoglycan. Our data, obtained for the first time on living ovococci, argue for an architectural feature of the cell wall in the plane perpendicular to the long axis of the cell. The non-invasive live cell experiments presented here open new avenues for understanding the architecture and assembly of peptidoglycan in Gram-positive bacteria.","DOI":"10.1038/ncomms1027","note":"PMID: 20975688","journalAbbreviation":"Nat Commun","author":[{"family":"Andre","given":"Guillaume"},{"family":"Kulakauskas","given":"Saulius"},{"family":"Chapot-Chartier","given":"Marie-Pierre"},{"family":"Navet","given":"Benjamine"},{"family":"Deghorain","given":"Marie"},{"family":"Bernard","given":"Elvis"},{"family":"Hols","given":"Pascal"},{"family":"Dufrêne","given":"Yves F"}],"issued":{"year":2010},"accessed":{"year":2012,"month":4,"day":2},"page-first":"27"}}],"schema":"https://github.com/citation-style-language/schema/raw/master/csl-citation.json"}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rPr>
        <w:t xml:space="preserve">Andre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2010)</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w:t>
      </w:r>
      <w:r w:rsidRPr="007C155A">
        <w:rPr>
          <w:rFonts w:ascii="Times New Roman" w:hAnsi="Times New Roman" w:cs="Times New Roman"/>
          <w:i/>
          <w:color w:val="000000" w:themeColor="text1"/>
          <w:sz w:val="24"/>
          <w:szCs w:val="24"/>
        </w:rPr>
        <w:t xml:space="preserve"> </w:t>
      </w:r>
      <w:r w:rsidRPr="007C155A">
        <w:rPr>
          <w:rFonts w:ascii="Times New Roman" w:hAnsi="Times New Roman" w:cs="Times New Roman"/>
          <w:color w:val="000000" w:themeColor="text1"/>
          <w:sz w:val="24"/>
          <w:szCs w:val="24"/>
        </w:rPr>
        <w:t>However, cable-like features are absent from purified sacculi of ovococci (Chapter 3</w:t>
      </w:r>
      <w:r>
        <w:rPr>
          <w:rFonts w:ascii="Times New Roman" w:hAnsi="Times New Roman" w:cs="Times New Roman"/>
          <w:color w:val="000000" w:themeColor="text1"/>
          <w:sz w:val="24"/>
          <w:szCs w:val="24"/>
        </w:rPr>
        <w:t>;</w:t>
      </w:r>
      <w:r w:rsidRPr="007C155A">
        <w:rPr>
          <w:rFonts w:ascii="Times New Roman" w:hAnsi="Times New Roman" w:cs="Times New Roman"/>
          <w:color w:val="000000" w:themeColor="text1"/>
          <w:sz w:val="24"/>
          <w:szCs w:val="24"/>
        </w:rPr>
        <w:t xml:space="preserve">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{"citationID":"mS2NWkkR","properties":{"formattedCitation":"(Andre et al., 2010)","plainCitation":"(Andre et al., 2010)"},"citationItems":[{"id":92,"uris":["http://zotero.org/users/944474/items/HJM9TTUJ"],"uri":["http://zotero.org/users/944474/items/HJM9TTUJ"],"itemData":{"id":92,"type":"article-journal","title":"Imaging the nanoscale organization of peptidoglycan in living Lactococcus lactis cells","container-title":"Nature Communications","page":"27","volume":"1","abstract":"The spatial organization of peptidoglycan, the major constituent of bacterial cell-walls, is an important, yet still unsolved issue in microbiology. In this paper, we show that the combined use of atomic force microscopy and cell wall mutants is a powerful platform for probing the nanoscale architecture of cell wall peptidoglycan in living Gram-positive bacteria. Using topographic imaging, we found that Lactococcus lactis wild-type cells display a smooth, featureless surface morphology, whereas mutant strains lacking cell wall exopolysaccharides feature 25-nm-wide periodic bands running parallel to the short axis of the cell. In addition, we used single-molecule recognition imaging to show that parallel bands are made of peptidoglycan. Our data, obtained for the first time on living ovococci, argue for an architectural feature of the cell wall in the plane perpendicular to the long axis of the cell. The non-invasive live cell experiments presented here open new avenues for understanding the architecture and assembly of peptidoglycan in Gram-positive bacteria.","DOI":"10.1038/ncomms1027","note":"PMID: 20975688","journalAbbreviation":"Nat Commun","author":[{"family":"Andre","given":"Guillaume"},{"family":"Kulakauskas","given":"Saulius"},{"family":"Chapot-Chartier","given":"Marie-Pierre"},{"family":"Navet","given":"Benjamine"},{"family":"Deghorain","given":"Marie"},{"family":"Bernard","given":"Elvis"},{"family":"Hols","given":"Pascal"},{"family":"Dufrêne","given":"Yves F"}],"issued":{"year":2010},"accessed":{"year":2012,"month":4,"day":2},"page-first":"27"}}],"schema":"https://github.com/citation-style-language/schema/raw/master/csl-citation.json"}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rPr>
        <w:t xml:space="preserve">Andre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2010)</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 xml:space="preserve">. It is difficult to imagine how </w:t>
      </w:r>
      <w:proofErr w:type="gramStart"/>
      <w:r w:rsidRPr="007C155A">
        <w:rPr>
          <w:rFonts w:ascii="Times New Roman" w:hAnsi="Times New Roman" w:cs="Times New Roman"/>
          <w:color w:val="000000" w:themeColor="text1"/>
          <w:sz w:val="24"/>
          <w:szCs w:val="24"/>
        </w:rPr>
        <w:t>an architecture</w:t>
      </w:r>
      <w:proofErr w:type="gramEnd"/>
      <w:r w:rsidRPr="007C155A">
        <w:rPr>
          <w:rFonts w:ascii="Times New Roman" w:hAnsi="Times New Roman" w:cs="Times New Roman"/>
          <w:color w:val="000000" w:themeColor="text1"/>
          <w:sz w:val="24"/>
          <w:szCs w:val="24"/>
        </w:rPr>
        <w:t xml:space="preserve"> of peptidoglycan bundles would be lost by the absence of turgor stress, or upon removal of secondary structures such as teichoic acids, polysaccharides and proteins. Furthermore, the bundle model is difficult to reconcile with a two-state model of cell wall growth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{"citationID":"2oe6dcf83v","properties":{"formattedCitation":"(Zapun et al., 2008)","plainCitation":"(Zapun et al., 2008)"},"citationItems":[{"id":87,"uris":["http://zotero.org/users/944474/items/N52MZFST"],"uri":["http://zotero.org/users/944474/items/N52MZFST"],"itemData":{"id":87,"type":"article-journal","title":"The different shapes of cocci","container-title":"FEMS Microbiology Reviews","page":"345-360","volume":"32","issue":"2","abstract":"The shape of bacteria is determined by their cell wall and can be very diverse. Even among genera with the suffix 'cocci', which are the focus of this review, different shapes exist. While staphylococci or Neisseria cells, for example, are truly round-shaped, streptococci, lactococci or enterococci have an ovoid shape. Interestingly, there seems to be a correlation between the shape of an organism and its set of penicillin-binding proteins--the enzymes that assemble the peptidoglycan, the main constituent of the cell wall. While only one peptidoglycan biosynthesis machinery seems to exist in staphylococci, two of these machineries are proposed to function in ovoid-shaped bacteria, reinforcing the intrinsic differences regarding the morphogenesis of different classes of cocci. The present review aims to integrate older ultra-structural data with recent localization studies, in order to clarify the relation between the mechanisms of cell wall synthesis and the determination of cell shape in various cocci.","DOI":"10.1111/j.1574-6976.2007.00098.x","note":"PMID: 18266741","journalAbbreviation":"FEMS Microbiol. Rev.","author":[{"family":"Zapun","given":"André"},{"family":"Vernet","given":"Thierry"},{"family":"Pinho","given":"Mariana G"}],"issued":{"year":2008,"month":3},"accessed":{"year":2012,"month":4,"day":2},"page-first":"345"}}],"schema":"https://github.com/citation-style-language/schema/raw/master/csl-citation.json"}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rPr>
        <w:t xml:space="preserve">(Zapun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2008)</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 and</w:t>
      </w:r>
      <w:r>
        <w:rPr>
          <w:rFonts w:ascii="Times New Roman" w:hAnsi="Times New Roman" w:cs="Times New Roman"/>
          <w:sz w:val="24"/>
          <w:szCs w:val="24"/>
        </w:rPr>
        <w:t xml:space="preserve"> </w:t>
      </w:r>
      <w:r w:rsidRPr="00A20F5F">
        <w:rPr>
          <w:rFonts w:ascii="Times New Roman" w:hAnsi="Times New Roman" w:cs="Times New Roman"/>
          <w:sz w:val="24"/>
          <w:szCs w:val="24"/>
        </w:rPr>
        <w:t xml:space="preserve">the observation that </w:t>
      </w:r>
      <w:r>
        <w:rPr>
          <w:rFonts w:ascii="Times New Roman" w:hAnsi="Times New Roman" w:cs="Times New Roman"/>
          <w:sz w:val="24"/>
          <w:szCs w:val="24"/>
        </w:rPr>
        <w:t xml:space="preserve">the peripheral </w:t>
      </w:r>
      <w:r w:rsidRPr="00A20F5F">
        <w:rPr>
          <w:rFonts w:ascii="Times New Roman" w:hAnsi="Times New Roman" w:cs="Times New Roman"/>
          <w:sz w:val="24"/>
          <w:szCs w:val="24"/>
        </w:rPr>
        <w:t>c</w:t>
      </w:r>
      <w:r>
        <w:rPr>
          <w:rFonts w:ascii="Times New Roman" w:hAnsi="Times New Roman" w:cs="Times New Roman"/>
          <w:sz w:val="24"/>
          <w:szCs w:val="24"/>
        </w:rPr>
        <w:t>ell wall becomes progressively thicker</w:t>
      </w:r>
      <w:r w:rsidRPr="00A20F5F">
        <w:rPr>
          <w:rFonts w:ascii="Times New Roman" w:hAnsi="Times New Roman" w:cs="Times New Roman"/>
          <w:sz w:val="24"/>
          <w:szCs w:val="24"/>
        </w:rPr>
        <w:t xml:space="preserve"> upon entering </w:t>
      </w:r>
      <w:r w:rsidRPr="007C155A">
        <w:rPr>
          <w:rFonts w:ascii="Times New Roman" w:hAnsi="Times New Roman" w:cs="Times New Roman"/>
          <w:color w:val="000000" w:themeColor="text1"/>
          <w:sz w:val="24"/>
          <w:szCs w:val="24"/>
        </w:rPr>
        <w:lastRenderedPageBreak/>
        <w:t xml:space="preserve">the stress-bearing plane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{"citationID":"2brj78j6tn","properties":{"formattedCitation":"(Higgins and Shockman, 1976)","plainCitation":"(Higgins and Shockman, 1976)"},"citationItems":[{"id":257,"uris":["http://zotero.org/users/944474/items/T4H2ZE7J"],"uri":["http://zotero.org/users/944474/items/T4H2ZE7J"],"itemData":{"id":257,"type":"article-journal","title":"Study of cycle of cell wall assembly in Streptococcus faecalis by three-dimensional reconstructions of thin sections of cells","container-title":"Journal of bacteriology","page":"1346-1358","volume":"127","issue":"3","abstract":"A new ultrastructural method was used to study rounds of envelope synthesis that occur in Streptococcus faecalis in \"growth zones\" found between pairs of naturally occurring surface markers. The technique consists of producing three-dimensional reconstructions of these growth zones from the mathematical rotation, about a central axis, of measurements taken from central, longitudinal thin sections of cells. A cycle of exponential-phase envelope growth was then simulated by arranging a series of these reconstructions in increasing order of the amount of peripheral wall surface area or the amount of cell volume that each was calculated to contain. Using this simulated cycle of growth, the geometry of a single growth zone during a round of synthesis was studied. Based on this analysis, a model was developed for the assembly of the cell wall of S. faecalis. The model states that new cell wall surface is synthesized by the regulated flow of essentially two channels of cell wall precursors into a single growth zone. One channel of precursors would be involved in the assembly of a bilayered cross wall that would proceed at a fairly constant rate until the cross wall closes. The second channel of precursors would be involved in the separation of the bilayered cross wall into two segments of peripheral wall. These precursors would intercalate into and thicken the separating layers of the cross wall. The flow of precursors through this channel would be progressively reduced through a cycle. These decreases, when coupled with internal hydrostatic pressure, apparently would result in the enlarging peripheral wall becoming increasingly more curved and would also promote cell division by reducing the total amount of cell wall that must be assembled in order for septation to occur.","note":"PMID: 821928","journalAbbreviation":"J. Bacteriol.","author":[{"family":"Higgins","given":"M L"},{"family":"Shockman","given":"G D"}],"issued":{"year":1976,"month":9},"accessed":{"year":2012,"month":5,"day":24},"page-first":"1346"}}],"schema":"https://github.com/citation-style-language/schema/raw/master/csl-citation.json"}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szCs w:val="24"/>
        </w:rPr>
        <w:t>(Higgins and Shockman, 1976)</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 xml:space="preserve">. AFM of purified </w:t>
      </w:r>
      <w:r w:rsidRPr="007C155A">
        <w:rPr>
          <w:rFonts w:ascii="Times New Roman" w:hAnsi="Times New Roman" w:cs="Times New Roman"/>
          <w:i/>
          <w:color w:val="000000" w:themeColor="text1"/>
          <w:sz w:val="24"/>
          <w:szCs w:val="24"/>
        </w:rPr>
        <w:t xml:space="preserve">S. pneumoniae </w:t>
      </w:r>
      <w:r w:rsidRPr="007C155A">
        <w:rPr>
          <w:rFonts w:ascii="Times New Roman" w:hAnsi="Times New Roman" w:cs="Times New Roman"/>
          <w:color w:val="000000" w:themeColor="text1"/>
          <w:sz w:val="24"/>
          <w:szCs w:val="24"/>
        </w:rPr>
        <w:t xml:space="preserve">sacculi revealed circumferential bands associated with the nascent peripheral wall, whilst a subtle orientation of the peptidoglycan was observed at the peripheral wall of </w:t>
      </w:r>
      <w:r w:rsidRPr="007C155A">
        <w:rPr>
          <w:rFonts w:ascii="Times New Roman" w:hAnsi="Times New Roman" w:cs="Times New Roman"/>
          <w:i/>
          <w:color w:val="000000" w:themeColor="text1"/>
          <w:sz w:val="24"/>
          <w:szCs w:val="24"/>
        </w:rPr>
        <w:t xml:space="preserve">L. lactis </w:t>
      </w:r>
      <w:r w:rsidRPr="007C155A">
        <w:rPr>
          <w:rFonts w:ascii="Times New Roman" w:hAnsi="Times New Roman" w:cs="Times New Roman"/>
          <w:color w:val="000000" w:themeColor="text1"/>
          <w:sz w:val="24"/>
          <w:szCs w:val="24"/>
        </w:rPr>
        <w:t xml:space="preserve">and </w:t>
      </w:r>
      <w:r w:rsidRPr="007C155A">
        <w:rPr>
          <w:rFonts w:ascii="Times New Roman" w:hAnsi="Times New Roman" w:cs="Times New Roman"/>
          <w:i/>
          <w:color w:val="000000" w:themeColor="text1"/>
          <w:sz w:val="24"/>
          <w:szCs w:val="24"/>
        </w:rPr>
        <w:t>E. faecalis</w:t>
      </w:r>
      <w:r w:rsidRPr="007C155A">
        <w:rPr>
          <w:rFonts w:ascii="Times New Roman" w:hAnsi="Times New Roman" w:cs="Times New Roman"/>
          <w:color w:val="000000" w:themeColor="text1"/>
          <w:sz w:val="24"/>
          <w:szCs w:val="24"/>
        </w:rPr>
        <w:t xml:space="preserve"> (Chapter 3)</w:t>
      </w:r>
      <w:r w:rsidRPr="007C155A">
        <w:rPr>
          <w:rFonts w:ascii="Times New Roman" w:hAnsi="Times New Roman" w:cs="Times New Roman"/>
          <w:i/>
          <w:color w:val="000000" w:themeColor="text1"/>
          <w:sz w:val="24"/>
          <w:szCs w:val="24"/>
        </w:rPr>
        <w:t>.</w:t>
      </w:r>
      <w:r w:rsidRPr="007C155A">
        <w:rPr>
          <w:rFonts w:ascii="Times New Roman" w:hAnsi="Times New Roman" w:cs="Times New Roman"/>
          <w:color w:val="000000" w:themeColor="text1"/>
          <w:sz w:val="24"/>
          <w:szCs w:val="24"/>
        </w:rPr>
        <w:t xml:space="preserve"> Therefore, rods and ovococci with different peptidoglycan architectures exhibit common orientation of peptidoglycan features, suggesting a conserved mechanism for maintenance of elongated shape. This mechanism is likely to include a predominant orientation of the glycan strands parallel to the cytoplasmic membrane and perpendicular to the long axis of the cell.</w:t>
      </w:r>
    </w:p>
    <w:p w:rsidR="00FE29E6" w:rsidRPr="007C155A" w:rsidRDefault="00FE29E6" w:rsidP="00FE29E6">
      <w:pPr>
        <w:spacing w:line="480" w:lineRule="auto"/>
        <w:jc w:val="both"/>
        <w:rPr>
          <w:rFonts w:ascii="Times New Roman" w:hAnsi="Times New Roman" w:cs="Times New Roman"/>
          <w:color w:val="000000" w:themeColor="text1"/>
          <w:sz w:val="24"/>
          <w:szCs w:val="24"/>
        </w:rPr>
      </w:pPr>
      <w:r w:rsidRPr="007C155A">
        <w:rPr>
          <w:rFonts w:ascii="Times New Roman" w:hAnsi="Times New Roman" w:cs="Times New Roman"/>
          <w:color w:val="000000" w:themeColor="text1"/>
          <w:sz w:val="24"/>
          <w:szCs w:val="24"/>
        </w:rPr>
        <w:t xml:space="preserve">Koch (1998) proposed three models for maintenance of rod-shape, the belt model, surface-stress theory and the mechanical contraction model (Chapter 1.8.3). Whilst peptidoglycan belts have not been observed in purified sacculi of Gram-negative  or Gram-positive rods, orientation of the glycan strands, parallel to the lipid membrane and approximately perpendicular to the cell long axis, throughout the cylinder wall may provide the bracing function required to resist turgor stress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{"citationID":"4a8q0uenp","properties":{"formattedCitation":"(Yao et al., 1999; Gan et al., 2008; Hayhurst et al., 2008)","plainCitation":"(Yao et al., 1999; Gan et al., 2008; Hayhurst et al., 2008)"},"citationItems":[{"id":173,"uris":["http://zotero.org/users/944474/items/62ZE9DK5"],"uri":["http://zotero.org/users/944474/items/62ZE9DK5"],"itemData":{"id":173,"type":"article-journal","title":"Thickness and elasticity of gram-negative murein sacculi measured by atomic force microscopy","container-title":"Journal of bacteriology","page":"6865-6875","volume":"181","issue":"22","abstract":"Atomic force microscopy was used to measure the thickness of air-dried, collapsed murein sacculi from Escherichia coli K-12 and Pseudomonas aeruginosa PAO1. Air-dried sacculi from E. coli had a thickness of 3.0 nm, whereas those from P. aeruginosa were 1.5 nm thick. When rehydrated, the sacculi of both bacteria swelled to double their anhydrous thickness. Computer simulation of a section of a model single-layer peptidoglycan network in an aqueous solution with a Debye shielding length of 0.3 nm gave a mass distribution full width at half height of 2.4 nm, in essential agreement with these results. When E. coli sacculi were suspended over a narrow groove that had been etched into a silicon surface and the tip of the atomic force microscope used to depress and stretch the peptidoglycan, an elastic modulus of 2.5 x 10(7) N/m(2) was determined for hydrated sacculi; they were perfectly elastic, springing back to their original position when the tip was removed. Dried sacculi were more rigid with a modulus of 3 x 10(8) to 4 x 10(8) N/m(2) and at times could be broken by the atomic force microscope tip. Sacculi aligned over the groove with their long axis at right angles to the channel axis were more deformable than those with their long axis parallel to the groove axis, as would be expected if the peptidoglycan strands in the sacculus were oriented at right angles to the long cell axis of this gram-negative rod. Polar caps were not found to be more rigid structures but collapsed to the same thickness as the cylindrical portions of the sacculi. The elasticity of intact E. coli sacculi is such that, if the peptidoglycan strands are aligned in unison, the interstrand spacing should increase by 12% with every 1 atm increase in (turgor) pressure. Assuming an unstressed hydrated interstrand spacing of 1.3 nm (R. E. Burge, A. G. Fowler, and D. A. Reaveley, J. Mol. Biol. 117:927-953, 1977) and an internal turgor pressure of 3 to 5 atm (or 304 to 507 kPa) (A. L. Koch, Adv. Microbial Physiol. 24:301-366, 1983), the natural interstrand spacing in cells would be 1.6 to 2.0 nm. Clearly, if large macromolecules of a diameter greater than these spacings are secreted through this layer, the local ordering of the peptidoglycan must somehow be disrupted.","note":"PMID: 10559150","journalAbbreviation":"J. Bacteriol.","author":[{"family":"Yao","given":"X"},{"family":"Jericho","given":"M"},{"family":"Pink","given":"D"},{"family":"Beveridge","given":"T"}],"issued":{"year":1999,"month":11},"accessed":{"year":2012,"month":5,"day":9},"page-first":"6865"}},{"id":175,"uris":["http://zotero.org/users/944474/items/QMKJ7NXX"],"uri":["http://zotero.org/users/944474/items/QMKJ7NXX"],"itemData":{"id":175,"type":"article-journal","title":"Molecular organization of Gram-negative peptidoglycan","container-title":"Proceedings of the National Academy of Sciences of the United States of America","page":"18953-18957","volume":"105","issue":"48","abstract":"The stress-bearing component of the bacterial cell wall--a multi-gigadalton bag-like molecule called the sacculus--is synthesized from peptidoglycan. Whereas the chemical composition and the 3-dimensional structure of the peptidoglycan subunit (in at least one conformation) are known, the architecture of the assembled sacculus is not. Four decades' worth of biochemical and electron microscopy experiments have resulted in two leading 3-D peptidoglycan models: \"Layered\" and \"Scaffold\", in which the glycan strands are parallel and perpendicular to the cell surface, respectively. Here we resolved the basic architecture of purified, frozen-hydrated sacculi through electron cryotomography. In the Gram-negative sacculus, a single layer of glycans lie parallel to the cell surface, roughly perpendicular to the long axis of the cell, encircling the cell in a disorganized hoop-like fashion.","DOI":"10.1073/pnas.0808035105","note":"PMID: 19033194","journalAbbreviation":"Proc. Natl. Acad. Sci. U.S.A.","author":[{"family":"Gan","given":"Lu"},{"family":"Chen","given":"Songye"},{"family":"Jensen","given":"Grant J"}],"issued":{"year":2008,"month":12,"day":2},"accessed":{"year":2012,"month":5,"day":9},"page-first":"18953"}},{"id":77,"uris":["http://zotero.org/users/944474/items/Z6IUFDEB"],"uri":["http://zotero.org/users/944474/items/Z6IUFDEB"],"itemData":{"id":77,"type":"article-journal","title":"Cell wall peptidoglycan architecture in Bacillus subtilis","container-title":"Proceedings of the National Academy of Sciences of the United States of America","page":"14603-14608","volume":"105","issue":"38","abstract":"The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polymer.","DOI":"10.1073/pnas.0804138105","note":"PMID: 18784364","journalAbbreviation":"Proc. Natl. Acad. Sci. U.S.A.","author":[{"family":"Hayhurst","given":"Emma J"},{"family":"Kailas","given":"Lekshmi"},{"family":"Hobbs","given":"Jamie K"},{"family":"Foster","given":"Simon J"}],"issued":{"year":2008,"month":9,"day":23},"accessed":{"year":2012,"month":3,"day":7},"page-first":"14603"}}],"schema":"https://github.com/citation-style-language/schema/raw/master/csl-citation.json"}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rPr>
        <w:t xml:space="preserve">(Yao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xml:space="preserve">., 1999; Gan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xml:space="preserve">., 2008; Hayhurst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2008)</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 Our model of ovococcal cell wall synthesis suggests that peripheral wall growth from an FtsZ-dependent growth annulus would constrain the orientation of glycan strands such that they are predominantly oriented perpendicular to the cell long axis. This would permit the glycan strands to function as stress-bearing elements that maintain the elongated peripheral wall.</w:t>
      </w:r>
    </w:p>
    <w:p w:rsidR="00FE29E6" w:rsidRDefault="00FE29E6" w:rsidP="00FE29E6">
      <w:pPr>
        <w:spacing w:line="480" w:lineRule="auto"/>
        <w:jc w:val="both"/>
        <w:rPr>
          <w:rFonts w:ascii="Times New Roman" w:hAnsi="Times New Roman" w:cs="Times New Roman"/>
          <w:sz w:val="24"/>
          <w:szCs w:val="24"/>
        </w:rPr>
      </w:pPr>
      <w:r w:rsidRPr="007C155A">
        <w:rPr>
          <w:rFonts w:ascii="Times New Roman" w:hAnsi="Times New Roman" w:cs="Times New Roman"/>
          <w:color w:val="000000" w:themeColor="text1"/>
          <w:sz w:val="24"/>
          <w:szCs w:val="24"/>
        </w:rPr>
        <w:t xml:space="preserve">In ovococci, peripheral wall synthesis occurs from an invaginating cross-wall beneath the mid cell, and is pulled into the stress-bearing plane following hydrolysis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{"citationID":"rcujganva","properties":{"formattedCitation":"(Higgins and Shockman, 1970)","plainCitation":"(Higgins and Shockman, 1970)"},"citationItems":[{"id":119,"uris":["http://zotero.org/users/944474/items/5VZGQQUH"],"uri":["http://zotero.org/users/944474/items/5VZGQQUH"],"itemData":{"id":119,"type":"article-journal","title":"Model for cell wall growth of Streptococcus faecalis","container-title":"Journal of Bacteriology","page":"643-648","volume":"101","issue":"2","abstract":"In exponentially growing and dividing cells of Streptococcus faecalis, it is proposed that the leading edge of the annularly closing cross wall is the point of extension for both cross wall and peripheral wall. Peripheral wall extension is thought to be produced by the separation or splitting of the cross wall at its junction with peripheral wall. This results in the pushing of the equatorial wall bands, found on S. faecalis walls, to subsequatorial positions. These bands therefore mark the separation of old wall from new wall. Mesosomal formation was observed usually to precede cross wall initiation.","note":"PMID: 4984078","journalAbbreviation":"J. Bacteriol.","author":[{"family":"Higgins","given":"M L"},{"family":"Shockman","given":"G D"}],"issued":{"year":1970,"month":2},"accessed":{"year":2012,"month":4,"day":2},"page-first":"643"}}],"schema":"https://github.com/citation-style-language/schema/raw/master/csl-citation.json"}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rPr>
        <w:t>(Higgins and Shockman, 1970)</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 New wall growth is therefore constrained by the existing peripheral wall, which provides a framework for further peripheral elongation, in a manner consistent with the surface-stress theory. In the mechanical constriction model, cytoskeletal elements either push</w:t>
      </w:r>
      <w:r>
        <w:rPr>
          <w:rFonts w:ascii="Times New Roman" w:hAnsi="Times New Roman" w:cs="Times New Roman"/>
          <w:sz w:val="24"/>
          <w:szCs w:val="24"/>
        </w:rPr>
        <w:t xml:space="preserve"> the poles apart or apply a constricting force on the </w:t>
      </w:r>
      <w:r w:rsidRPr="007C155A">
        <w:rPr>
          <w:rFonts w:ascii="Times New Roman" w:hAnsi="Times New Roman" w:cs="Times New Roman"/>
          <w:color w:val="000000" w:themeColor="text1"/>
          <w:sz w:val="24"/>
          <w:szCs w:val="24"/>
        </w:rPr>
        <w:lastRenderedPageBreak/>
        <w:t xml:space="preserve">cylinder. Ovococci have no MreB cytoskeleton, and growth is thought to be FtsZ-dependent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{"citationID":"557hocpmq","properties":{"formattedCitation":"{\\rtf (Zapun et al., 2008; P\\uc0\\u233{}rez-N\\uc0\\u250{}\\uc0\\u241{}ez et al., 2011)}","plainCitation":"(Zapun et al., 2008; Pérez-Núñez et al., 2011)"},"citationItems":[{"id":87,"uris":["http://zotero.org/users/944474/items/N52MZFST"],"uri":["http://zotero.org/users/944474/items/N52MZFST"],"itemData":{"id":87,"type":"article-journal","title":"The different shapes of cocci","container-title":"FEMS Microbiology Reviews","page":"345-360","volume":"32","issue":"2","abstract":"The shape of bacteria is determined by their cell wall and can be very diverse. Even among genera with the suffix 'cocci', which are the focus of this review, different shapes exist. While staphylococci or Neisseria cells, for example, are truly round-shaped, streptococci, lactococci or enterococci have an ovoid shape. Interestingly, there seems to be a correlation between the shape of an organism and its set of penicillin-binding proteins--the enzymes that assemble the peptidoglycan, the main constituent of the cell wall. While only one peptidoglycan biosynthesis machinery seems to exist in staphylococci, two of these machineries are proposed to function in ovoid-shaped bacteria, reinforcing the intrinsic differences regarding the morphogenesis of different classes of cocci. The present review aims to integrate older ultra-structural data with recent localization studies, in order to clarify the relation between the mechanisms of cell wall synthesis and the determination of cell shape in various cocci.","DOI":"10.1111/j.1574-6976.2007.00098.x","note":"PMID: 18266741","journalAbbreviation":"FEMS Microbiol. Rev.","author":[{"family":"Zapun","given":"André"},{"family":"Vernet","given":"Thierry"},{"family":"Pinho","given":"Mariana G"}],"issued":{"year":2008,"month":3},"accessed":{"year":2012,"month":4,"day":2},"page-first":"345"}},{"id":93,"uris":["http://zotero.org/users/944474/items/IU5HEDB6"],"uri":["http://zotero.org/users/944474/items/IU5HEDB6"],"itemData":{"id":93,"type":"article-journal","title":"A new morphogenesis pathway in bacteria: unbalanced activity of cell wall synthesis machineries leads to coccus-to-rod transition and filamentation in ovococci","container-title":"Molecular Microbiology","page":"759-771","volume":"79","issue":"3","abstract":"Bacteria display a variety of shapes, which have biological relevance. In most eubacteria, cell shape is maintained by the tough peptidoglycan (PG) layer of the cell wall, the sacculus. The organization of PG synthesis machineries, orchestrated by different cytoskeletal elements, determines the specific shapes of sacculi. In rod-shaped bacteria, the actin-like (MreB) and the tubuline-like (FtsZ) cytoskeletons control synthesis of the sidewall (elongation) and the crosswall (septation) respectively. Much less is known concerning cell morphogenesis in cocci, which lack MreB proteins. While spherical cocci exclusively display septal growth, ovococci additionally display peripheral growth, which is responsible of the slight longitudinal expansion that generates their ovoid shape. Here, we report that the ovococcus Lactococcus lactis has the ability to become rod-shaped. L. lactis IL1403 wild-type cells form long aseptate filaments during both biofilm and planktonic growth in a synthetic medium. Nascent PG insertion and the division protein FtsK localize in multiple peripheral rings regularly spaced along the filaments. We show that filamentation results from septation inhibition, and that penicillin-binding proteins PBP2x and PBP2b play a direct role in this process. We propose a model for filament formation in L. lactis, and discuss the possible biological role of such morphological differentiation.","DOI":"10.1111/j.1365-2958.2010.07483.x","note":"PMID: 21255117","shortTitle":"A new morphogenesis pathway in bacteria","journalAbbreviation":"Mol. Microbiol.","author":[{"family":"Pérez-Núñez","given":"Daniel"},{"family":"Briandet","given":"Romain"},{"family":"David","given":"Blandine"},{"family":"Gautier","given":"Céline"},{"family":"Renault","given":"Pierre"},{"family":"Hallet","given":"Bernard"},{"family":"Hols","given":"Pascal"},{"family":"Carballido-López","given":"Rut"},{"family":"Guédon","given":"Eric"}],"issued":{"year":2011,"month":2},"accessed":{"year":2012,"month":4,"day":2},"page-first":"759"}}],"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szCs w:val="24"/>
        </w:rPr>
        <w:t xml:space="preserve">(Zapun </w:t>
      </w:r>
      <w:r w:rsidRPr="0011411F">
        <w:rPr>
          <w:rFonts w:ascii="Times New Roman" w:hAnsi="Times New Roman" w:cs="Times New Roman"/>
          <w:i/>
          <w:color w:val="000000" w:themeColor="text1"/>
          <w:sz w:val="24"/>
          <w:szCs w:val="24"/>
        </w:rPr>
        <w:t>et al</w:t>
      </w:r>
      <w:r w:rsidRPr="007C155A">
        <w:rPr>
          <w:rFonts w:ascii="Times New Roman" w:hAnsi="Times New Roman" w:cs="Times New Roman"/>
          <w:color w:val="000000" w:themeColor="text1"/>
          <w:sz w:val="24"/>
          <w:szCs w:val="24"/>
        </w:rPr>
        <w:t xml:space="preserve">., 2008; Pérez-Núñez </w:t>
      </w:r>
      <w:r w:rsidRPr="0011411F">
        <w:rPr>
          <w:rFonts w:ascii="Times New Roman" w:hAnsi="Times New Roman" w:cs="Times New Roman"/>
          <w:i/>
          <w:color w:val="000000" w:themeColor="text1"/>
          <w:sz w:val="24"/>
          <w:szCs w:val="24"/>
        </w:rPr>
        <w:t>et al</w:t>
      </w:r>
      <w:r w:rsidRPr="007C155A">
        <w:rPr>
          <w:rFonts w:ascii="Times New Roman" w:hAnsi="Times New Roman" w:cs="Times New Roman"/>
          <w:color w:val="000000" w:themeColor="text1"/>
          <w:sz w:val="24"/>
          <w:szCs w:val="24"/>
        </w:rPr>
        <w:t>., 2011)</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 xml:space="preserve">. Whilst FtsZ is well known to drive the process of constriction during division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{"citationID":"1nchnio1mt","properties":{"formattedCitation":"(Bramhill, 1997)","plainCitation":"(Bramhill, 1997)"},"citationItems":[{"id":684,"uris":["http://zotero.org/users/944474/items/QVWEKXVT"],"uri":["http://zotero.org/users/944474/items/QVWEKXVT"],"itemData":{"id":684,"type":"article-journal","title":"Bacterial cell division","container-title":"Annual review of cell and developmental biology","page":"395-424","volume":"13","abstract":"Bacteria usually divide by building a central septum across the middle of the cell. This review focuses on recent results indicating that the tubulin-like FtsZ protein plays a central role in cytokinesis as a major component of a contractile cytoskeleton. Assembly of this cytoskeletal element abutting the membrane is a key point for regulation. The characterization of FtsZ homologues in Mycoplasmas, Archaea, and chloroplasts implies that the constriction mechanism is conserved and that FtsZ can constrict in the absence of peptidoglycan synthesis. In most Eubacteria, the internal cytoskeleton must also regulate synthesis of septal peptidoglycan. The Escherichia coli septum-specific penicillin-binding protein 3 (PBP3) forms a complex with other enzymes involved in murein metabolism, suggesting a centrally located transmembrane complex capable of splicing multiple new strands of peptidoglycan into the cell wall. Important questions remain about the spatial and temporal control of bacterial division.","DOI":"10.1146/annurev.cellbio.13.1.395","note":"PMID: 9442879","journalAbbreviation":"Annu. Rev. Cell Dev. Biol.","author":[{"family":"Bramhill","given":"D"}],"issued":{"year":1997},"accessed":{"year":2012,"month":7,"day":9},"page-first":"395"}}],"schema":"https://github.com/citation-style-language/schema/raw/master/csl-citation.json"}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rPr>
        <w:t>(Bramhill, 1997)</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 xml:space="preserve">, the contribution of this constrictive force to mechanical maintenance of the peripheral wall under turgor pressure remains unknown. However as the peripheral wall is pushed away from the FtsZ-dependent growth annulus (Chapter 3;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{"citationID":"2am3o6l5s7","properties":{"formattedCitation":"{\\rtf (Higgins and Shockman, 1970; P\\uc0\\u233{}rez-N\\uc0\\u250{}\\uc0\\u241{}ez et al., 2011)}","plainCitation":"(Higgins and Shockman, 1970; Pérez-Núñez et al., 2011)"},"citationItems":[{"id":119,"uris":["http://zotero.org/users/944474/items/5VZGQQUH"],"uri":["http://zotero.org/users/944474/items/5VZGQQUH"],"itemData":{"id":119,"type":"article-journal","title":"Model for cell wall growth of Streptococcus faecalis","container-title":"Journal of Bacteriology","page":"643-648","volume":"101","issue":"2","abstract":"In exponentially growing and dividing cells of Streptococcus faecalis, it is proposed that the leading edge of the annularly closing cross wall is the point of extension for both cross wall and peripheral wall. Peripheral wall extension is thought to be produced by the separation or splitting of the cross wall at its junction with peripheral wall. This results in the pushing of the equatorial wall bands, found on S. faecalis walls, to subsequatorial positions. These bands therefore mark the separation of old wall from new wall. Mesosomal formation was observed usually to precede cross wall initiation.","note":"PMID: 4984078","journalAbbreviation":"J. Bacteriol.","author":[{"family":"Higgins","given":"M L"},{"family":"Shockman","given":"G D"}],"issued":{"year":1970,"month":2},"accessed":{"year":2012,"month":4,"day":2},"page-first":"643"}},{"id":93,"uris":["http://zotero.org/users/944474/items/IU5HEDB6"],"uri":["http://zotero.org/users/944474/items/IU5HEDB6"],"itemData":{"id":93,"type":"article-journal","title":"A new morphogenesis pathway in bacteria: unbalanced activity of cell wall synthesis machineries leads to coccus-to-rod transition and filamentation in ovococci","container-title":"Molecular Microbiology","page":"759-771","volume":"79","issue":"3","abstract":"Bacteria display a variety of shapes, which have biological relevance. In most eubacteria, cell shape is maintained by the tough peptidoglycan (PG) layer of the cell wall, the sacculus. The organization of PG synthesis machineries, orchestrated by different cytoskeletal elements, determines the specific shapes of sacculi. In rod-shaped bacteria, the actin-like (MreB) and the tubuline-like (FtsZ) cytoskeletons control synthesis of the sidewall (elongation) and the crosswall (septation) respectively. Much less is known concerning cell morphogenesis in cocci, which lack MreB proteins. While spherical cocci exclusively display septal growth, ovococci additionally display peripheral growth, which is responsible of the slight longitudinal expansion that generates their ovoid shape. Here, we report that the ovococcus Lactococcus lactis has the ability to become rod-shaped. L. lactis IL1403 wild-type cells form long aseptate filaments during both biofilm and planktonic growth in a synthetic medium. Nascent PG insertion and the division protein FtsK localize in multiple peripheral rings regularly spaced along the filaments. We show that filamentation results from septation inhibition, and that penicillin-binding proteins PBP2x and PBP2b play a direct role in this process. We propose a model for filament formation in L. lactis, and discuss the possible biological role of such morphological differentiation.","DOI":"10.1111/j.1365-2958.2010.07483.x","note":"PMID: 21255117","shortTitle":"A new morphogenesis pathway in bacteria","journalAbbreviation":"Mol. Microbiol.","author":[{"family":"Pérez-Núñez","given":"Daniel"},{"family":"Briandet","given":"Romain"},{"family":"David","given":"Blandine"},{"family":"Gautier","given":"Céline"},{"family":"Renault","given":"Pierre"},{"family":"Hallet","given":"Bernard"},{"family":"Hols","given":"Pascal"},{"family":"Carballido-López","given":"Rut"},{"family":"Guédon","given":"Eric"}],"issued":{"year":2011,"month":2},"accessed":{"year":2012,"month":4,"day":2},"page-first":"759"}}],"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szCs w:val="24"/>
        </w:rPr>
        <w:t xml:space="preserve">Higgins and Shockman, 1970; Pérez-Núñez </w:t>
      </w:r>
      <w:r w:rsidRPr="0011411F">
        <w:rPr>
          <w:rFonts w:ascii="Times New Roman" w:hAnsi="Times New Roman" w:cs="Times New Roman"/>
          <w:i/>
          <w:color w:val="000000" w:themeColor="text1"/>
          <w:sz w:val="24"/>
          <w:szCs w:val="24"/>
        </w:rPr>
        <w:t>et al</w:t>
      </w:r>
      <w:r w:rsidRPr="007C155A">
        <w:rPr>
          <w:rFonts w:ascii="Times New Roman" w:hAnsi="Times New Roman" w:cs="Times New Roman"/>
          <w:color w:val="000000" w:themeColor="text1"/>
          <w:sz w:val="24"/>
          <w:szCs w:val="24"/>
        </w:rPr>
        <w:t>., 2011)</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 and purified sacculi retain their ovoid shape (Chapter 3), the peptidoglycan</w:t>
      </w:r>
      <w:r>
        <w:rPr>
          <w:rFonts w:ascii="Times New Roman" w:hAnsi="Times New Roman" w:cs="Times New Roman"/>
          <w:sz w:val="24"/>
          <w:szCs w:val="24"/>
        </w:rPr>
        <w:t xml:space="preserve"> architecture is the major structural determinant of ovococcal morphology.</w:t>
      </w:r>
    </w:p>
    <w:p w:rsidR="00FE29E6" w:rsidRDefault="00FE29E6" w:rsidP="00FE29E6">
      <w:pPr>
        <w:spacing w:line="480" w:lineRule="auto"/>
        <w:jc w:val="both"/>
        <w:rPr>
          <w:rFonts w:ascii="Times New Roman" w:hAnsi="Times New Roman" w:cs="Times New Roman"/>
          <w:sz w:val="24"/>
          <w:szCs w:val="24"/>
        </w:rPr>
      </w:pPr>
    </w:p>
    <w:p w:rsidR="00FE29E6" w:rsidRPr="00086CC1" w:rsidRDefault="00FE29E6" w:rsidP="00FE29E6">
      <w:pPr>
        <w:spacing w:line="480" w:lineRule="auto"/>
        <w:jc w:val="both"/>
        <w:rPr>
          <w:rFonts w:ascii="Times New Roman" w:hAnsi="Times New Roman" w:cs="Times New Roman"/>
          <w:i/>
          <w:sz w:val="28"/>
          <w:szCs w:val="28"/>
        </w:rPr>
      </w:pPr>
      <w:r w:rsidRPr="00D66448">
        <w:rPr>
          <w:rFonts w:ascii="Times New Roman" w:hAnsi="Times New Roman" w:cs="Times New Roman"/>
          <w:sz w:val="28"/>
          <w:szCs w:val="28"/>
        </w:rPr>
        <w:t>6.1.2</w:t>
      </w:r>
      <w:r w:rsidRPr="00D66448">
        <w:rPr>
          <w:rFonts w:ascii="Times New Roman" w:hAnsi="Times New Roman" w:cs="Times New Roman"/>
          <w:sz w:val="28"/>
          <w:szCs w:val="28"/>
        </w:rPr>
        <w:tab/>
      </w:r>
      <w:r w:rsidRPr="00D66448">
        <w:rPr>
          <w:rFonts w:ascii="Times New Roman" w:hAnsi="Times New Roman" w:cs="Times New Roman"/>
          <w:sz w:val="28"/>
          <w:szCs w:val="28"/>
        </w:rPr>
        <w:tab/>
      </w:r>
      <w:r>
        <w:rPr>
          <w:rFonts w:ascii="Times New Roman" w:hAnsi="Times New Roman" w:cs="Times New Roman"/>
          <w:sz w:val="28"/>
          <w:szCs w:val="28"/>
        </w:rPr>
        <w:t>Peptidoglycan a</w:t>
      </w:r>
      <w:r w:rsidRPr="00D66448">
        <w:rPr>
          <w:rFonts w:ascii="Times New Roman" w:hAnsi="Times New Roman" w:cs="Times New Roman"/>
          <w:sz w:val="28"/>
          <w:szCs w:val="28"/>
        </w:rPr>
        <w:t xml:space="preserve">rchitecture </w:t>
      </w:r>
      <w:r>
        <w:rPr>
          <w:rFonts w:ascii="Times New Roman" w:hAnsi="Times New Roman" w:cs="Times New Roman"/>
          <w:sz w:val="28"/>
          <w:szCs w:val="28"/>
        </w:rPr>
        <w:t xml:space="preserve">of </w:t>
      </w:r>
      <w:r>
        <w:rPr>
          <w:rFonts w:ascii="Times New Roman" w:hAnsi="Times New Roman" w:cs="Times New Roman"/>
          <w:i/>
          <w:sz w:val="28"/>
          <w:szCs w:val="28"/>
        </w:rPr>
        <w:t>S. aureus</w:t>
      </w:r>
    </w:p>
    <w:p w:rsidR="00FE29E6" w:rsidRDefault="00FE29E6" w:rsidP="00FE29E6">
      <w:pPr>
        <w:spacing w:line="480" w:lineRule="auto"/>
        <w:jc w:val="both"/>
        <w:rPr>
          <w:rFonts w:ascii="Times New Roman" w:hAnsi="Times New Roman" w:cs="Times New Roman"/>
          <w:sz w:val="24"/>
          <w:szCs w:val="24"/>
        </w:rPr>
        <w:sectPr w:rsidR="00FE29E6" w:rsidSect="00FE29E6">
          <w:footerReference w:type="default" r:id="rId109"/>
          <w:pgSz w:w="11906" w:h="16838"/>
          <w:pgMar w:top="1440" w:right="1134" w:bottom="1440" w:left="2268" w:header="708" w:footer="708" w:gutter="0"/>
          <w:pgNumType w:start="269"/>
          <w:cols w:space="708"/>
          <w:docGrid w:linePitch="360"/>
        </w:sectPr>
      </w:pPr>
      <w:r w:rsidRPr="007C155A">
        <w:rPr>
          <w:rFonts w:ascii="Times New Roman" w:hAnsi="Times New Roman" w:cs="Times New Roman"/>
          <w:color w:val="000000" w:themeColor="text1"/>
          <w:sz w:val="24"/>
          <w:szCs w:val="24"/>
        </w:rPr>
        <w:t>Centripetal or ring peptidoglycan architectures have been observed in the septa of Gram-positive rods, cocci and ovococci (Chapter 3 and 4;</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{"citationID":"34dlgvh6u","properties":{"formattedCitation":"(Amako et al., 1982; Touhami et al., 2004; Hayhurst et al., 2008; Andre et al., 2010)","plainCitation":"(Amako et al., 1982; Touhami et al., 2004; Hayhurst et al., 2008; Andre et al., 2010)"},"citationItems":[{"id":43,"uris":["http://zotero.org/users/944474/items/P9M47BKB"],"uri":["http://zotero.org/users/944474/items/P9M47BKB"],"itemData":{"id":43,"type":"article-journal","title":"Arrangement of peptidoglycan in the cell wall of Staphylococcus spp","container-title":"Journal of Bacteriology","page":"844-850","volume":"150","issue":"2","abstract":"The arrangement of peptidoglycan in the cell wall of Staphylococcus was observed with the newly developed freeze-fracture technique, using n-octanol instead of water as the freezing medium. The replica of the trichloroacetic acid-extracted cell wall (TCA-wall) showed two areas. One of them has a concentric circular structure, a characteristic surface structure of the staphylococcal cell wall, and the other showed an irregular and rough surface. The chemical analysis of the wall revealed that the TCA-wall consisted of mostly peptidoglycan. By digesting the TCA-wall with lysozyme, the circular structures were greatly disturbed, and they disappeared after 60 min of treatment. From these observations it can be expected that the peptidoglycan is arranged in a concentric circular manner in the newly generated cell wall of Staphylococcus.","note":"PMID: 7068534","journalAbbreviation":"J. Bacteriol.","author":[{"family":"Amako","given":"K"},{"family":"Umeda","given":"A"},{"family":"Murata","given":"K"}],"issued":{"year":1982,"month":5},"accessed":{"year":2012,"month":3,"day":6},"page-first":"844"}},{"id":147,"uris":["http://zotero.org/users/944474/items/H8B2DIMV"],"uri":["http://zotero.org/users/944474/items/H8B2DIMV"],"itemData":{"id":147,"type":"article-journal","title":"Atomic force microscopy of cell growth and division in Staphylococcus aureus","container-title":"Journal of Bacteriology","page":"3286-3295","volume":"186","issue":"11","abstract":"The growth and division of Staphylococcus aureus was monitored by atomic force microscopy (AFM) and thin-section transmission electron microscopy (TEM). A good correlation of the structural events of division was found using the two microscopies, and AFM was able to provide new additional information. AFM was performed under water, ensuring that all structures were in the hydrated condition. Sequential images on the same structure revealed progressive changes to surfaces, suggesting the cells were growing while images were being taken. Using AFM small depressions were seen around the septal annulus at the onset of division that could be attributed to so-called murosomes (Giesbrecht et al., Arch. Microbiol. 141:315-324, 1985). The new cell wall formed from the cross wall (i.e., completed septum) after cell separation and possessed concentric surface rings and a central depression; these structures could be correlated to a midline of reactive material in the developing septum that was seen by TEM. The older wall, that which was not derived from a newly formed cross wall, was partitioned into two different surface zones, smooth and gel-like zones, with different adhesive properties that could be attributed to cell wall turnover. The new and old wall topographies are equated to possible peptidoglycan arrangements, but no conclusion can be made regarding the planar or scaffolding models.","DOI":"10.1128/JB.186.11.3286-3295.2004","note":"PMID: 15150213","journalAbbreviation":"J. Bacteriol.","author":[{"family":"Touhami","given":"Ahmed"},{"family":"Jericho","given":"Manfred H"},{"family":"Beveridge","given":"Terry J"}],"issued":{"year":2004,"month":6},"accessed":{"year":2012,"month":4,"day":22},"page-first":"3286"}},{"id":77,"uris":["http://zotero.org/users/944474/items/Z6IUFDEB"],"uri":["http://zotero.org/users/944474/items/Z6IUFDEB"],"itemData":{"id":77,"type":"article-journal","title":"Cell wall peptidoglycan architecture in Bacillus subtilis","container-title":"Proceedings of the National Academy of Sciences of the United States of America","page":"14603-14608","volume":"105","issue":"38","abstract":"The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polymer.","DOI":"10.1073/pnas.0804138105","note":"PMID: 18784364","journalAbbreviation":"Proc. Natl. Acad. Sci. U.S.A.","author":[{"family":"Hayhurst","given":"Emma J"},{"family":"Kailas","given":"Lekshmi"},{"family":"Hobbs","given":"Jamie K"},{"family":"Foster","given":"Simon J"}],"issued":{"year":2008,"month":9,"day":23},"accessed":{"year":2012,"month":3,"day":7},"page-first":"14603"}},{"id":92,"uris":["http://zotero.org/users/944474/items/HJM9TTUJ"],"uri":["http://zotero.org/users/944474/items/HJM9TTUJ"],"itemData":{"id":92,"type":"article-journal","title":"Imaging the nanoscale organization of peptidoglycan in living Lactococcus lactis cells","container-title":"Nature Communications","page":"27","volume":"1","abstract":"The spatial organization of peptidoglycan, the major constituent of bacterial cell-walls, is an important, yet still unsolved issue in microbiology. In this paper, we show that the combined use of atomic force microscopy and cell wall mutants is a powerful platform for probing the nanoscale architecture of cell wall peptidoglycan in living Gram-positive bacteria. Using topographic imaging, we found that Lactococcus lactis wild-type cells display a smooth, featureless surface morphology, whereas mutant strains lacking cell wall exopolysaccharides feature 25-nm-wide periodic bands running parallel to the short axis of the cell. In addition, we used single-molecule recognition imaging to show that parallel bands are made of peptidoglycan. Our data, obtained for the first time on living ovococci, argue for an architectural feature of the cell wall in the plane perpendicular to the long axis of the cell. The non-invasive live cell experiments presented here open new avenues for understanding the architecture and assembly of peptidoglycan in Gram-positive bacteria.","DOI":"10.1038/ncomms1027","note":"PMID: 20975688","journalAbbreviation":"Nat Commun","author":[{"family":"Andre","given":"Guillaume"},{"family":"Kulakauskas","given":"Saulius"},{"family":"Chapot-Chartier","given":"Marie-Pierre"},{"family":"Navet","given":"Benjamine"},{"family":"Deghorain","given":"Marie"},{"family":"Bernard","given":"Elvis"},{"family":"Hols","given":"Pascal"},{"family":"Dufrêne","given":"Yves F"}],"issued":{"year":2010},"accessed":{"year":2012,"month":4,"day":2},"page-first":"27"}}],"schema":"https://github.com/citation-style-language/schema/raw/master/csl-citation.json"}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rPr>
        <w:t xml:space="preserve"> Amako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xml:space="preserve">., 1982; Touhami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xml:space="preserve">., 2004; Hayhurst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xml:space="preserve">., 2008; Andre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2010)</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 xml:space="preserve">. In the case of </w:t>
      </w:r>
      <w:r w:rsidRPr="007C155A">
        <w:rPr>
          <w:rFonts w:ascii="Times New Roman" w:hAnsi="Times New Roman" w:cs="Times New Roman"/>
          <w:i/>
          <w:color w:val="000000" w:themeColor="text1"/>
          <w:sz w:val="24"/>
          <w:szCs w:val="24"/>
        </w:rPr>
        <w:t xml:space="preserve">S. aureus </w:t>
      </w:r>
      <w:r w:rsidRPr="007C155A">
        <w:rPr>
          <w:rFonts w:ascii="Times New Roman" w:hAnsi="Times New Roman" w:cs="Times New Roman"/>
          <w:color w:val="000000" w:themeColor="text1"/>
          <w:sz w:val="24"/>
          <w:szCs w:val="24"/>
        </w:rPr>
        <w:t>which synthesises new cell wall during septation, spiral architecture is also preserved on the nascent cell wall hemisphere (Chapter 4;</w:t>
      </w:r>
      <w:r w:rsidRPr="007C155A">
        <w:rPr>
          <w:rFonts w:ascii="Times New Roman" w:hAnsi="Times New Roman" w:cs="Times New Roman"/>
          <w:i/>
          <w:color w:val="000000" w:themeColor="text1"/>
          <w:sz w:val="24"/>
          <w:szCs w:val="24"/>
        </w:rPr>
        <w:fldChar w:fldCharType="begin"/>
      </w:r>
      <w:r w:rsidRPr="007C155A">
        <w:rPr>
          <w:rFonts w:ascii="Times New Roman" w:hAnsi="Times New Roman" w:cs="Times New Roman"/>
          <w:i/>
          <w:color w:val="000000" w:themeColor="text1"/>
          <w:sz w:val="24"/>
          <w:szCs w:val="24"/>
        </w:rPr>
        <w:instrText xml:space="preserve"> ADDIN ZOTERO_ITEM CSL_CITATION {"citationID":"24qnt0ein7","properties":{"formattedCitation":"(Amako et al., 1982)","plainCitation":"(Amako et al., 1982)"},"citationItems":[{"id":43,"uris":["http://zotero.org/users/944474/items/P9M47BKB"],"uri":["http://zotero.org/users/944474/items/P9M47BKB"],"itemData":{"id":43,"type":"article-journal","title":"Arrangement of peptidoglycan in the cell wall of Staphylococcus spp","container-title":"Journal of Bacteriology","page":"844-850","volume":"150","issue":"2","abstract":"The arrangement of peptidoglycan in the cell wall of Staphylococcus was observed with the newly developed freeze-fracture technique, using n-octanol instead of water as the freezing medium. The replica of the trichloroacetic acid-extracted cell wall (TCA-wall) showed two areas. One of them has a concentric circular structure, a characteristic surface structure of the staphylococcal cell wall, and the other showed an irregular and rough surface. The chemical analysis of the wall revealed that the TCA-wall consisted of mostly peptidoglycan. By digesting the TCA-wall with lysozyme, the circular structures were greatly disturbed, and they disappeared after 60 min of treatment. From these observations it can be expected that the peptidoglycan is arranged in a concentric circular manner in the newly generated cell wall of Staphylococcus.","note":"PMID: 7068534","journalAbbreviation":"J. Bacteriol.","author":[{"family":"Amako","given":"K"},{"family":"Umeda","given":"A"},{"family":"Murata","given":"K"}],"issued":{"year":1982,"month":5},"accessed":{"year":2012,"month":3,"day":6},"page-first":"844"}}],"schema":"https://github.com/citation-style-language/schema/raw/master/csl-citation.json"} </w:instrText>
      </w:r>
      <w:r w:rsidRPr="007C155A">
        <w:rPr>
          <w:rFonts w:ascii="Times New Roman" w:hAnsi="Times New Roman" w:cs="Times New Roman"/>
          <w:i/>
          <w:color w:val="000000" w:themeColor="text1"/>
          <w:sz w:val="24"/>
          <w:szCs w:val="24"/>
        </w:rPr>
        <w:fldChar w:fldCharType="separate"/>
      </w:r>
      <w:r w:rsidRPr="007C155A">
        <w:rPr>
          <w:rFonts w:ascii="Times New Roman" w:hAnsi="Times New Roman" w:cs="Times New Roman"/>
          <w:color w:val="000000" w:themeColor="text1"/>
          <w:sz w:val="24"/>
        </w:rPr>
        <w:t xml:space="preserve"> Amako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1982)</w:t>
      </w:r>
      <w:r w:rsidRPr="007C155A">
        <w:rPr>
          <w:rFonts w:ascii="Times New Roman" w:hAnsi="Times New Roman" w:cs="Times New Roman"/>
          <w:i/>
          <w:color w:val="000000" w:themeColor="text1"/>
          <w:sz w:val="24"/>
          <w:szCs w:val="24"/>
        </w:rPr>
        <w:fldChar w:fldCharType="end"/>
      </w:r>
      <w:r w:rsidRPr="007C155A">
        <w:rPr>
          <w:rFonts w:ascii="Times New Roman" w:hAnsi="Times New Roman" w:cs="Times New Roman"/>
          <w:color w:val="000000" w:themeColor="text1"/>
          <w:sz w:val="24"/>
          <w:szCs w:val="24"/>
        </w:rPr>
        <w:t xml:space="preserve">. It is unclear whether the observed ring architecture reflects the glycan strand orientation, or scars resulting from hydrolytic splitting of the septal cross-wall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{"citationID":"1122r9dvrr","properties":{"formattedCitation":"(Amako et al., 1982; Giesbrecht et al., 1998)","plainCitation":"(Amako et al., 1982; Giesbrecht et al., 1998)"},"citationItems":[{"id":43,"uris":["http://zotero.org/users/944474/items/P9M47BKB"],"uri":["http://zotero.org/users/944474/items/P9M47BKB"],"itemData":{"id":43,"type":"article-journal","title":"Arrangement of peptidoglycan in the cell wall of Staphylococcus spp","container-title":"Journal of Bacteriology","page":"844-850","volume":"150","issue":"2","abstract":"The arrangement of peptidoglycan in the cell wall of Staphylococcus was observed with the newly developed freeze-fracture technique, using n-octanol instead of water as the freezing medium. The replica of the trichloroacetic acid-extracted cell wall (TCA-wall) showed two areas. One of them has a concentric circular structure, a characteristic surface structure of the staphylococcal cell wall, and the other showed an irregular and rough surface. The chemical analysis of the wall revealed that the TCA-wall consisted of mostly peptidoglycan. By digesting the TCA-wall with lysozyme, the circular structures were greatly disturbed, and they disappeared after 60 min of treatment. From these observations it can be expected that the peptidoglycan is arranged in a concentric circular manner in the newly generated cell wall of Staphylococcus.","note":"PMID: 7068534","journalAbbreviation":"J. Bacteriol.","author":[{"family":"Amako","given":"K"},{"family":"Umeda","given":"A"},{"family":"Murata","given":"K"}],"issued":{"year":1982,"month":5},"accessed":{"year":2012,"month":3,"day":6},"page-first":"844"}},{"id":44,"uris":["http://zotero.org/users/944474/items/CUPN6QRV"],"uri":["http://zotero.org/users/944474/items/CUPN6QRV"],"itemData":{"id":44,"type":"article-journal","title":"Staphylococcal cell wall: morphogenesis and fatal variations in the presence of penicillin","container-title":"Microbiology and Molecular Biology Reviews: MMBR","page":"1371-1414","volume":"62","issue":"4","abstract":"The primary goal of this review is to provide a compilation of the complex architectural features of staphylococcal cell walls and of some of their unusual morphogenetic traits including the utilization of murosomes and two different mechanisms of cell separation. Knowledge of these electron microscopic findings may serve as a prerequisite for a better understanding of the sophisticated events which lead to penicillin-induced death. For more than 50 years there have been controversial disputes about the mechanisms by which penicillin kills bacteria. Many hypotheses have tried to explain this fatal event biochemically and mainly via bacteriolysis. However, indications that penicillin-induced death of staphylococci results from overall biochemical defects or from a fatal attack of bacterial cell walls by bacteriolytic murein hydrolases were not been found. Rather, penicillin, claimed to trigger the activity of murein hydrolases, impaired autolytic wall enzymes of staphylococci. Electron microscopic investigations have meanwhile shown that penicillin-mediated induction of seemingly minute cross wall mistakes is the very reason for this killing. Such \"morphogenetic death\" taking place at predictable cross wall sites and at a predictable time is based on the initiation of normal cell separations in those staphylococci in which the completion of cross walls had been prevented by local penicillin-mediated impairment of the distribution of newly synthesized peptidoglycan; this death occurs because the high internal pressure of the protoplast abruptly kills such cells via ejection of some cytoplasm during attempted cell separation. An analogous fatal onset of cell partition is considered to take place without involvement of a detectable quantity of autolytic wall enzymes (\"mechanical cell separation\"). The most prominent feature of penicillin, the disintegration of bacterial cells via bacteriolysis, is shown to represent only a postmortem process resulting from shrinkage of dead cells and perturbation of the cytoplasmic membrane. Several schematic drawings have been included in this review to facilitate an understanding of the complex morphogenetic events.","note":"PMID: 9841676","shortTitle":"Staphylococcal cell wall","journalAbbreviation":"Microbiol. Mol. Biol. Rev.","author":[{"family":"Giesbrecht","given":"P"},{"family":"Kersten","given":"T"},{"family":"Maidhof","given":"H"},{"family":"Wecke","given":"J"}],"issued":{"year":1998,"month":12},"accessed":{"year":2012,"month":3,"day":6},"page-first":"1371"}}],"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rPr>
        <w:t xml:space="preserve">(Amako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xml:space="preserve">., 1982; Giesbrecht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1998)</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 xml:space="preserve">. The ring architecture was retained when three of the four putative </w:t>
      </w:r>
      <w:r w:rsidRPr="007C155A">
        <w:rPr>
          <w:rFonts w:ascii="Times New Roman" w:hAnsi="Times New Roman" w:cs="Times New Roman"/>
          <w:i/>
          <w:color w:val="000000" w:themeColor="text1"/>
          <w:sz w:val="24"/>
          <w:szCs w:val="24"/>
        </w:rPr>
        <w:t xml:space="preserve">S. aureus </w:t>
      </w:r>
      <w:r w:rsidRPr="007C155A">
        <w:rPr>
          <w:rFonts w:ascii="Times New Roman" w:hAnsi="Times New Roman" w:cs="Times New Roman"/>
          <w:color w:val="000000" w:themeColor="text1"/>
          <w:sz w:val="24"/>
          <w:szCs w:val="24"/>
        </w:rPr>
        <w:t>glucosaminidases were inactive, suggesting that glucosaminidase activity does not contribute to ring architecture at the nascent cell wall. In our model of growth by hydrolysis, we propose a centripetal orientation of long glycan strands in the nascent cross-wall, parallel to the plasma membrane (Figure 6.1). Centripetal arrangement of the long, inelastic, glycan strands radially constrains the septal cross-wall</w:t>
      </w:r>
      <w:r>
        <w:rPr>
          <w:rFonts w:ascii="Times New Roman" w:hAnsi="Times New Roman" w:cs="Times New Roman"/>
          <w:sz w:val="24"/>
          <w:szCs w:val="24"/>
        </w:rPr>
        <w:t xml:space="preserve"> against turgor forces, preventing volume increase to spherical shape after daughter cell separation </w:t>
      </w:r>
    </w:p>
    <w:p w:rsidR="00FE29E6" w:rsidRPr="00F8022B" w:rsidRDefault="00FE29E6" w:rsidP="00FE29E6">
      <w:pPr>
        <w:spacing w:line="48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4226400" cy="5921187"/>
            <wp:effectExtent l="19050" t="0" r="2700" b="0"/>
            <wp:docPr id="106" name="Picture 3" descr="Figure 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1.png"/>
                    <pic:cNvPicPr/>
                  </pic:nvPicPr>
                  <pic:blipFill>
                    <a:blip r:embed="rId110" cstate="print"/>
                    <a:stretch>
                      <a:fillRect/>
                    </a:stretch>
                  </pic:blipFill>
                  <pic:spPr>
                    <a:xfrm>
                      <a:off x="0" y="0"/>
                      <a:ext cx="4226400" cy="5921187"/>
                    </a:xfrm>
                    <a:prstGeom prst="rect">
                      <a:avLst/>
                    </a:prstGeom>
                  </pic:spPr>
                </pic:pic>
              </a:graphicData>
            </a:graphic>
          </wp:inline>
        </w:drawing>
      </w:r>
    </w:p>
    <w:p w:rsidR="00FE29E6" w:rsidRDefault="00FE29E6" w:rsidP="00FE29E6">
      <w:pPr>
        <w:spacing w:line="360" w:lineRule="auto"/>
        <w:jc w:val="both"/>
        <w:rPr>
          <w:rFonts w:ascii="Times New Roman" w:hAnsi="Times New Roman" w:cs="Times New Roman"/>
          <w:sz w:val="24"/>
          <w:szCs w:val="24"/>
        </w:rPr>
      </w:pPr>
      <w:proofErr w:type="gramStart"/>
      <w:r w:rsidRPr="00ED4A12">
        <w:rPr>
          <w:rFonts w:ascii="Times New Roman" w:hAnsi="Times New Roman" w:cs="Times New Roman"/>
          <w:b/>
          <w:sz w:val="24"/>
          <w:szCs w:val="24"/>
        </w:rPr>
        <w:t>Figure 6.1.</w:t>
      </w:r>
      <w:proofErr w:type="gramEnd"/>
      <w:r w:rsidRPr="00ED4A12">
        <w:rPr>
          <w:rFonts w:ascii="Times New Roman" w:hAnsi="Times New Roman" w:cs="Times New Roman"/>
          <w:b/>
          <w:sz w:val="24"/>
          <w:szCs w:val="24"/>
        </w:rPr>
        <w:t xml:space="preserve"> </w:t>
      </w:r>
      <w:proofErr w:type="gramStart"/>
      <w:r w:rsidRPr="00ED4A12">
        <w:rPr>
          <w:rFonts w:ascii="Times New Roman" w:hAnsi="Times New Roman" w:cs="Times New Roman"/>
          <w:b/>
          <w:sz w:val="24"/>
          <w:szCs w:val="24"/>
        </w:rPr>
        <w:t>Growth of the nascent cell wall by hydrolysis.</w:t>
      </w:r>
      <w:proofErr w:type="gramEnd"/>
      <w:r w:rsidRPr="00DE7B6B">
        <w:rPr>
          <w:rFonts w:ascii="Times New Roman" w:hAnsi="Times New Roman" w:cs="Times New Roman"/>
          <w:sz w:val="24"/>
          <w:szCs w:val="24"/>
        </w:rPr>
        <w:t xml:space="preserve"> In this model, glycan strand length regulates the el</w:t>
      </w:r>
      <w:r>
        <w:rPr>
          <w:rFonts w:ascii="Times New Roman" w:hAnsi="Times New Roman" w:cs="Times New Roman"/>
          <w:sz w:val="24"/>
          <w:szCs w:val="24"/>
        </w:rPr>
        <w:t>asticity of the cell wall. Long</w:t>
      </w:r>
      <w:r w:rsidRPr="00DE7B6B">
        <w:rPr>
          <w:rFonts w:ascii="Times New Roman" w:hAnsi="Times New Roman" w:cs="Times New Roman"/>
          <w:sz w:val="24"/>
          <w:szCs w:val="24"/>
        </w:rPr>
        <w:t xml:space="preserve"> glycan strands predominate in the </w:t>
      </w:r>
      <w:r>
        <w:rPr>
          <w:rFonts w:ascii="Times New Roman" w:hAnsi="Times New Roman" w:cs="Times New Roman"/>
          <w:sz w:val="24"/>
          <w:szCs w:val="24"/>
        </w:rPr>
        <w:t xml:space="preserve">nascent </w:t>
      </w:r>
      <w:r w:rsidRPr="00DE7B6B">
        <w:rPr>
          <w:rFonts w:ascii="Times New Roman" w:hAnsi="Times New Roman" w:cs="Times New Roman"/>
          <w:sz w:val="24"/>
          <w:szCs w:val="24"/>
        </w:rPr>
        <w:t>cross</w:t>
      </w:r>
      <w:r>
        <w:rPr>
          <w:rFonts w:ascii="Times New Roman" w:hAnsi="Times New Roman" w:cs="Times New Roman"/>
          <w:sz w:val="24"/>
          <w:szCs w:val="24"/>
        </w:rPr>
        <w:t>-</w:t>
      </w:r>
      <w:r w:rsidRPr="00DE7B6B">
        <w:rPr>
          <w:rFonts w:ascii="Times New Roman" w:hAnsi="Times New Roman" w:cs="Times New Roman"/>
          <w:sz w:val="24"/>
          <w:szCs w:val="24"/>
        </w:rPr>
        <w:t xml:space="preserve">wall, imposing a radial constraint </w:t>
      </w:r>
      <w:r>
        <w:rPr>
          <w:rFonts w:ascii="Times New Roman" w:hAnsi="Times New Roman" w:cs="Times New Roman"/>
          <w:sz w:val="24"/>
          <w:szCs w:val="24"/>
        </w:rPr>
        <w:t>that prevents</w:t>
      </w:r>
      <w:r w:rsidRPr="00DE7B6B">
        <w:rPr>
          <w:rFonts w:ascii="Times New Roman" w:hAnsi="Times New Roman" w:cs="Times New Roman"/>
          <w:sz w:val="24"/>
          <w:szCs w:val="24"/>
        </w:rPr>
        <w:t xml:space="preserve"> expansion of the wall under turgor pressure. Hydrolysis </w:t>
      </w:r>
      <w:r>
        <w:rPr>
          <w:rFonts w:ascii="Times New Roman" w:hAnsi="Times New Roman" w:cs="Times New Roman"/>
          <w:sz w:val="24"/>
          <w:szCs w:val="24"/>
        </w:rPr>
        <w:t xml:space="preserve">of the ring architecture (A) </w:t>
      </w:r>
      <w:r w:rsidRPr="00DE7B6B">
        <w:rPr>
          <w:rFonts w:ascii="Times New Roman" w:hAnsi="Times New Roman" w:cs="Times New Roman"/>
          <w:sz w:val="24"/>
          <w:szCs w:val="24"/>
        </w:rPr>
        <w:t>by glucosaminidases reduces the glycan chain</w:t>
      </w:r>
      <w:r>
        <w:rPr>
          <w:rFonts w:ascii="Times New Roman" w:hAnsi="Times New Roman" w:cs="Times New Roman"/>
          <w:sz w:val="24"/>
          <w:szCs w:val="24"/>
        </w:rPr>
        <w:t xml:space="preserve"> length (B)</w:t>
      </w:r>
      <w:r w:rsidRPr="00DE7B6B">
        <w:rPr>
          <w:rFonts w:ascii="Times New Roman" w:hAnsi="Times New Roman" w:cs="Times New Roman"/>
          <w:sz w:val="24"/>
          <w:szCs w:val="24"/>
        </w:rPr>
        <w:t xml:space="preserve">, </w:t>
      </w:r>
      <w:r>
        <w:rPr>
          <w:rFonts w:ascii="Times New Roman" w:hAnsi="Times New Roman" w:cs="Times New Roman"/>
          <w:sz w:val="24"/>
          <w:szCs w:val="24"/>
        </w:rPr>
        <w:t xml:space="preserve">increasing the elasticity of the wall, and permitting increase to hemispherical shape with a disordered “knobbles” architecture (C). </w:t>
      </w:r>
      <w:r w:rsidRPr="00DE7B6B">
        <w:rPr>
          <w:rFonts w:ascii="Times New Roman" w:hAnsi="Times New Roman" w:cs="Times New Roman"/>
          <w:sz w:val="24"/>
          <w:szCs w:val="24"/>
        </w:rPr>
        <w:t>Th</w:t>
      </w:r>
      <w:r>
        <w:rPr>
          <w:rFonts w:ascii="Times New Roman" w:hAnsi="Times New Roman" w:cs="Times New Roman"/>
          <w:sz w:val="24"/>
          <w:szCs w:val="24"/>
        </w:rPr>
        <w:t>is</w:t>
      </w:r>
      <w:r w:rsidRPr="00DE7B6B">
        <w:rPr>
          <w:rFonts w:ascii="Times New Roman" w:hAnsi="Times New Roman" w:cs="Times New Roman"/>
          <w:sz w:val="24"/>
          <w:szCs w:val="24"/>
        </w:rPr>
        <w:t xml:space="preserve"> model </w:t>
      </w:r>
      <w:r>
        <w:rPr>
          <w:rFonts w:ascii="Times New Roman" w:hAnsi="Times New Roman" w:cs="Times New Roman"/>
          <w:sz w:val="24"/>
          <w:szCs w:val="24"/>
        </w:rPr>
        <w:t xml:space="preserve">greatly simplifies </w:t>
      </w:r>
      <w:r w:rsidRPr="00DE7B6B">
        <w:rPr>
          <w:rFonts w:ascii="Times New Roman" w:hAnsi="Times New Roman" w:cs="Times New Roman"/>
          <w:sz w:val="24"/>
          <w:szCs w:val="24"/>
        </w:rPr>
        <w:t>the reality</w:t>
      </w:r>
      <w:r w:rsidRPr="00DE7B6B">
        <w:rPr>
          <w:rFonts w:ascii="Times New Roman" w:hAnsi="Times New Roman" w:cs="Times New Roman"/>
          <w:i/>
          <w:sz w:val="24"/>
          <w:szCs w:val="24"/>
        </w:rPr>
        <w:t xml:space="preserve"> in vivo</w:t>
      </w:r>
      <w:r>
        <w:rPr>
          <w:rFonts w:ascii="Times New Roman" w:hAnsi="Times New Roman" w:cs="Times New Roman"/>
          <w:sz w:val="24"/>
          <w:szCs w:val="24"/>
        </w:rPr>
        <w:t>,</w:t>
      </w:r>
      <w:r w:rsidRPr="00DE7B6B">
        <w:rPr>
          <w:rFonts w:ascii="Times New Roman" w:hAnsi="Times New Roman" w:cs="Times New Roman"/>
          <w:sz w:val="24"/>
          <w:szCs w:val="24"/>
        </w:rPr>
        <w:t xml:space="preserve"> as the wall is multiple glycan strands thick, </w:t>
      </w:r>
      <w:r>
        <w:rPr>
          <w:rFonts w:ascii="Times New Roman" w:hAnsi="Times New Roman" w:cs="Times New Roman"/>
          <w:sz w:val="24"/>
          <w:szCs w:val="24"/>
        </w:rPr>
        <w:t xml:space="preserve">and is </w:t>
      </w:r>
      <w:r w:rsidRPr="00DE7B6B">
        <w:rPr>
          <w:rFonts w:ascii="Times New Roman" w:hAnsi="Times New Roman" w:cs="Times New Roman"/>
          <w:sz w:val="24"/>
          <w:szCs w:val="24"/>
        </w:rPr>
        <w:t>extensively cross-linked and disorder</w:t>
      </w:r>
      <w:r>
        <w:rPr>
          <w:rFonts w:ascii="Times New Roman" w:hAnsi="Times New Roman" w:cs="Times New Roman"/>
          <w:sz w:val="24"/>
          <w:szCs w:val="24"/>
        </w:rPr>
        <w:t>e</w:t>
      </w:r>
      <w:r w:rsidRPr="00DE7B6B">
        <w:rPr>
          <w:rFonts w:ascii="Times New Roman" w:hAnsi="Times New Roman" w:cs="Times New Roman"/>
          <w:sz w:val="24"/>
          <w:szCs w:val="24"/>
        </w:rPr>
        <w:t>d, but with a preferentially centripetal orientation</w:t>
      </w:r>
      <w:r>
        <w:rPr>
          <w:rFonts w:ascii="Times New Roman" w:hAnsi="Times New Roman" w:cs="Times New Roman"/>
          <w:sz w:val="24"/>
          <w:szCs w:val="24"/>
        </w:rPr>
        <w:t xml:space="preserve"> of the glycan strands</w:t>
      </w:r>
      <w:r w:rsidRPr="00DE7B6B">
        <w:rPr>
          <w:rFonts w:ascii="Times New Roman" w:hAnsi="Times New Roman" w:cs="Times New Roman"/>
          <w:sz w:val="24"/>
          <w:szCs w:val="24"/>
        </w:rPr>
        <w:t>.</w:t>
      </w:r>
      <w:r>
        <w:rPr>
          <w:rFonts w:ascii="Times New Roman" w:hAnsi="Times New Roman" w:cs="Times New Roman"/>
          <w:sz w:val="24"/>
          <w:szCs w:val="24"/>
        </w:rPr>
        <w:t xml:space="preserve"> </w:t>
      </w:r>
      <w:proofErr w:type="gramStart"/>
      <w:r>
        <w:rPr>
          <w:rFonts w:ascii="Times New Roman" w:hAnsi="Times New Roman" w:cs="Times New Roman"/>
          <w:sz w:val="24"/>
          <w:szCs w:val="24"/>
        </w:rPr>
        <w:t>Orange; the nascent cell hemisphere, Green; the existing mature cell hemisphere.</w:t>
      </w:r>
      <w:proofErr w:type="gramEnd"/>
      <w:r>
        <w:rPr>
          <w:rFonts w:ascii="Times New Roman" w:hAnsi="Times New Roman" w:cs="Times New Roman"/>
          <w:sz w:val="24"/>
          <w:szCs w:val="24"/>
        </w:rPr>
        <w:br w:type="page"/>
      </w:r>
    </w:p>
    <w:p w:rsidR="00FE29E6" w:rsidRPr="007C155A" w:rsidRDefault="00FE29E6" w:rsidP="00FE29E6">
      <w:pPr>
        <w:spacing w:line="480" w:lineRule="auto"/>
        <w:jc w:val="both"/>
        <w:rPr>
          <w:rFonts w:ascii="Times New Roman" w:hAnsi="Times New Roman" w:cs="Times New Roman"/>
          <w:color w:val="000000" w:themeColor="text1"/>
          <w:sz w:val="24"/>
          <w:szCs w:val="24"/>
        </w:rPr>
      </w:pPr>
      <w:proofErr w:type="gramStart"/>
      <w:r w:rsidRPr="007C155A">
        <w:rPr>
          <w:rFonts w:ascii="Times New Roman" w:hAnsi="Times New Roman" w:cs="Times New Roman"/>
          <w:color w:val="000000" w:themeColor="text1"/>
          <w:sz w:val="24"/>
          <w:szCs w:val="24"/>
        </w:rPr>
        <w:lastRenderedPageBreak/>
        <w:t>(Figure 6.1).</w:t>
      </w:r>
      <w:proofErr w:type="gramEnd"/>
      <w:r w:rsidRPr="007C155A">
        <w:rPr>
          <w:rFonts w:ascii="Times New Roman" w:hAnsi="Times New Roman" w:cs="Times New Roman"/>
          <w:color w:val="000000" w:themeColor="text1"/>
          <w:sz w:val="24"/>
          <w:szCs w:val="24"/>
        </w:rPr>
        <w:t xml:space="preserve"> Hydrolysis</w:t>
      </w:r>
      <w:r>
        <w:rPr>
          <w:rFonts w:ascii="Times New Roman" w:hAnsi="Times New Roman" w:cs="Times New Roman"/>
          <w:sz w:val="24"/>
          <w:szCs w:val="24"/>
        </w:rPr>
        <w:t xml:space="preserve"> of the long strands by glucosaminidase activity increases </w:t>
      </w:r>
      <w:r w:rsidRPr="007C155A">
        <w:rPr>
          <w:rFonts w:ascii="Times New Roman" w:hAnsi="Times New Roman" w:cs="Times New Roman"/>
          <w:color w:val="000000" w:themeColor="text1"/>
          <w:sz w:val="24"/>
          <w:szCs w:val="24"/>
        </w:rPr>
        <w:t>elasticity of the cross-wall, as the stress bearing function is shared with the more flexible peptide stems. This permits the cross wall to expand under turgor pressure, resulting in volume increase and spherical shape.</w:t>
      </w:r>
    </w:p>
    <w:p w:rsidR="00FE29E6" w:rsidRPr="007C155A" w:rsidRDefault="00FE29E6" w:rsidP="00FE29E6">
      <w:pPr>
        <w:rPr>
          <w:rFonts w:ascii="Times New Roman" w:hAnsi="Times New Roman" w:cs="Times New Roman"/>
          <w:color w:val="000000" w:themeColor="text1"/>
          <w:sz w:val="24"/>
          <w:szCs w:val="24"/>
        </w:rPr>
      </w:pPr>
    </w:p>
    <w:p w:rsidR="00FE29E6" w:rsidRPr="007C155A" w:rsidRDefault="00FE29E6" w:rsidP="00FE29E6">
      <w:pPr>
        <w:spacing w:line="480" w:lineRule="auto"/>
        <w:jc w:val="both"/>
        <w:rPr>
          <w:rFonts w:ascii="Times New Roman" w:hAnsi="Times New Roman" w:cs="Times New Roman"/>
          <w:color w:val="000000" w:themeColor="text1"/>
          <w:sz w:val="28"/>
          <w:szCs w:val="28"/>
        </w:rPr>
      </w:pPr>
      <w:r w:rsidRPr="007C155A">
        <w:rPr>
          <w:rFonts w:ascii="Times New Roman" w:hAnsi="Times New Roman" w:cs="Times New Roman"/>
          <w:color w:val="000000" w:themeColor="text1"/>
          <w:sz w:val="28"/>
          <w:szCs w:val="28"/>
        </w:rPr>
        <w:t>6.1.3</w:t>
      </w:r>
      <w:r w:rsidRPr="007C155A">
        <w:rPr>
          <w:rFonts w:ascii="Times New Roman" w:hAnsi="Times New Roman" w:cs="Times New Roman"/>
          <w:color w:val="000000" w:themeColor="text1"/>
          <w:sz w:val="28"/>
          <w:szCs w:val="28"/>
        </w:rPr>
        <w:tab/>
      </w:r>
      <w:r w:rsidRPr="007C155A">
        <w:rPr>
          <w:rFonts w:ascii="Times New Roman" w:hAnsi="Times New Roman" w:cs="Times New Roman"/>
          <w:color w:val="000000" w:themeColor="text1"/>
          <w:sz w:val="28"/>
          <w:szCs w:val="28"/>
        </w:rPr>
        <w:tab/>
      </w:r>
      <w:r w:rsidRPr="007C155A">
        <w:rPr>
          <w:rFonts w:ascii="Times New Roman" w:hAnsi="Times New Roman" w:cs="Times New Roman"/>
          <w:i/>
          <w:color w:val="000000" w:themeColor="text1"/>
          <w:sz w:val="28"/>
          <w:szCs w:val="28"/>
        </w:rPr>
        <w:t xml:space="preserve">In situ </w:t>
      </w:r>
      <w:r w:rsidRPr="007C155A">
        <w:rPr>
          <w:rFonts w:ascii="Times New Roman" w:hAnsi="Times New Roman" w:cs="Times New Roman"/>
          <w:color w:val="000000" w:themeColor="text1"/>
          <w:sz w:val="28"/>
          <w:szCs w:val="28"/>
        </w:rPr>
        <w:t>analysis of the peptidoglycan chemistry</w:t>
      </w:r>
    </w:p>
    <w:p w:rsidR="00FE29E6" w:rsidRPr="007C155A" w:rsidRDefault="00FE29E6" w:rsidP="00FE29E6">
      <w:pPr>
        <w:spacing w:line="480" w:lineRule="auto"/>
        <w:jc w:val="both"/>
        <w:rPr>
          <w:rFonts w:ascii="Times New Roman" w:hAnsi="Times New Roman" w:cs="Times New Roman"/>
          <w:color w:val="000000" w:themeColor="text1"/>
          <w:sz w:val="24"/>
          <w:szCs w:val="24"/>
        </w:rPr>
      </w:pPr>
      <w:r w:rsidRPr="007C155A">
        <w:rPr>
          <w:rFonts w:ascii="Times New Roman" w:hAnsi="Times New Roman" w:cs="Times New Roman"/>
          <w:color w:val="000000" w:themeColor="text1"/>
          <w:sz w:val="24"/>
          <w:szCs w:val="24"/>
        </w:rPr>
        <w:t xml:space="preserve">The relationship between the peptidoglycan chemistry and architecture is unknown. Specific peptidoglycan moieties may be associated with architectural features, whilst the distribution of long and short glycan strands could be mechanically important for maintenance of cell shape. It has proven difficult to resolve individual glycan strands or peptide stems against the surrounding peptidoglycan network using non-differential techniques such as AFM and EM (Chapter 3 and 4;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{"citationID":"hn2h5m70h","properties":{"formattedCitation":"(Elliott et al., 1975; Giesbrecht et al., 1998; Firtel et al., 2004; Touhami et al., 2004; Hayhurst et al., 2008)","plainCitation":"(Elliott et al., 1975; Giesbrecht et al., 1998; Firtel et al., 2004; Touhami et al., 2004; Hayhurst et al., 2008)"},"citationItems":[{"id":238,"uris":["http://zotero.org/users/944474/items/XQXMXFAD"],"uri":["http://zotero.org/users/944474/items/XQXMXFAD"],"itemData":{"id":238,"type":"article-journal","title":"Ultrastructural study of the reversion of protoplasts of Bacillus licheniformis to bacilli","container-title":"Journal of bacteriology","page":"905-917","volume":"124","issue":"2","abstract":"The reversion of protoplasts of Bacillus licheniformis 6346 His- on a medium containing 2.5% agar has been studied in sectioned material after reaction with a ferritin-conjugated antibody specific to the peptidoglycan isolated from the walls of the bacilli. Freeze etching has also been used. Fibrils of material reacting with the antibody have been detected emerging from isolated areas of the protoplasts after 3 h of incubation. This material gradually covers the cell and can eventually (at 6 h) be seen in freeze-etched preparations as a fringe of up to 400 nm around the cells and covering the surfaces with particles that can be removed by lysozyme. At later stages the wall begins to take on a compact, well-defined appearance that can be seen in sections; however, the cells are still grossly deformed. A transitory emergence, beyond the wall of long fibers of 6 nm in diameter, takes place after about 12 h of incubation. These fibers react with the conjugated antibody and after freeze etching show a regular banded structure. They are probably indentical with the fibers isolated elsewhere (Elliott et al., 1975) and shown to contain all the wall constituents (i.e., peptidoglycan, teichoic acid, and teichuronic acid). These fibers are not detectable in the final stages of reversion.","note":"PMID: 1184577","journalAbbreviation":"J. Bacteriol.","author":[{"family":"Elliott","given":"T S"},{"family":"Ward","given":"J B"},{"family":"Wyrick","given":"P B"},{"family":"Rogers","given":"H J"}],"issued":{"year":1975,"month":11},"accessed":{"year":2012,"month":5,"day":21},"page-first":"905"}},{"id":44,"uris":["http://zotero.org/users/944474/items/CUPN6QRV"],"uri":["http://zotero.org/users/944474/items/CUPN6QRV"],"itemData":{"id":44,"type":"article-journal","title":"Staphylococcal cell wall: morphogenesis and fatal variations in the presence of penicillin","container-title":"Microbiology and Molecular Biology Reviews: MMBR","page":"1371-1414","volume":"62","issue":"4","abstract":"The primary goal of this review is to provide a compilation of the complex architectural features of staphylococcal cell walls and of some of their unusual morphogenetic traits including the utilization of murosomes and two different mechanisms of cell separation. Knowledge of these electron microscopic findings may serve as a prerequisite for a better understanding of the sophisticated events which lead to penicillin-induced death. For more than 50 years there have been controversial disputes about the mechanisms by which penicillin kills bacteria. Many hypotheses have tried to explain this fatal event biochemically and mainly via bacteriolysis. However, indications that penicillin-induced death of staphylococci results from overall biochemical defects or from a fatal attack of bacterial cell walls by bacteriolytic murein hydrolases were not been found. Rather, penicillin, claimed to trigger the activity of murein hydrolases, impaired autolytic wall enzymes of staphylococci. Electron microscopic investigations have meanwhile shown that penicillin-mediated induction of seemingly minute cross wall mistakes is the very reason for this killing. Such \"morphogenetic death\" taking place at predictable cross wall sites and at a predictable time is based on the initiation of normal cell separations in those staphylococci in which the completion of cross walls had been prevented by local penicillin-mediated impairment of the distribution of newly synthesized peptidoglycan; this death occurs because the high internal pressure of the protoplast abruptly kills such cells via ejection of some cytoplasm during attempted cell separation. An analogous fatal onset of cell partition is considered to take place without involvement of a detectable quantity of autolytic wall enzymes (\"mechanical cell separation\"). The most prominent feature of penicillin, the disintegration of bacterial cells via bacteriolysis, is shown to represent only a postmortem process resulting from shrinkage of dead cells and perturbation of the cytoplasmic membrane. Several schematic drawings have been included in this review to facilitate an understanding of the complex morphogenetic events.","note":"PMID: 9841676","shortTitle":"Staphylococcal cell wall","journalAbbreviation":"Microbiol. Mol. Biol. Rev.","author":[{"family":"Giesbrecht","given":"P"},{"family":"Kersten","given":"T"},{"family":"Maidhof","given":"H"},{"family":"Wecke","given":"J"}],"issued":{"year":1998,"month":12},"accessed":{"year":2012,"month":3,"day":6},"page-first":"1371"}},{"id":191,"uris":["http://zotero.org/users/944474/items/DJ87UIN2"],"uri":["http://zotero.org/users/944474/items/DJ87UIN2"],"itemData":{"id":191,"type":"article-journal","title":"Nanosurgery: observation of peptidoglycan strands in Lactobacillus helveticus cell walls","container-title":"Ultramicroscopy","page":"105-109","volume":"101","issue":"2-4","abstract":"The internal cell wall structure of the bacterium Lactobacillus helveticus has been observed in situ in aqueous solution using an atomic force microscope (AFM). The AFM tip was used not only for imaging but presumably to remove mechanically large patches of the outer cell wall after appropriate chemical treatment, which typically leaves the bacteria alive. The surface exposed after this \"surgery\" revealed approximately 26 nm thick twisted strands within the cell wall. The structure and location of the observed strands are consistent with the glycan backbone of peptidoglycan fibers that give strength to the cell wall. The structural organization of these fibers has not been observed previously.","DOI":"10.1016/j.ultramic.2004.05.009","note":"PMID: 15450655","shortTitle":"Nanosurgery","journalAbbreviation":"Ultramicroscopy","author":[{"family":"Firtel","given":"Max"},{"family":"Henderson","given":"Grant"},{"family":"Sokolov","given":"Igor"}],"issued":{"year":2004,"month":11},"accessed":{"year":2012,"month":5,"day":11},"page-first":"105"}},{"id":147,"uris":["http://zotero.org/users/944474/items/H8B2DIMV"],"uri":["http://zotero.org/users/944474/items/H8B2DIMV"],"itemData":{"id":147,"type":"article-journal","title":"Atomic force microscopy of cell growth and division in Staphylococcus aureus","container-title":"Journal of Bacteriology","page":"3286-3295","volume":"186","issue":"11","abstract":"The growth and division of Staphylococcus aureus was monitored by atomic force microscopy (AFM) and thin-section transmission electron microscopy (TEM). A good correlation of the structural events of division was found using the two microscopies, and AFM was able to provide new additional information. AFM was performed under water, ensuring that all structures were in the hydrated condition. Sequential images on the same structure revealed progressive changes to surfaces, suggesting the cells were growing while images were being taken. Using AFM small depressions were seen around the septal annulus at the onset of division that could be attributed to so-called murosomes (Giesbrecht et al., Arch. Microbiol. 141:315-324, 1985). The new cell wall formed from the cross wall (i.e., completed septum) after cell separation and possessed concentric surface rings and a central depression; these structures could be correlated to a midline of reactive material in the developing septum that was seen by TEM. The older wall, that which was not derived from a newly formed cross wall, was partitioned into two different surface zones, smooth and gel-like zones, with different adhesive properties that could be attributed to cell wall turnover. The new and old wall topographies are equated to possible peptidoglycan arrangements, but no conclusion can be made regarding the planar or scaffolding models.","DOI":"10.1128/JB.186.11.3286-3295.2004","note":"PMID: 15150213","journalAbbreviation":"J. Bacteriol.","author":[{"family":"Touhami","given":"Ahmed"},{"family":"Jericho","given":"Manfred H"},{"family":"Beveridge","given":"Terry J"}],"issued":{"year":2004,"month":6},"accessed":{"year":2012,"month":4,"day":22},"page-first":"3286"}},{"id":77,"uris":["http://zotero.org/users/944474/items/Z6IUFDEB"],"uri":["http://zotero.org/users/944474/items/Z6IUFDEB"],"itemData":{"id":77,"type":"article-journal","title":"Cell wall peptidoglycan architecture in Bacillus subtilis","container-title":"Proceedings of the National Academy of Sciences of the United States of America","page":"14603-14608","volume":"105","issue":"38","abstract":"The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w:instrText>
      </w:r>
      <w:r w:rsidRPr="007C155A">
        <w:rPr>
          <w:rFonts w:ascii="Times New Roman" w:hAnsi="Times New Roman" w:cs="Times New Roman"/>
          <w:color w:val="000000" w:themeColor="text1"/>
          <w:sz w:val="24"/>
          <w:szCs w:val="24"/>
          <w:lang w:val="de-DE"/>
        </w:rPr>
        <w:instrText xml:space="preserve">-linked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polymer.","DOI":"10.1073/pnas.0804138105","note":"PMID: 18784364","journalAbbreviation":"Proc. Natl. Acad. Sci. U.S.A.","author":[{"family":"Hayhurst","given":"Emma J"},{"family":"Kailas","given":"Lekshmi"},{"family":"Hobbs","given":"Jamie K"},{"family":"Foster","given":"Simon J"}],"issued":{"year":2008,"month":9,"day":23},"accessed":{"year":2012,"month":3,"day":7},"page-first":"14603"}}],"schema":"https://github.com/citation-style-language/schema/raw/master/csl-citation.json"}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lang w:val="de-DE"/>
        </w:rPr>
        <w:t xml:space="preserve">Elliott </w:t>
      </w:r>
      <w:r w:rsidRPr="0011411F">
        <w:rPr>
          <w:rFonts w:ascii="Times New Roman" w:hAnsi="Times New Roman" w:cs="Times New Roman"/>
          <w:i/>
          <w:color w:val="000000" w:themeColor="text1"/>
          <w:sz w:val="24"/>
          <w:lang w:val="de-DE"/>
        </w:rPr>
        <w:t>et al</w:t>
      </w:r>
      <w:r w:rsidRPr="007C155A">
        <w:rPr>
          <w:rFonts w:ascii="Times New Roman" w:hAnsi="Times New Roman" w:cs="Times New Roman"/>
          <w:color w:val="000000" w:themeColor="text1"/>
          <w:sz w:val="24"/>
          <w:lang w:val="de-DE"/>
        </w:rPr>
        <w:t xml:space="preserve">., 1975; Giesbrecht </w:t>
      </w:r>
      <w:r w:rsidRPr="0011411F">
        <w:rPr>
          <w:rFonts w:ascii="Times New Roman" w:hAnsi="Times New Roman" w:cs="Times New Roman"/>
          <w:i/>
          <w:color w:val="000000" w:themeColor="text1"/>
          <w:sz w:val="24"/>
          <w:lang w:val="de-DE"/>
        </w:rPr>
        <w:t>et al</w:t>
      </w:r>
      <w:r w:rsidRPr="007C155A">
        <w:rPr>
          <w:rFonts w:ascii="Times New Roman" w:hAnsi="Times New Roman" w:cs="Times New Roman"/>
          <w:color w:val="000000" w:themeColor="text1"/>
          <w:sz w:val="24"/>
          <w:lang w:val="de-DE"/>
        </w:rPr>
        <w:t xml:space="preserve">., 1998; Firtel </w:t>
      </w:r>
      <w:r w:rsidRPr="0011411F">
        <w:rPr>
          <w:rFonts w:ascii="Times New Roman" w:hAnsi="Times New Roman" w:cs="Times New Roman"/>
          <w:i/>
          <w:color w:val="000000" w:themeColor="text1"/>
          <w:sz w:val="24"/>
          <w:lang w:val="de-DE"/>
        </w:rPr>
        <w:t>et al</w:t>
      </w:r>
      <w:r w:rsidRPr="007C155A">
        <w:rPr>
          <w:rFonts w:ascii="Times New Roman" w:hAnsi="Times New Roman" w:cs="Times New Roman"/>
          <w:color w:val="000000" w:themeColor="text1"/>
          <w:sz w:val="24"/>
          <w:lang w:val="de-DE"/>
        </w:rPr>
        <w:t xml:space="preserve">., 2004; Touhami </w:t>
      </w:r>
      <w:r w:rsidRPr="0011411F">
        <w:rPr>
          <w:rFonts w:ascii="Times New Roman" w:hAnsi="Times New Roman" w:cs="Times New Roman"/>
          <w:i/>
          <w:color w:val="000000" w:themeColor="text1"/>
          <w:sz w:val="24"/>
          <w:lang w:val="de-DE"/>
        </w:rPr>
        <w:t>et al</w:t>
      </w:r>
      <w:r w:rsidRPr="007C155A">
        <w:rPr>
          <w:rFonts w:ascii="Times New Roman" w:hAnsi="Times New Roman" w:cs="Times New Roman"/>
          <w:color w:val="000000" w:themeColor="text1"/>
          <w:sz w:val="24"/>
          <w:lang w:val="de-DE"/>
        </w:rPr>
        <w:t xml:space="preserve">., 2004; Hayhurst </w:t>
      </w:r>
      <w:r w:rsidRPr="0011411F">
        <w:rPr>
          <w:rFonts w:ascii="Times New Roman" w:hAnsi="Times New Roman" w:cs="Times New Roman"/>
          <w:i/>
          <w:color w:val="000000" w:themeColor="text1"/>
          <w:sz w:val="24"/>
          <w:lang w:val="de-DE"/>
        </w:rPr>
        <w:t>et al</w:t>
      </w:r>
      <w:r w:rsidRPr="007C155A">
        <w:rPr>
          <w:rFonts w:ascii="Times New Roman" w:hAnsi="Times New Roman" w:cs="Times New Roman"/>
          <w:color w:val="000000" w:themeColor="text1"/>
          <w:sz w:val="24"/>
          <w:lang w:val="de-DE"/>
        </w:rPr>
        <w:t>., 2008)</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lang w:val="de-DE"/>
        </w:rPr>
        <w:t xml:space="preserve">. </w:t>
      </w:r>
      <w:r w:rsidRPr="007C155A">
        <w:rPr>
          <w:rFonts w:ascii="Times New Roman" w:hAnsi="Times New Roman" w:cs="Times New Roman"/>
          <w:color w:val="000000" w:themeColor="text1"/>
          <w:sz w:val="24"/>
          <w:szCs w:val="24"/>
        </w:rPr>
        <w:t>The organisation of the peptidoglycan network has proven too complex to elucidate by observing hydrolysis of sacculi with lysostaphin (</w:t>
      </w:r>
      <w:r w:rsidRPr="007C155A">
        <w:rPr>
          <w:rFonts w:ascii="Times New Roman" w:hAnsi="Times New Roman" w:cs="Times New Roman"/>
          <w:i/>
          <w:color w:val="000000" w:themeColor="text1"/>
          <w:sz w:val="24"/>
          <w:szCs w:val="24"/>
        </w:rPr>
        <w:t>S. aureus)</w:t>
      </w:r>
      <w:r w:rsidRPr="007C155A">
        <w:rPr>
          <w:rFonts w:ascii="Times New Roman" w:hAnsi="Times New Roman" w:cs="Times New Roman"/>
          <w:color w:val="000000" w:themeColor="text1"/>
          <w:sz w:val="24"/>
          <w:szCs w:val="24"/>
        </w:rPr>
        <w:t>, lysozyme or amidase (</w:t>
      </w:r>
      <w:r w:rsidRPr="007C155A">
        <w:rPr>
          <w:rFonts w:ascii="Times New Roman" w:hAnsi="Times New Roman" w:cs="Times New Roman"/>
          <w:i/>
          <w:color w:val="000000" w:themeColor="text1"/>
          <w:sz w:val="24"/>
          <w:szCs w:val="24"/>
        </w:rPr>
        <w:t>E. coli</w:t>
      </w:r>
      <w:r w:rsidRPr="007C155A">
        <w:rPr>
          <w:rFonts w:ascii="Times New Roman" w:hAnsi="Times New Roman" w:cs="Times New Roman"/>
          <w:color w:val="000000" w:themeColor="text1"/>
          <w:sz w:val="24"/>
          <w:szCs w:val="24"/>
        </w:rPr>
        <w:t xml:space="preserve">)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{"citationID":"1c0dlddepj","properties":{"formattedCitation":"(Francius et al., 2008)","plainCitation":"(Francius et al., 2008)"},"citationItems":[{"id":453,"uris":["http://zotero.org/users/944474/items/ZVMW553T"],"uri":["http://zotero.org/users/944474/items/ZVMW553T"],"itemData":{"id":453,"type":"article-journal","title":"Direct observation of Staphylococcus aureus cell wall digestion by lysostaphin","container-title":"Journal of bacteriology","page":"7904-7909","volume":"190","issue":"24","abstract":"The advent of Staphylococcus aureus strains that are resistant to virtually all antibiotics has increased the need for new antistaphylococcal agents. An example of such a potential therapeutic is lysostaphin, an enzyme that specifically cleaves the S. aureus peptidoglycan, thereby lysing the bacteria. Here we tracked over time the structural and physical dynamics of single S. aureus cells exposed to lysostaphin, using atomic force microscopy. Topographic images of native cells revealed a smooth surface morphology decorated with concentric rings attributed to newly formed peptidoglycan. Time-lapse images collected following addition of lysostaphin revealed major structural changes in the form of cell swelling, splitting of the septum, and creation of nanoscale perforations. Notably, treatment of the cells with lysostaphin was also found to decrease the bacterial spring constant and the cell wall stiffness, demonstrating that structural changes were correlated with major differences in cell wall nanomechanical properties. We interpret these modifications as resulting from the digestion of peptidoglycan by lysostaphin, eventually leading to the formation of osmotically fragile cells. This study provides new insight into the lytic activity of lysostaphin and offers promising prospects for the study of new antistaphylococcal agents.","DOI":"10.1128/JB.01116-08","note":"PMID: 18835985","journalAbbreviation":"J. Bacteriol.","author":[{"family":"Francius","given":"Grégory"},{"family":"Domenech","given":"Oscar"},{"family":"Mingeot-Leclercq","given":"Marie Paule"},{"family":"Dufrêne","given":"Yves F"}],"issued":{"year":2008,"month":12},"accessed":{"year":2012,"month":6,"day":15},"page-first":"7904"}}],"schema":"https://github.com/citation-style-language/schema/raw/master/csl-citation.json"}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rPr>
        <w:t xml:space="preserve">(Francius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2008</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 xml:space="preserve">; Turner and Foster, unpublished data). Interweaving of glycan strands in three dimensions may preclude observation of complete glycan strands </w:t>
      </w:r>
      <w:r w:rsidRPr="007C155A">
        <w:rPr>
          <w:rFonts w:ascii="Times New Roman" w:hAnsi="Times New Roman" w:cs="Times New Roman"/>
          <w:i/>
          <w:color w:val="000000" w:themeColor="text1"/>
          <w:sz w:val="24"/>
          <w:szCs w:val="24"/>
        </w:rPr>
        <w:t>in situ</w:t>
      </w:r>
      <w:r w:rsidRPr="007C155A">
        <w:rPr>
          <w:rFonts w:ascii="Times New Roman" w:hAnsi="Times New Roman" w:cs="Times New Roman"/>
          <w:color w:val="000000" w:themeColor="text1"/>
          <w:sz w:val="24"/>
          <w:szCs w:val="24"/>
        </w:rPr>
        <w:t xml:space="preserve">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{"citationID":"16gsrdmf9","properties":{"formattedCitation":"(Gan et al., 2008)","plainCitation":"(Gan et al., 2008)"},"citationItems":[{"id":175,"uris":["http://zotero.org/users/944474/items/QMKJ7NXX"],"uri":["http://zotero.org/users/944474/items/QMKJ7NXX"],"itemData":{"id":175,"type":"article-journal","title":"Molecular organization of Gram-negative peptidoglycan","container-title":"Proceedings of the National Academy of Sciences of the United States of America","page":"18953-18957","volume":"105","issue":"48","abstract":"The stress-bearing component of the bacterial cell wall--a multi-gigadalton bag-like molecule called the sacculus--is synthesized from peptidoglycan. Whereas the chemical composition and the 3-dimensional structure of the peptidoglycan subunit (in at least one conformation) are known, the architecture of the assembled sacculus is not. Four decades' worth of biochemical and electron microscopy experiments have resulted in two leading 3-D peptidoglycan models: \"Layered\" and \"Scaffold\", in which the glycan strands are parallel and perpendicular to the cell surface, respectively. Here we resolved the basic architecture of purified, frozen-hydrated sacculi through electron cryotomography. In the Gram-negative sacculus, a single layer of glycans lie parallel to the cell surface, roughly perpendicular to the long axis of the cell, encircling the cell in a disorganized hoop-like fashion.","DOI":"10.1073/pnas.0808035105","note":"PMID: 19033194","journalAbbreviation":"Proc. Natl. Acad. Sci. U.S.A.","author":[{"family":"Gan","given":"Lu"},{"family":"Chen","given":"Songye"},{"family":"Jensen","given":"Grant J"}],"issued":{"year":2008,"month":12,"day":2},"accessed":{"year":2012,"month":5,"day":9},"page-first":"18953"}}],"schema":"https://github.com/citation-style-language/schema/raw/master/csl-citation.json"}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rPr>
        <w:t xml:space="preserve">(Gan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2008)</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 xml:space="preserve">. Furthermore, the peptidoglycan architecture may comprise complex  quaternary structures such as cables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{"citationID":"1skbkjbbvl","properties":{"formattedCitation":"(Hayhurst et al., 2008; Andre et al., 2010)","plainCitation":"(Hayhurst et al., 2008; Andre et al., 2010)"},"citationItems":[{"id":77,"uris":["http://zotero.org/users/944474/items/Z6IUFDEB"],"uri":["http://zotero.org/users/944474/items/Z6IUFDEB"],"itemData":{"id":77,"type":"article-journal","title":"Cell wall peptidoglycan architecture in Bacillus subtilis","container-title":"Proceedings of the National Academy of Sciences of the United States of America","page":"14603-14608","volume":"105","issue":"38","abstract":"The bacterial cell wall is essential for viability and shape determination. Cell wall structural dynamics allowing growth and division, while maintaining integrity is a basic problem governing the life of bacteria. The polymer peptidoglycan is the main structural component for most bacteria and is made up of glycan strands that are cross-linked by peptide side chains. Despite study and speculation over many years, peptidoglycan architecture has remained largely elusive. Here, we show that the model rod-shaped bacterium Bacillus subtilis has glycan strands up to 5 microm, longer than the cell itself and 50 times longer than previously proposed. Atomic force microscopy revealed the glycan strands to be part of a peptidoglycan architecture allowing cell growth and division. The inner surface of the cell wall has a regular macrostructure with approximately 50 nm-wide peptidoglycan cables [average 53 +/- 12 nm (n = 91)] running basically across the short axis of the cell. Cross striations with an average periodicity of 25 +/- 9 nm (n = 96) along each cable are also present. The fundamental cabling architecture is also maintained during septal development as part of cell division. We propose a coiled-coil model for peptidoglycan architecture encompassing our data and recent evidence concerning the biosynthetic machinery for this essential polymer.","DOI":"10.1073/pnas.0804138105","note":"PMID: 18784364","journalAbbreviation":"Proc. Natl. Acad. Sci. U.S.A.","author":[{"family":"Hayhurst","given":"Emma J"},{"family":"Kailas","given":"Lekshmi"},{"family":"Hobbs","given":"Jamie K"},{"family":"Foster","given":"Simon J"}],"issued":{"year":2008,"month":9,"day":23},"accessed":{"year":2012,"month":3,"day":7},"page-first":"14603"}},{"id":92,"uris":["http://zotero.org/users/944474/items/HJM9TTUJ"],"uri":["http://zotero.org/users/944474/items/HJM9TTUJ"],"itemData":{"id":92,"type":"article-journal","title":"Imaging the nanoscale organization of peptidoglycan in living Lactococcus lactis cells","container-title":"Nature Communications","page":"27","volume":"1","abstract":"The spatial organization of peptidoglycan, the major constituent of bacterial cell-walls, is an important, yet still unsolved issue in microbiology. In this paper, we show that the combined use of atomic force microscopy and cell wall mutants is a powerful platform for probing the nanoscale architecture of cell wall peptidoglycan in living Gram-positive bacteria. Using topographic imaging, we found that Lactococcus lactis wild-type cells display a smooth, featureless surface morphology, whereas mutant strains lacking cell wall exopolysaccharides feature 25-nm-wide periodic bands running parallel to the short axis of the cell. In addition, we used single-molecule recognition imaging to show that parallel bands are made of peptidoglycan. Our data, obtained for the first time on living ovococci, argue for an architectural feature of the cell wall in the plane perpendicular to the long axis of the cell. The non-invasive live cell experiments presented here open new avenues for understanding the architecture and assembly of peptidoglycan in Gram-positive bacteria.","DOI":"10.1038/ncomms1027","note":"PMID: 20975688","journalAbbreviation":"Nat Commun","author":[{"family":"Andre","given":"Guillaume"},{"family":"Kulakauskas","given":"Saulius"},{"family":"Chapot-Chartier","given":"Marie-Pierre"},{"family":"Navet","given":"Benjamine"},{"family":"Deghorain","given":"Marie"},{"family":"Bernard","given":"Elvis"},{"family":"Hols","given":"Pascal"},{"family":"Dufrêne","given":"Yves F"}],"issued":{"year":2010},"accessed":{"year":2012,"month":4,"day":2},"page-first":"27"}}],"schema":"https://github.com/citation-style-language/schema/raw/master/csl-citation.json"}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rPr>
        <w:t xml:space="preserve">(Hayhurst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xml:space="preserve">., 2008; Andre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2010)</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 xml:space="preserve">. </w:t>
      </w:r>
    </w:p>
    <w:p w:rsidR="00FE29E6" w:rsidRPr="007C155A" w:rsidRDefault="00FE29E6" w:rsidP="00FE29E6">
      <w:pPr>
        <w:spacing w:line="480" w:lineRule="auto"/>
        <w:jc w:val="both"/>
        <w:rPr>
          <w:rFonts w:ascii="Times New Roman" w:hAnsi="Times New Roman" w:cs="Times New Roman"/>
          <w:color w:val="000000" w:themeColor="text1"/>
          <w:sz w:val="24"/>
          <w:szCs w:val="24"/>
        </w:rPr>
      </w:pPr>
      <w:r w:rsidRPr="007C155A">
        <w:rPr>
          <w:rFonts w:ascii="Times New Roman" w:hAnsi="Times New Roman" w:cs="Times New Roman"/>
          <w:color w:val="000000" w:themeColor="text1"/>
          <w:sz w:val="24"/>
          <w:szCs w:val="24"/>
        </w:rPr>
        <w:t xml:space="preserve">It may be possible to observe the chemical topology of the sacculus </w:t>
      </w:r>
      <w:r w:rsidRPr="007C155A">
        <w:rPr>
          <w:rFonts w:ascii="Times New Roman" w:hAnsi="Times New Roman" w:cs="Times New Roman"/>
          <w:i/>
          <w:color w:val="000000" w:themeColor="text1"/>
          <w:sz w:val="24"/>
          <w:szCs w:val="24"/>
        </w:rPr>
        <w:t>in situ</w:t>
      </w:r>
      <w:r w:rsidRPr="007C155A">
        <w:rPr>
          <w:rFonts w:ascii="Times New Roman" w:hAnsi="Times New Roman" w:cs="Times New Roman"/>
          <w:color w:val="000000" w:themeColor="text1"/>
          <w:sz w:val="24"/>
          <w:szCs w:val="24"/>
        </w:rPr>
        <w:t xml:space="preserve"> by differential labelling with fluorescent probes, however, it has been noted that large molecules cannot access the cross-wall compartment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{"citationID":"2bak46k0nb","properties":{"formattedCitation":"(Pinho and Errington, 2003; DeDent et al., 2008)","plainCitation":"(Pinho and Errington, 2003; DeDent et al., 2008)"},"citationItems":[{"id":42,"uris":["http://zotero.org/users/944474/items/7VW7ZGTG"],"uri":["http://zotero.org/users/944474/items/7VW7ZGTG"],"itemData":{"id":42,"type":"article-journal","title":"Dispersed mode of Staphylococcus aureus cell wall synthesis in the absence of the division machinery","container-title":"Molecular Microbiology","page":"871-881","volume":"50","issue":"3","abstract":"We have developed several new fluorescent staining procedures that enabled us to study the synthesis of cell wall material in the spherical Gram-positive bacterium Staphylococcus aureus. The results obtained support previous proposals that these cells synthesize new wall material specifically at cell division sites, in the form of a flat circular plate that is subsequently cleaved and remodelled to produce the new hemispherical poles of the daughter cells. We have shown that formation of the septal peptidoglycan is dependent on the key cell division protein FtsZ, which recruits penicillin-binding protein (PBP) 2. Unexpectedly, in FtsZ-depleted cells, the cell wall synthetic machinery becomes dispersed and new wall material is made in dispersed patches over the entire surface of the cells, which increase in volume by up to eightfold before lysing. The results have implications for understanding the nature of S. aureus morphogenesis and for inhibitors of cell division proteins as drug targets.","note":"PMID: 14617148","journalAbbreviation":"Mol. Microbiol.","author":[{"family":"Pinho","given":"Mariana G"},{"family":"Errington","given":"Jeff"}],"issued":{"year":2003,"month":11},"accessed":{"year":2012,"month":3,"day":6},"page-first":"871"}},{"id":657,"uris":["http://zotero.org/users/944474/items/8KE4KFCD"],"uri":["http://zotero.org/users/944474/items/8KE4KFCD"],"itemData":{"id":657,"type":"article-journal","title":"Signal peptides direct surface proteins to two distinct envelope locations of Staphylococcus aureus","container-title":"The EMBO journal","page":"2656-2668","volume":"27","issue":"20","abstract":"Surface proteins of Gram-positive bacteria are covalently linked to the cell wall envelope by a mechanism requiring an N-terminal signal peptide and a C-terminal LPXTG motif sorting signal. We show here that surface proteins of Staphylococcus aureus arrive at two distinct destinations in the bacterial envelope, either distributed as a ring surrounding each cell or as discrete assembly sites. Proteins with ring-like distribution (clumping factor A (ClfA), Spa, fibronectin-binding protein B (FnbpB), serine-aspartate repeat protein C (SdrC) and SdrD) harbour signal peptides with a YSIRK/GS motif, whereas proteins directed to discrete assembly sites (S. aureus surface protein A (SasA), SasD, SasF and SasK) do not. Reciprocal exchange of signal peptides between surface proteins with (ClfA) or without the YSIRK/GS motif (SasF) directed recombinant products to the alternate destination, whereas mutations that altered only the YSIRK sequence had no effect. Our observations suggest that S. aureus distinguishes between signal peptides to address proteins to either the cell pole (signal peptides without YSIRK/GS) or the cross wall, the peptidoglycan layer that forms during cell division to separate new daughter cells (signal peptides with YISRK/GS motif).","DOI":"10.1038/emboj.2008.185","note":"PMID: 18800056","journalAbbreviation":"EMBO J.","author":[{"family":"DeDent","given":"Andrea"},{"family":"Bae","given":"Taeok"},{"family":"Missiakas","given":"Dominique M"},{"family":"Schneewind","given":"Olaf"}],"issued":{"year":2008,"month":10,"day":22},"accessed":{"year":2012,"month":7,"day":6},"page-first":"2656"}}],"schema":"https://github.com/citation-style-language/schema/raw/master/csl-citation.json"}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rPr>
        <w:t xml:space="preserve">(Pinho and Errington, 2003; DeDent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2008)</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 xml:space="preserve">, and may not penetrate the nascent cross-wall even after daughter cell separation (Chapter 4). Hydrolytic permeabilisation of the cell wall may improve </w:t>
      </w:r>
      <w:r w:rsidRPr="007C155A">
        <w:rPr>
          <w:rFonts w:ascii="Times New Roman" w:hAnsi="Times New Roman" w:cs="Times New Roman"/>
          <w:color w:val="000000" w:themeColor="text1"/>
          <w:sz w:val="24"/>
          <w:szCs w:val="24"/>
        </w:rPr>
        <w:lastRenderedPageBreak/>
        <w:t xml:space="preserve">access, but degrades the native cell wall architecture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{"citationID":"24pfqo80r4","properties":{"formattedCitation":"(Lawson et al., 2011; Steele et al., 2011)","plainCitation":"(Lawson et al., 2011; Steele et al., 2011)"},"citationItems":[{"id":437,"uris":["http://zotero.org/users/944474/items/MHS7KJ97"],"uri":["http://zotero.org/users/944474/items/MHS7KJ97"],"itemData":{"id":437,"type":"article-journal","title":"Detection of Staphylococcus aureus with a fluorescence in situ hybridization that does not require lysostaphin","container-title":"Journal of clinical laboratory analysis","page":"142-147","volume":"25","issue":"2","abstract":"To detect with whole-cell fluorescence in situ hybridization (FISH), Staphylococcus aureus is typically permeabilized with lysozyme and lysostaphin. We tested whether it was feasible to detect S. aureus and differentiate it from Staphylococcus epidermidis with lysozyme-only permeabilization. We compared lysozyme permeabilization to S. aureus permeabilized with lysozyme in combination with lysostaphin. It was determined that S. aureus treated with agarose, methanol, and lysozyme could be detected with FISH. The 1  hr protocol is a useful alternative to conventional FISH.","DOI":"10.1002/jcla.20448","note":"PMID: 21438009","journalAbbreviation":"J. Clin. Lab. Anal.","author":[{"family":"Lawson","given":"Thomas S"},{"family":"Connally","given":"Russell E"},{"family":"Iredell","given":"Jonathan R"},{"family":"Vemulpad","given":"Subramanyam"},{"family":"Piper","given":"James A"}],"issued":{"year":2011},"accessed":{"year":2012,"month":6,"day":13},"page-first":"142"}},{"id":438,"uris":["http://zotero.org/users/944474/items/C8PZETJC"],"uri":["http://zotero.org/users/944474/items/C8PZETJC"],"itemData":{"id":438,"type":"article-journal","title":"Multiple essential roles for EzrA in cell division of Staphylococcus aureus","container-title":"Molecular microbiology","page":"542-555","volume":"80","issue":"2","abstract":"In Bacillus subtilis, EzrA is involved in preventing aberrant formation of FtsZ rings and has also been implicated in the localization cycle of Pbp1. We have identified the orthologue of EzrA in Staphylococcus aureus to be essential for growth and cell division in this organism. Phenotypic analyses following titration of EzrA levels in S. aureus have shown that the protein is required for peptidoglycan synthesis as well as for assembly of the divisome at the midcell and cytokinesis. Protein interaction studies revealed that EzrA forms a complex with both the cytoplasmic components of the division machinery and those with periplasmic domains, suggesting that EzrA may be a scaffold molecule permitting the assembly of the division complex and forming an interface between the cytoplasmic cytoskeletal element FtsZ and the peptidoglycan biosynthetic apparatus active in the periplasm.","DOI":"10.1111/j.1365-2958.2011.07591.x","note":"PMID: 21401734","journalAbbreviation":"Mol. Microbiol.","author":[{"family":"Steele","given":"Victoria R"},{"family":"Bottomley","given":"Amy L"},{"family":"Garcia-Lara","given":"Jorge"},{"family":"Kasturiarachchi","given":"Jagath"},{"family":"Foster","given":"Simon J"}],"issued":{"year":2011,"month":4},"accessed":{"year":2012,"month":6,"day":13},"page-first":"542"}}],"schema":"https://github.com/citation-style-language/schema/raw/master/csl-citation.json"}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rPr>
        <w:t xml:space="preserve">(Lawson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xml:space="preserve">., 2011; Steele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2011)</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 xml:space="preserve">. In the present study, we identified two small fluorescent probes with improved peptidoglycan infiltration. Of particular note, putative covalent labelling of glycan strand termini with a hydroxylamine probe could be used to address the distribution of glycan strands in the sacculus, or the dynamics of glycan strand hydrolysis. Alternative labelling approaches may expand the range of targets for </w:t>
      </w:r>
      <w:r w:rsidRPr="007C155A">
        <w:rPr>
          <w:rFonts w:ascii="Times New Roman" w:hAnsi="Times New Roman" w:cs="Times New Roman"/>
          <w:i/>
          <w:color w:val="000000" w:themeColor="text1"/>
          <w:sz w:val="24"/>
          <w:szCs w:val="24"/>
        </w:rPr>
        <w:t>in situ</w:t>
      </w:r>
      <w:r w:rsidRPr="007C155A">
        <w:rPr>
          <w:rFonts w:ascii="Times New Roman" w:hAnsi="Times New Roman" w:cs="Times New Roman"/>
          <w:color w:val="000000" w:themeColor="text1"/>
          <w:sz w:val="24"/>
          <w:szCs w:val="24"/>
        </w:rPr>
        <w:t xml:space="preserve"> analysis. </w:t>
      </w:r>
      <w:r w:rsidRPr="007C155A">
        <w:rPr>
          <w:rFonts w:ascii="Times New Roman" w:hAnsi="Times New Roman" w:cs="Times New Roman"/>
          <w:color w:val="000000" w:themeColor="text1"/>
          <w:sz w:val="16"/>
          <w:szCs w:val="16"/>
        </w:rPr>
        <w:t>D</w:t>
      </w:r>
      <w:r w:rsidRPr="007C155A">
        <w:rPr>
          <w:rFonts w:ascii="Times New Roman" w:hAnsi="Times New Roman" w:cs="Times New Roman"/>
          <w:color w:val="000000" w:themeColor="text1"/>
          <w:sz w:val="24"/>
          <w:szCs w:val="24"/>
        </w:rPr>
        <w:t xml:space="preserve">-cysteine can be incorporated at position four or five of the peptide stem, permitting labelling with small thiol-reactive probes such as fluorescent maleimides or iodacetamides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{"citationID":"1ah2t8kp6f","properties":{"formattedCitation":"(de Pedro et al., 1997; Vinatier et al., 2009)","plainCitation":"(de Pedro et al., 1997; Vinatier et al., 2009)"},"citationItems":[{"id":416,"uris":["http://zotero.org/users/944474/items/SV2TZA6T"],"uri":["http://zotero.org/users/944474/items/SV2TZA6T"],"itemData":{"id":416,"type":"article-journal","title":"Murein segregation in Escherichia coli","container-title":"Journal of bacteriology","page":"2823-2834","volume":"179","issue":"9","abstract":"Peptidoglycan (murein) segregation has been studied by means of a new labeling method. The method relies on the ability of Escherichia coli cells to incorporate D-Cys into macromolecular murein. The incorporation depends on a periplasmic amino acid exchange reaction. At low concentrations, D-Cys is innocuous to the cell. The distribution of modified murein in purified sacculi can be traced and visualized by immunodetection of the -SH groups by fluorescence and electron microscopy techniques. Analysis of murein segregation in wild-type and cell division mutant strains revealed that murein in polar caps is metabolically inert and is segregated in a conservative fashion. Elongation of the sacculus apparently occurs by diffuse insertion of precursors over the cylindrical part of the cell surface. At the initiation of cell division, there is a FtsZ-dependent localized activation of murein synthesis at the potential division sites. Penicillin-binding protein 3 and the products of the division genes ftsA and ftsQ are dispensable for the activation of division sites. As a consequence, under restrictive conditions ftsA,ftsI,or ftsQ mutants generate filamentous sacculi with rings of all-new murein at the positions where septa would otherwise develop.","note":"PMID: 9139895","journalAbbreviation":"J. Bacteriol.","author":[{"family":"de Pedro","given":"M A"},{"family":"Quintela","given":"J C"},{"family":"Höltje","given":"J V"},{"family":"Schwarz","given":"H"}],"issued":{"year":1997,"month":5},"accessed":{"year":2012,"month":6,"day":12},"page-first":"2823"}},{"id":429,"uris":["http://zotero.org/users/944474/items/6FWKJBX5"],"uri":["http://zotero.org/users/944474/items/6FWKJBX5"],"itemData":{"id":429,"type":"article-journal","title":"In vitro biosynthesis of bacterial peptidoglycan using D-Cys-containing precursors: fluorescent detection of transglycosylation and transpeptidation","container-title":"Chemical communications (Cambridge, England)","page":"4037-4039","issue":"27","abstract":"Peptidoglycan precursors containing D-Cys at position 4 were polymerised to form a synthetic peptidoglycan layer, which could be fluorescently labelled, providing a new method to monitor peptidoglycan transglycosylation and transpeptidation.","DOI":"10.1039/b819869a","note":"PMID: 19568625","shortTitle":"In vitro biosynthesis of bacterial peptidoglycan using D-Cys-containing precursors","journalAbbreviation":"Chem. Commun. (Camb.)","author":[{"family":"Vinatier","given":"Virginie"},{"family":"Blakey","given":"Carl B"},{"family":"Braddick","given":"Darren"},{"family":"Johnson","given":"Benjamin R G"},{"family":"Evans","given":"Stephen D"},{"family":"Bugg","given":"Timothy D H"}],"issued":{"year":2009,"month":7,"day":21},"accessed":{"year":2012,"month":6,"day":12},"page-first":"4037"}}],"schema":"https://github.com/citation-style-language/schema/raw/master/csl-citation.json"}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rPr>
        <w:t xml:space="preserve">(de Pedro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xml:space="preserve">., 1997; Vinatier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2009)</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 This approach was previously used to detect</w:t>
      </w:r>
      <w:r w:rsidRPr="007C155A">
        <w:rPr>
          <w:rFonts w:ascii="Times New Roman" w:hAnsi="Times New Roman" w:cs="Times New Roman"/>
          <w:i/>
          <w:color w:val="000000" w:themeColor="text1"/>
          <w:sz w:val="24"/>
          <w:szCs w:val="24"/>
        </w:rPr>
        <w:t xml:space="preserve"> in vitro</w:t>
      </w:r>
      <w:r w:rsidRPr="007C155A">
        <w:rPr>
          <w:rFonts w:ascii="Times New Roman" w:hAnsi="Times New Roman" w:cs="Times New Roman"/>
          <w:color w:val="000000" w:themeColor="text1"/>
          <w:sz w:val="24"/>
          <w:szCs w:val="24"/>
        </w:rPr>
        <w:t xml:space="preserve"> formation of transglycosylation and transpeptidation products using </w:t>
      </w:r>
      <w:r w:rsidRPr="007C155A">
        <w:rPr>
          <w:rFonts w:ascii="Times New Roman" w:hAnsi="Times New Roman" w:cs="Times New Roman"/>
          <w:i/>
          <w:color w:val="000000" w:themeColor="text1"/>
          <w:sz w:val="24"/>
          <w:szCs w:val="24"/>
        </w:rPr>
        <w:t>E. coli</w:t>
      </w:r>
      <w:r w:rsidRPr="007C155A">
        <w:rPr>
          <w:rFonts w:ascii="Times New Roman" w:hAnsi="Times New Roman" w:cs="Times New Roman"/>
          <w:color w:val="000000" w:themeColor="text1"/>
          <w:sz w:val="24"/>
          <w:szCs w:val="24"/>
        </w:rPr>
        <w:t xml:space="preserve"> membrane preparations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{"citationID":"1vos0jlvt5","properties":{"formattedCitation":"(Haugland, 2005; Schouten et al., 2006; Vinatier et al., 2009)","plainCitation":"(Haugland, 2005; Schouten et al., 2006; Vinatier et al., 2009)"},"citationItems":[{"id":436,"uris":["http://zotero.org/users/944474/items/4D9QZFGV"],"uri":["http://zotero.org/users/944474/items/4D9QZFGV"],"itemData":{"id":436,"type":"book","title":"The handbook : a guide to fluorescent probes and labeling technologies","publisher":"Invitogen Corp.","publisher-place":"Carlsbad, California","event-place":"Carlsbad, California","ISBN":"0971063648 9780971063648 9780982927915 0982927916","shortTitle":"The handbook","language":"English","author":[{"family":"Haugland","given":"Richard P"}],"issued":{"year":2005}}},{"id":425,"uris":["http://zotero.org/users/944474/items/V27XRV7V"],"uri":["http://zotero.org/users/944474/items/V27XRV7V"],"itemData":{"id":425,"type":"article-journal","title":"Fluorescent reagents for in vitro studies of lipid-linked steps of bacterial peptidoglycan biosynthesis: derivatives of UDPMurNAc-pentapeptide containing d-cysteine at position 4 or 5","container-title":"Molecular bioSystems","page":"484-491","volume":"2","issue":"10","abstract":"UDPMurNAc-L-Ala-gamma-D-Glu-X-D-Ala-DAla (X = L-Lys or m-DAP) is the cytoplasmic precursor for the lipid-linked cycle of bacterial peptidoglycan biosynthesis, consisting of at least four enzymatic reactions, which are targets for antibacterial agents. Fluorescent derivatives of the UDPMurNAc-pentapeptide labelled at the 3rd, 4th, and 5th position of the peptide chain were prepared chemoenzymatically, in order to study the reactions catalysed by enzymes in this cycle. Derivatives labelled on the epsilon-amino group of the 3rd amino acid (N-dansyl, N-fluorescamine and N-phthalaldehyde) were prepared by chemical modification. Two methods were developed for preparation of analogues of UDPMurNAc-pentapeptide containing D-cysteine at position 4 or 5: either by MurF-catalysed ligation of the UDPMurNAc-tripeptide to synthetic D-Ala-D-Cys or D-Cys-D-Ala dipeptides; or by enzymatic synthesis of D-Ala-D-Cys by ligase VanD. D-Cys-containing UDPMurNAc-pentapeptides were labelled with pyrene maleimide, to give 4-pyrene and 5-pyrene labelled derivatives. The fluorescent UDPMurNAc-pentapeptides were processed as substrates by Escherichia coli MraY or E. coli membranes, giving 1.5-150-fold changes in fluorescence upon transformation to lipid intermediate I. Subsequent processing to lipid intermediate II gave rise only to small changes in fluorescence. Pyrene-labelled lipid intermediates I and II can be generated using Micrococcus flavus membranes, enabling the study of the later lipid-linked steps.","DOI":"10.1039/b607908c","note":"PMID: 17216029","shortTitle":"Fluorescent reagents for in vitro studies of lipid-linked steps of bacterial peptidoglycan biosynthesis","journalAbbreviation":"Mol Biosyst","author":[{"family":"Schouten","given":"James A"},{"family":"Bagga","given":"Sangeev"},{"family":"Lloyd","given":"Adrian J"},{"family":"de Pascale","given":"Gianfranco"},{"family":"Dowson","given":"Christopher G"},{"family":"Roper","given":"David I"},{"family":"Bugg","given":"Timothy D H"}],"issued":{"year":2006,"month":10},"accessed":{"year":2012,"month":6,"day":12},"page-first":"484"}},{"id":429,"uris":["http://zotero.org/users/944474/items/6FWKJBX5"],"uri":["http://zotero.org/users/944474/items/6FWKJBX5"],"itemData":{"id":429,"type":"article-journal","title":"In vitro biosynthesis of bacterial peptidoglycan using D-Cys-containing precursors: fluorescent detection of transglycosylation and transpeptidation","container-title":"Chemical communications (Cambridge, England)","page":"4037-4039","issue":"27","abstract":"Peptidoglycan precursors containing D-Cys at position 4 were polymerised to form a synthetic peptidoglycan layer, which could be fluorescently labelled, providing a new method to monitor peptidoglycan transglycosylation and transpeptidation.","DOI":"10.1039/b819869a","note":"PMID: 19568625","shortTitle":"In vitro biosynthesis of bacterial peptidoglycan using D-Cys-containing precursors","journalAbbreviation":"Chem. Commun. (Camb.)","author":[{"family":"Vinatier","given":"Virginie"},{"family":"Blakey","given":"Carl B"},{"family":"Braddick","given":"Darren"},{"family":"Johnson","given":"Benjamin R G"},{"family":"Evans","given":"Stephen D"},{"family":"Bugg","given":"Timothy D H"}],"issued":{"year":2009,"month":7,"day":21},"accessed":{"year":2012,"month":6,"day":12},"page-first":"4037"}}],"schema":"https://github.com/citation-style-language/schema/raw/master/csl-citation.json"}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rPr>
        <w:t xml:space="preserve">(Haugland, 2005; Schouten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xml:space="preserve">., 2006; Vinatier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2009)</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 xml:space="preserve">. Labelling has also been achieved </w:t>
      </w:r>
      <w:r w:rsidRPr="007C155A">
        <w:rPr>
          <w:rFonts w:ascii="Times New Roman" w:hAnsi="Times New Roman" w:cs="Times New Roman"/>
          <w:i/>
          <w:color w:val="000000" w:themeColor="text1"/>
          <w:sz w:val="24"/>
          <w:szCs w:val="24"/>
        </w:rPr>
        <w:t>in vivo</w:t>
      </w:r>
      <w:r w:rsidRPr="007C155A">
        <w:rPr>
          <w:rFonts w:ascii="Times New Roman" w:hAnsi="Times New Roman" w:cs="Times New Roman"/>
          <w:color w:val="000000" w:themeColor="text1"/>
          <w:sz w:val="24"/>
          <w:szCs w:val="24"/>
        </w:rPr>
        <w:t xml:space="preserve"> by incorporation of fluorescent amino-acid conjugates into peptide stems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{"citationID":"2f3jchs8q3","properties":{"formattedCitation":"(Maeda, 1980; Olrichs et al., 2011)","plainCitation":"(Maeda, 1980; Olrichs et al., 2011)"},"citationItems":[{"id":420,"uris":["http://zotero.org/users/944474/items/2A8IBA5K"],"uri":["http://zotero.org/users/944474/items/2A8IBA5K"],"itemData":{"id":420,"type":"article-journal","title":"A new lysozyme assay based on fluorescence polarization or fluorescence intensity utilizing a fluorescent peptidoglycan substrate","container-title":"Journal of biochemistry","page":"1185-1191","volume":"88","issue":"4","abstract":"A new sensitive, rapid and simple method for lysozyme assay is described which is based on either fluorescence polarization or fluorescence intensity using fluorescein-labeled peptidoglycan as a substrate. The peptidoglycan was obtained from Micrococcus lysodeikticus after extensive digestion with Pronase and washing with Triton X-100 followed by various solvents. Subsequently, it was labeled with fluorescein isothiocyanate (FITC) at the amino group of the peptide. When the FITC-labeled substrate was subjected to lysozyme digestion, an increase of fluorescence intensity or a decrease of fluorescence polarization value (P value) was apparent in five minutes at a lysozyme concentrations as low as 0.1 or 0.01 micrograms/ml, respectively. The effect of other hydrolytic enzymes including alpha-mannosidase, proteases and RNase on the P value was found to be negligible. The measured values represented the specificity and dose of lysozyme added. Apparent Vmax and Km values for two different lysozymes, chicken egg white and human, could be determined by this method.","note":"PMID: 7451413","journalAbbreviation":"J. Biochem.","author":[{"family":"Maeda","given":"H"}],"issued":{"year":1980,"month":10},"accessed":{"year":2012,"month":6,"day":12},"page-first":"1185"}},{"id":422,"uris":["http://zotero.org/users/944474/items/EHPTZT55"],"uri":["http://zotero.org/users/944474/items/EHPTZT55"],"itemData":{"id":422,"type":"article-journal","title":"A novel in vivo cell-wall labeling approach sheds new light on peptidoglycan synthesis in Escherichia coli","container-title":"Chembiochem: a European journal of chemical biology","page":"1124-1133","volume":"12","issue":"7","abstract":"Peptidoglycan synthesis and turnover in relation to cell growth and division has been studied by using a new labeling method. This method involves the incorporation of fluorescently labeled peptidoglycan precursors into the cell wall by means of the cell-wall recycling pathway. We show that Escherichia coli is able to import exogenous added murein tripeptide labeled with N-7-nitro-2,1,3-benzoxadiazol-4-yl (AeK-NBD) into the cytoplasm where it enters the peptidoglycan biosynthesis route, resulting in fluorescent labels specifically located in the cell wall. When wild-type cells were grown in the presence of the fluorescent peptide, peptidoglycan was uniformly labeled in cells undergoing elongation. Cells in the process of division displayed a lack of labeled peptidoglycan at mid-cell. Analysis of labeling patterns in cell division mutants showed that the occurrence of unlabeled peptidoglycan is dependent on the presence of FtsZ, but independent of FtsQ and FtsI. Accumulation of fluorescence at the division sites of a triple amidase mutant (ΔamiABC) revealed that AeK-NBD is incorporated into septal peptidoglycan. AmiC was shown to be involved in the rapid removal of labeled peptidoglycan side chains at division sites in wild-type cells. Because septal localization of AmiC is dependent on FtsQ and FtsI, this points to the presence of another peptidoglycan hydrolase activity directly dependent on FtsZ.","DOI":"10.1002/cbic.201000552","note":"PMID: 21472954","journalAbbreviation":"Chembiochem","author":[{"family":"Olrichs","given":"Nick K"},{"family":"Aarsman","given":"Mirjam E G"},{"family":"Verheul","given":"Jolanda"},{"family":"Arnusch","given":"Christopher J"},{"family":"Martin","given":"Nathaniel I"},{"family":"Hervé","given":"Mireille"},{"family":"Vollmer","given":"Waldemar"},{"family":"de Kruijff","given":"Ben"},{"family":"Breukink","given":"Eefjan"},{"family":"den Blaauwen","given":"Tanneke"}],"issued":{"year":2011,"month":5,"day":2},"accessed":{"year":2012,"month":6,"day":12},"page-first":"1124"}}],"schema":"https://github.com/citation-style-language/schema/raw/master/csl-citation.json"}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rPr>
        <w:t xml:space="preserve">(Maeda, 1980; Olrichs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2011)</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 xml:space="preserve">. It should be noted that the incorporation of an atypical amino acid alters the native peptidoglycan chemistry, which could inhibit transpeptidation or transglycosylation steps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{"citationID":"1marefqnv9","properties":{"formattedCitation":"(Schouten et al., 2006; Vinatier et al., 2009)","plainCitation":"(Schouten et al., 2006; Vinatier et al., 2009)"},"citationItems":[{"id":425,"uris":["http://zotero.org/users/944474/items/V27XRV7V"],"uri":["http://zotero.org/users/944474/items/V27XRV7V"],"itemData":{"id":425,"type":"article-journal","title":"Fluorescent reagents for in vitro studies of lipid-linked steps of bacterial peptidoglycan biosynthesis: derivatives of UDPMurNAc-pentapeptide containing d-cysteine at position 4 or 5","container-title":"Molecular bioSystems","page":"484-491","volume":"2","issue":"10","abstract":"UDPMurNAc-L-Ala-gamma-D-Glu-X-D-Ala-DAla (X = L-Lys or m-DAP) is the cytoplasmic precursor for the lipid-linked cycle of bacterial peptidoglycan biosynthesis, consisting of at least four enzymatic reactions, which are targets for antibacterial agents. Fluorescent derivatives of the UDPMurNAc-pentapeptide labelled at the 3rd, 4th, and 5th position of the peptide chain were prepared chemoenzymatically, in order to study the reactions catalysed by enzymes in this cycle. Derivatives labelled on the epsilon-amino group of the 3rd amino acid (N-dansyl, N-fluorescamine and N-phthalaldehyde) were prepared by chemical modification. Two methods were developed for preparation of analogues of UDPMurNAc-pentapeptide containing D-cysteine at position 4 or 5: either by MurF-catalysed ligation of the UDPMurNAc-tripeptide to synthetic D-Ala-D-Cys or D-Cys-D-Ala dipeptides; or by enzymatic synthesis of D-Ala-D-Cys by ligase VanD. D-Cys-containing UDPMurNAc-pentapeptides were labelled with pyrene maleimide, to give 4-pyrene and 5-pyrene labelled derivatives. The fluorescent UDPMurNAc-pentapeptides were processed as substrates by Escherichia coli MraY or E. coli membranes, giving 1.5-150-fold changes in fluorescence upon transformation to lipid intermediate I. Subsequent processing to lipid intermediate II gave rise only to small changes in fluorescence. Pyrene-labelled lipid intermediates I and II can be generated using Micrococcus flavus membranes, enabling the study of the later lipid-linked steps.","DOI":"10.1039/b607908c","note":"PMID: 17216029","shortTitle":"Fluorescent reagents for in vitro studies of lipid-linked steps of bacterial peptidoglycan biosynthesis","journalAbbreviation":"Mol Biosyst","author":[{"family":"Schouten","given":"James A"},{"family":"Bagga","given":"Sangeev"},{"family":"Lloyd","given":"Adrian J"},{"family":"de Pascale","given":"Gianfranco"},{"family":"Dowson","given":"Christopher G"},{"family":"Roper","given":"David I"},{"family":"Bugg","given":"Timothy D H"}],"issued":{"year":2006,"month":10},"accessed":{"year":2012,"month":6,"day":12},"page-first":"484"}},{"id":429,"uris":["http://zotero.org/users/944474/items/6FWKJBX5"],"uri":["http://zotero.org/users/944474/items/6FWKJBX5"],"itemData":{"id":429,"type":"article-journal","title":"In vitro biosynthesis of bacterial peptidoglycan using D-Cys-containing precursors: fluorescent detection of transglycosylation and transpeptidation","container-title":"Chemical communications (Cambridge, England)","page":"4037-4039","issue":"27","abstract":"Peptidoglycan precursors containing D-Cys at position 4 were polymerised to form a synthetic peptidoglycan layer, which could be fluorescently labelled, providing a new method to monitor peptidoglycan transglycosylation and transpeptidation.","DOI":"10.1039/b819869a","note":"PMID: 19568625","shortTitle":"In vitro biosynthesis of bacterial peptidoglycan using D-Cys-containing precursors","journalAbbreviation":"Chem. Commun. (Camb.)","author":[{"family":"Vinatier","given":"Virginie"},{"family":"Blakey","given":"Carl B"},{"family":"Braddick","given":"Darren"},{"family":"Johnson","given":"Benjamin R G"},{"family":"Evans","given":"Stephen D"},{"family":"Bugg","given":"Timothy D H"}],"issued":{"year":2009,"month":7,"day":21},"accessed":{"year":2012,"month":6,"day":12},"page-first":"4037"}}],"schema":"https://github.com/citation-style-language/schema/raw/master/csl-citation.json"}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rPr>
        <w:t xml:space="preserve">(Schouten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xml:space="preserve">., 2006; Vinatier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2009)</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 xml:space="preserve">. </w:t>
      </w:r>
    </w:p>
    <w:p w:rsidR="00FE29E6" w:rsidRPr="007C155A" w:rsidRDefault="00FE29E6" w:rsidP="00FE29E6">
      <w:pPr>
        <w:spacing w:line="480" w:lineRule="auto"/>
        <w:jc w:val="both"/>
        <w:rPr>
          <w:rFonts w:ascii="Times New Roman" w:hAnsi="Times New Roman" w:cs="Times New Roman"/>
          <w:color w:val="000000" w:themeColor="text1"/>
          <w:sz w:val="24"/>
          <w:szCs w:val="24"/>
        </w:rPr>
      </w:pPr>
      <w:r w:rsidRPr="007C155A">
        <w:rPr>
          <w:rFonts w:ascii="Times New Roman" w:hAnsi="Times New Roman" w:cs="Times New Roman"/>
          <w:color w:val="000000" w:themeColor="text1"/>
          <w:sz w:val="24"/>
          <w:szCs w:val="24"/>
        </w:rPr>
        <w:t xml:space="preserve">The advent of super-resolution fluorescence microscopy may provide both the spatial resolution and differential capabilities required to probe the complex peptidoglycan architecture </w:t>
      </w:r>
      <w:r w:rsidRPr="007C155A">
        <w:rPr>
          <w:rFonts w:ascii="Times New Roman" w:hAnsi="Times New Roman" w:cs="Times New Roman"/>
          <w:i/>
          <w:color w:val="000000" w:themeColor="text1"/>
          <w:sz w:val="24"/>
          <w:szCs w:val="24"/>
        </w:rPr>
        <w:t>in situ.</w:t>
      </w:r>
      <w:r w:rsidRPr="007C155A">
        <w:rPr>
          <w:rFonts w:ascii="Times New Roman" w:hAnsi="Times New Roman" w:cs="Times New Roman"/>
          <w:color w:val="000000" w:themeColor="text1"/>
          <w:sz w:val="24"/>
          <w:szCs w:val="24"/>
        </w:rPr>
        <w:t xml:space="preserve"> In this study, we used 3D-SIM to achieve an approximate two-fold increase in resolution. Video-rate SIM capable of super-resolution imaging in the tens of milliseconds time-frame could be applied for visualisation of cell cycle dynamics </w:t>
      </w:r>
      <w:r w:rsidRPr="007C155A">
        <w:rPr>
          <w:rFonts w:ascii="Times New Roman" w:hAnsi="Times New Roman" w:cs="Times New Roman"/>
          <w:i/>
          <w:color w:val="000000" w:themeColor="text1"/>
          <w:sz w:val="24"/>
          <w:szCs w:val="24"/>
        </w:rPr>
        <w:t>in vivo</w:t>
      </w:r>
      <w:r w:rsidRPr="007C155A">
        <w:rPr>
          <w:rFonts w:ascii="Times New Roman" w:hAnsi="Times New Roman" w:cs="Times New Roman"/>
          <w:color w:val="000000" w:themeColor="text1"/>
          <w:sz w:val="24"/>
          <w:szCs w:val="24"/>
        </w:rPr>
        <w:t xml:space="preserve">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{"citationID":"1i37rij58e","properties":{"formattedCitation":"(Lefman et al., 2011)","plainCitation":"(Lefman et al., 2011)"},"citationItems":[{"id":663,"uris":["http://zotero.org/users/944474/items/S6TIPP52"],"uri":["http://zotero.org/users/944474/items/S6TIPP52"],"itemData":{"id":663,"type":"article-journal","title":"Live, video-rate super-resolution microscopy using structured illumination and rapid GPU-based parallel processing","container-title":"Microscopy and microanalysis: the official journal of Microscopy Society of America, Microbeam Analysis Society, Microscopical Society of Canada","page":"191-196","volume":"17","issue":"2","abstract":"Structured illumination fluorescence microscopy is a powerful super-resolution method that is capable of achieving a resolution below 100 nm. Each super-resolution image is computationally constructed from a set of differentially illuminated images. However, real-time application of structured illumination microscopy (SIM) has generally been limited due to the computational overhead needed to generate super-resolution images. Here, we have developed a real-time SIM system that incorporates graphic processing unit (GPU) based in-line parallel processing of raw/differentially illuminated images. By using GPU processing, the system has achieved a 90-fold increase in processing speed compared to performing equivalent operations on a multiprocessor computer--the total throughput of the system is limited by data acquisition speed, but not by image processing. Overall, more than 350 raw images (16-bit depth, 512 × 512 pixels) can be processed per second, resulting in a maximum frame rate of 39 super-resolution images per second. This ultrafast processing capability is used to provide immediate feedback of super-resolution images for real-time display. These developments are increasing the potential for sophisticated super-resolution imaging applications.","DOI":"10.1017/S1431927611000158","note":"PMID: 21385522","journalAbbreviation":"Microsc. Microanal.","author":[{"family":"Lefman","given":"Jonathan"},{"family":"Scott","given":"Keana"},{"family":"Stranick","given":"Stephan"}],"issued":{"year":2011,"month":4},"accessed":{"year":2012,"month":7,"day":6},"page-first":"191"}}],"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rPr>
        <w:t xml:space="preserve">(Lefman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2011)</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 xml:space="preserve">. This would benefit studies in ovococci where growth and division are intimately linked process that are difficult to separate by standard methods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{"citationID":"1jul5slthf","properties":{"formattedCitation":"(Morlot et al., 2003; Zapun et al., 2008)","plainCitation":"(Morlot et al., 2003; Zapun et al., 2008)"},"citationItems":[{"id":373,"uris":["http://zotero.org/users/944474/items/X89IIJAD"],"uri":["http://zotero.org/users/944474/items/X89IIJAD"],"itemData":{"id":373,"type":"article-journal","title":"Growth and division of Streptococcus pneumoniae: localization of the high molecular weight penicillin-binding proteins during the cell cycle","container-title":"Molecular microbiology","page":"845-855","volume":"50","issue":"3","abstract":"The bacterial peptidoglycan, the main component of the cell wall, is synthesized by the penicillin-binding proteins (PBPs). We used immunofluorescence microscopy to determine the cellular localization of all the high molecular weight PBPs of the human pathogen Streptococcus pneumoniae, for a wild type and for several PBP-deficient strains. Progression through the cell cycle was investigated by the simultaneous labelling of DNA and the FtsZ protein. Our main findings are: (i) the temporal dissociation of cell wall synthesis, inferred by the localization of PBP2x and PBP1a, from the constriction of the FtsZ-ring; (ii) the localization of PBP2b and PBP2a at duplicated equatorial sites indicating the existence of peripheral peptidoglycan synthesis, which implies a similarity between the mechanism of cell division in bacilli and streptococci; (iii) the abnormal localization of some class A PBPs in PBP-defective mutants which may explain the apparent redundancy of these proteins in S. pneumoniae.","note":"PMID: 14617146","shortTitle":"Growth and division of Streptococcus pneumoniae","journalAbbreviation":"Mol. Microbiol.","author":[{"family":"Morlot","given":"Cécile"},{"family":"Zapun","given":"André"},{"family":"Dideberg","given":"Otto"},{"family":"Vernet","given":"Thierry"}],"issued":{"year":2003,"month":11},"accessed":{"year":2012,"month":6,"day":5},"page-first":"845"}},{"id":87,"uris":["http://zotero.org/users/944474/items/N52MZFST"],"uri":["http://zotero.org/users/944474/items/N52MZFST"],"itemData":{"id":87,"type":"article-journal","title":"The different shapes of cocci","container-title":"FEMS Microbiology Reviews","page":"345-360","volume":"32","issue":"2","abstract":"The shape of bacteria is determined by their cell wall and can be very diverse. Even among genera with the suffix 'cocci', which are the focus of this review, different shapes exist. While staphylococci or Neisseria cells, for example, are truly round-shaped, streptococci, lactococci or enterococci have an ovoid shape. Interestingly, there seems to be a correlation between the shape of an organism and its set of penicillin-binding proteins--the enzymes that assemble the peptidoglycan, the main constituent of the cell wall. While only one peptidoglycan biosynthesis machinery seems to exist in staphylococci, two of these machineries are proposed to function in ovoid-shaped bacteria, reinforcing the intrinsic differences regarding the morphogenesis of different classes of cocci. The present review aims to integrate older ultra-structural data with recent localization studies, in order to clarify the relation between the mechanisms of cell wall synthesis and the determination of cell shape in various cocci.","DOI":"10.1111/j.1574-6976.2007.00098.x","note":"PMID: 18266741","journalAbbreviation":"FEMS Microbiol. Rev.","author":[{"family":"Zapun","given":"André"},{"family":"Vernet","given":"Thierry"},{"family":"Pinho","given":"Mariana G"}],"issued":{"year":2008,"month":3},"accessed":{"year":2012,"month":4,"day":2},"page-first":"345"}}],"schema":"https://github.com/citation-style-language/schema/raw/master/csl-citation.json"}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rPr>
        <w:t xml:space="preserve">(Morlot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xml:space="preserve">., 2003; Zapun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2008)</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 xml:space="preserve">. However investigation of the </w:t>
      </w:r>
      <w:r w:rsidRPr="007C155A">
        <w:rPr>
          <w:rFonts w:ascii="Times New Roman" w:hAnsi="Times New Roman" w:cs="Times New Roman"/>
          <w:i/>
          <w:color w:val="000000" w:themeColor="text1"/>
          <w:sz w:val="24"/>
          <w:szCs w:val="24"/>
        </w:rPr>
        <w:t xml:space="preserve">in situ </w:t>
      </w:r>
      <w:r w:rsidRPr="007C155A">
        <w:rPr>
          <w:rFonts w:ascii="Times New Roman" w:hAnsi="Times New Roman" w:cs="Times New Roman"/>
          <w:color w:val="000000" w:themeColor="text1"/>
          <w:sz w:val="24"/>
          <w:szCs w:val="24"/>
        </w:rPr>
        <w:t>peptidoglycan chemistry requires nanometre scale resolution. The major</w:t>
      </w:r>
      <w:r w:rsidRPr="00E314FB">
        <w:rPr>
          <w:rFonts w:ascii="Times New Roman" w:hAnsi="Times New Roman" w:cs="Times New Roman"/>
          <w:sz w:val="24"/>
          <w:szCs w:val="24"/>
        </w:rPr>
        <w:t xml:space="preserve"> nanometre-</w:t>
      </w:r>
      <w:r w:rsidRPr="007C155A">
        <w:rPr>
          <w:rFonts w:ascii="Times New Roman" w:hAnsi="Times New Roman" w:cs="Times New Roman"/>
          <w:color w:val="000000" w:themeColor="text1"/>
          <w:sz w:val="24"/>
          <w:szCs w:val="24"/>
        </w:rPr>
        <w:lastRenderedPageBreak/>
        <w:t>resolution fluorescence technologies PALM (</w:t>
      </w:r>
      <w:r w:rsidRPr="007C155A">
        <w:rPr>
          <w:rFonts w:ascii="Times New Roman" w:hAnsi="Times New Roman" w:cs="Times New Roman"/>
          <w:i/>
          <w:color w:val="000000" w:themeColor="text1"/>
          <w:sz w:val="24"/>
          <w:szCs w:val="24"/>
        </w:rPr>
        <w:t>p</w:t>
      </w:r>
      <w:r w:rsidRPr="007C155A">
        <w:rPr>
          <w:rFonts w:ascii="Times New Roman" w:hAnsi="Times New Roman" w:cs="Times New Roman"/>
          <w:color w:val="000000" w:themeColor="text1"/>
          <w:sz w:val="24"/>
          <w:szCs w:val="24"/>
        </w:rPr>
        <w:t>hoto</w:t>
      </w:r>
      <w:r w:rsidRPr="007C155A">
        <w:rPr>
          <w:rFonts w:ascii="Times New Roman" w:hAnsi="Times New Roman" w:cs="Times New Roman"/>
          <w:i/>
          <w:color w:val="000000" w:themeColor="text1"/>
          <w:sz w:val="24"/>
          <w:szCs w:val="24"/>
        </w:rPr>
        <w:t>a</w:t>
      </w:r>
      <w:r w:rsidRPr="007C155A">
        <w:rPr>
          <w:rFonts w:ascii="Times New Roman" w:hAnsi="Times New Roman" w:cs="Times New Roman"/>
          <w:color w:val="000000" w:themeColor="text1"/>
          <w:sz w:val="24"/>
          <w:szCs w:val="24"/>
        </w:rPr>
        <w:t xml:space="preserve">ctivated </w:t>
      </w:r>
      <w:r w:rsidRPr="007C155A">
        <w:rPr>
          <w:rFonts w:ascii="Times New Roman" w:hAnsi="Times New Roman" w:cs="Times New Roman"/>
          <w:i/>
          <w:color w:val="000000" w:themeColor="text1"/>
          <w:sz w:val="24"/>
          <w:szCs w:val="24"/>
        </w:rPr>
        <w:t>l</w:t>
      </w:r>
      <w:r w:rsidRPr="007C155A">
        <w:rPr>
          <w:rFonts w:ascii="Times New Roman" w:hAnsi="Times New Roman" w:cs="Times New Roman"/>
          <w:color w:val="000000" w:themeColor="text1"/>
          <w:sz w:val="24"/>
          <w:szCs w:val="24"/>
        </w:rPr>
        <w:t xml:space="preserve">ocalization </w:t>
      </w:r>
      <w:r w:rsidRPr="007C155A">
        <w:rPr>
          <w:rFonts w:ascii="Times New Roman" w:hAnsi="Times New Roman" w:cs="Times New Roman"/>
          <w:i/>
          <w:color w:val="000000" w:themeColor="text1"/>
          <w:sz w:val="24"/>
          <w:szCs w:val="24"/>
        </w:rPr>
        <w:t>m</w:t>
      </w:r>
      <w:r w:rsidRPr="007C155A">
        <w:rPr>
          <w:rFonts w:ascii="Times New Roman" w:hAnsi="Times New Roman" w:cs="Times New Roman"/>
          <w:color w:val="000000" w:themeColor="text1"/>
          <w:sz w:val="24"/>
          <w:szCs w:val="24"/>
        </w:rPr>
        <w:t>icroscopy) and STORM (</w:t>
      </w:r>
      <w:r w:rsidRPr="007C155A">
        <w:rPr>
          <w:rFonts w:ascii="Times New Roman" w:hAnsi="Times New Roman" w:cs="Times New Roman"/>
          <w:i/>
          <w:color w:val="000000" w:themeColor="text1"/>
          <w:sz w:val="24"/>
          <w:szCs w:val="24"/>
        </w:rPr>
        <w:t>st</w:t>
      </w:r>
      <w:r w:rsidRPr="007C155A">
        <w:rPr>
          <w:rFonts w:ascii="Times New Roman" w:hAnsi="Times New Roman" w:cs="Times New Roman"/>
          <w:color w:val="000000" w:themeColor="text1"/>
          <w:sz w:val="24"/>
          <w:szCs w:val="24"/>
        </w:rPr>
        <w:t xml:space="preserve">ochastic </w:t>
      </w:r>
      <w:r w:rsidRPr="007C155A">
        <w:rPr>
          <w:rFonts w:ascii="Times New Roman" w:hAnsi="Times New Roman" w:cs="Times New Roman"/>
          <w:i/>
          <w:color w:val="000000" w:themeColor="text1"/>
          <w:sz w:val="24"/>
          <w:szCs w:val="24"/>
        </w:rPr>
        <w:t>o</w:t>
      </w:r>
      <w:r w:rsidRPr="007C155A">
        <w:rPr>
          <w:rFonts w:ascii="Times New Roman" w:hAnsi="Times New Roman" w:cs="Times New Roman"/>
          <w:color w:val="000000" w:themeColor="text1"/>
          <w:sz w:val="24"/>
          <w:szCs w:val="24"/>
        </w:rPr>
        <w:t xml:space="preserve">ptical </w:t>
      </w:r>
      <w:r w:rsidRPr="007C155A">
        <w:rPr>
          <w:rFonts w:ascii="Times New Roman" w:hAnsi="Times New Roman" w:cs="Times New Roman"/>
          <w:i/>
          <w:color w:val="000000" w:themeColor="text1"/>
          <w:sz w:val="24"/>
          <w:szCs w:val="24"/>
        </w:rPr>
        <w:t>r</w:t>
      </w:r>
      <w:r w:rsidRPr="007C155A">
        <w:rPr>
          <w:rFonts w:ascii="Times New Roman" w:hAnsi="Times New Roman" w:cs="Times New Roman"/>
          <w:color w:val="000000" w:themeColor="text1"/>
          <w:sz w:val="24"/>
          <w:szCs w:val="24"/>
        </w:rPr>
        <w:t xml:space="preserve">econstruction </w:t>
      </w:r>
      <w:r w:rsidRPr="007C155A">
        <w:rPr>
          <w:rFonts w:ascii="Times New Roman" w:hAnsi="Times New Roman" w:cs="Times New Roman"/>
          <w:i/>
          <w:color w:val="000000" w:themeColor="text1"/>
          <w:sz w:val="24"/>
          <w:szCs w:val="24"/>
        </w:rPr>
        <w:t>m</w:t>
      </w:r>
      <w:r w:rsidRPr="007C155A">
        <w:rPr>
          <w:rFonts w:ascii="Times New Roman" w:hAnsi="Times New Roman" w:cs="Times New Roman"/>
          <w:color w:val="000000" w:themeColor="text1"/>
          <w:sz w:val="24"/>
          <w:szCs w:val="24"/>
        </w:rPr>
        <w:t xml:space="preserve">icroscopy) monitor blinking of photoactivated fluorescent probes over time to identify individual fluorescence point sources and reconstruct the image with high precision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{"citationID":"AMLKkrVi","properties":{"formattedCitation":"(Betzig et al., 2006; Rust et al., 2006; Bates et al., 2012)","plainCitation":"(Betzig et al., 2006; Rust et al., 2006; Bates et al., 2012)"},"citationItems":[{"id":167,"uris":["http://zotero.org/users/944474/items/H6J3NTR6"],"uri":["http://zotero.org/users/944474/items/H6J3NTR6"],"itemData":{"id":167,"type":"article-journal","title":"Imaging intracellular fluorescent proteins at nanometer resolution","container-title":"Science (New York, N.Y.)","page":"1642-1645","volume":"313","issue":"5793","abstract":"We introduce a method for optically imaging intracellular proteins at nanometer spatial resolution. Numerous sparse subsets of photoactivatable fluorescent protein molecules were activated, localized (to approximately 2 to 25 nanometers), and then bleached. The aggregate position information from all subsets was then assembled into a superresolution image. We used this method--termed photoactivated localization microscopy--to image specific target proteins in thin sections of lysosomes and mitochondria; in fixed whole cells, we imaged vinculin at focal adhesions, actin within a lamellipodium, and the distribution of the retroviral protein Gag at the plasma membrane.","DOI":"10.1126/science.1127344","note":"PMID: 16902090","journalAbbreviation":"Science","author":[{"family":"Betzig","given":"Eric"},{"family":"Patterson","given":"George H"},{"family":"Sougrat","given":"Rachid"},{"family":"Lindwasser","given":"O Wolf"},{"family":"Olenych","given":"Scott"},{"family":"Bonifacino","given":"Juan S"},{"family":"Davidson","given":"Michael W"},{"family":"Lippincott-Schwartz","given":"Jennifer"},{"family":"Hess","given":"Harald F"}],"issued":{"year":2006,"month":9,"day":15},"accessed":{"year":2012,"month":5,"day":8},"page-first":"1642"}},{"id":168,"uris":["http://zotero.org/users/944474/items/DB8XKFZ5"],"uri":["http://zotero.org/users/944474/items/DB8XKFZ5"],"itemData":{"id":168,"type":"article-journal","title":"Sub-diffraction-limit imaging by stochastic optical reconstruction microscopy (STORM)","container-title":"Nature methods","page":"793-795","volume":"3","issue":"10","abstract":"We have developed a high-resolution fluorescence microscopy method based on high-accuracy localization of photoswitchable fluorophores. In each imaging cycle, only a fraction of the fluorophores were turned on, allowing their positions to be determined with nanometer accuracy. The fluorophore positions obtained from a series of imaging cycles were used to reconstruct the overall image. We demonstrated an imaging resolution of 20 nm. This technique can, in principle, reach molecular-scale resolution.","DOI":"10.1038/nmeth929","note":"PMID: 16896339","journalAbbreviation":"Nat. Methods","author":[{"family":"Rust","given":"Michael J"},{"family":"Bates","given":"Mark"},{"family":"Zhuang","given":"Xiaowei"}],"issued":{"year":2006,"month":10},"accessed":{"year":2012,"month":5,"day":8},"page-first":"793"}},{"id":410,"uris":["http://zotero.org/users/944474/items/KNV9VVIK"],"uri":["http://zotero.org/users/944474/items/KNV9VVIK"],"itemData":{"id":410,"type":"article-journal","title":"Multicolor super-resolution fluorescence imaging via multi-parameter fluorophore detection","container-title":"Chemphyschem: a European journal of chemical physics and physical chemistry","page":"99-107","volume":"13","issue":"1","abstract":"Understanding the complexity of the cellular environment will benefit from the ability to unambiguously resolve multiple cellular components, simultaneously and with nanometer-scale spatial resolution. Multicolor super-resolution fluorescence microscopy techniques have been developed to achieve this goal, yet challenges remain in terms of the number of targets that can be simultaneously imaged and the crosstalk between color channels. Herein, we demonstrate multicolor stochastic optical reconstruction microscopy (STORM) based on a multi-parameter detection strategy, which uses both the fluorescence activation wavelength and the emission color to discriminate between photo-activatable fluorescent probes. First, we obtained two-color super-resolution images using the near-infrared cyanine dye Alexa 750 in conjunction with a red cyanine dye Alexa 647, and quantified color crosstalk levels and image registration accuracy. Combinatorial pairing of these two switchable dyes with fluorophores which enhance photo-activation enabled multi-parameter detection of six different probes. Using this approach, we obtained six-color super-resolution fluorescence images of a model sample. The combination of multiple fluorescence detection parameters for improved fluorophore discrimination promises to substantially enhance our ability to visualize multiple cellular targets with sub-diffraction-limit resolution.","DOI":"10.1002/cphc.201100735","note":"PMID: 22213647","journalAbbreviation":"Chemphyschem","author":[{"family":"Bates","given":"Mark"},{"family":"Dempsey","given":"Graham T"},{"family":"Chen","given":"Kok Hao"},{"family":"Zhuang","given":"Xiaowei"}],"issued":{"year":2012,"month":1,"day":16},"accessed":{"year":2012,"month":6,"day":12},"page-first":"99"}}],"schema":"https://github.com/citation-style-language/schema/raw/master/csl-citation.json"}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rPr>
        <w:t xml:space="preserve">(Betzig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xml:space="preserve">., 2006; Rust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xml:space="preserve">., 2006; Bates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2012)</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w:t>
      </w:r>
      <w:r w:rsidRPr="007C155A">
        <w:rPr>
          <w:rFonts w:ascii="Times New Roman" w:hAnsi="Times New Roman" w:cs="Times New Roman"/>
          <w:i/>
          <w:color w:val="000000" w:themeColor="text1"/>
          <w:sz w:val="24"/>
          <w:szCs w:val="24"/>
        </w:rPr>
        <w:t xml:space="preserve"> </w:t>
      </w:r>
      <w:r w:rsidRPr="007C155A">
        <w:rPr>
          <w:rFonts w:ascii="Times New Roman" w:hAnsi="Times New Roman" w:cs="Times New Roman"/>
          <w:color w:val="000000" w:themeColor="text1"/>
          <w:sz w:val="24"/>
          <w:szCs w:val="24"/>
        </w:rPr>
        <w:t xml:space="preserve">A recent study estimated a working resolution in a microbiological application of ~35 nm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{"citationID":"T1qUKrSM","properties":{"formattedCitation":"(Fu et al., 2010)","plainCitation":"(Fu et al., 2010)"},"citationItems":[{"id":417,"uris":["http://zotero.org/users/944474/items/A6U67PEN"],"uri":["http://zotero.org/users/944474/items/A6U67PEN"],"itemData":{"id":417,"type":"article-journal","title":"In vivo structure of the E. coli FtsZ-ring revealed by photoactivated localization microscopy (PALM)","container-title":"PloS one","page":"e12682","volume":"5","issue":"9","abstract":"The FtsZ protein, a tubulin-like GTPase, plays a pivotal role in prokaryotic cell division. In vivo it localizes to the midcell and assembles into a ring-like structure-the Z-ring. The Z-ring serves as an essential scaffold to recruit all other division proteins and generates contractile force for cytokinesis, but its supramolecular structure remains unknown. Electron microscopy (EM) has been unsuccessful in detecting the Z-ring due to the dense cytoplasm of bacterial cells, and conventional fluorescence light microscopy (FLM) has only provided images with limited spatial resolution (200-300 nm) due to the diffraction of light. Hence, given the small sizes of bacteria cells, identifying the in vivo structure of the Z-ring presents a substantial challenge. Here, we used photoactivated localization microscopy (PALM), a single molecule-based super-resolution imaging technique, to characterize the in vivo structure of the Z-ring in E. coli. We achieved a spatial resolution of </w:instrText>
      </w:r>
      <w:r w:rsidRPr="007C155A">
        <w:rPr>
          <w:rFonts w:ascii="Cambria Math" w:hAnsi="Cambria Math" w:cs="Cambria Math"/>
          <w:color w:val="000000" w:themeColor="text1"/>
          <w:sz w:val="24"/>
          <w:szCs w:val="24"/>
        </w:rPr>
        <w:instrText>∼</w:instrText>
      </w:r>
      <w:r w:rsidRPr="007C155A">
        <w:rPr>
          <w:rFonts w:ascii="Times New Roman" w:hAnsi="Times New Roman" w:cs="Times New Roman"/>
          <w:color w:val="000000" w:themeColor="text1"/>
          <w:sz w:val="24"/>
          <w:szCs w:val="24"/>
        </w:rPr>
        <w:instrText xml:space="preserve">35 nm and discovered that in addition to the expected ring-like conformation, the Z-ring of E. coli adopts a novel compressed helical conformation with variable helical length and pitch. We measured the thickness of the Z-ring to be </w:instrText>
      </w:r>
      <w:r w:rsidRPr="007C155A">
        <w:rPr>
          <w:rFonts w:ascii="Cambria Math" w:hAnsi="Cambria Math" w:cs="Cambria Math"/>
          <w:color w:val="000000" w:themeColor="text1"/>
          <w:sz w:val="24"/>
          <w:szCs w:val="24"/>
        </w:rPr>
        <w:instrText>∼</w:instrText>
      </w:r>
      <w:r w:rsidRPr="007C155A">
        <w:rPr>
          <w:rFonts w:ascii="Times New Roman" w:hAnsi="Times New Roman" w:cs="Times New Roman"/>
          <w:color w:val="000000" w:themeColor="text1"/>
          <w:sz w:val="24"/>
          <w:szCs w:val="24"/>
        </w:rPr>
        <w:instrText xml:space="preserve">110 nm and the packing density of FtsZ molecules inside the Z-ring to be greater than what is expected for a single-layered flat ribbon configuration. Our results strongly suggest that the Z-ring is composed of a loose bundle of FtsZ protofilaments that randomly overlap with each other in both longitudinal and radial directions of the cell. Our results provide significant insight into the spatial organization of the Z-ring and open the door for further investigations of structure-function relationships and cell cycle-dependent regulation of the Z-ring.","DOI":"10.1371/journal.pone.0012680","note":"PMID: 20856929","journalAbbreviation":"PLoS ONE","author":[{"family":"Fu","given":"Guo"},{"family":"Huang","given":"Tao"},{"family":"Buss","given":"Jackson"},{"family":"Coltharp","given":"Carla"},{"family":"Hensel","given":"Zach"},{"family":"Xiao","given":"Jie"}],"issued":{"year":2010},"accessed":{"year":2012,"month":6,"day":12},"page-first":"e12682"}}],"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rPr>
        <w:t xml:space="preserve">(Fu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2010)</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 xml:space="preserve">. The practical application of such technology is broadening rapidly, for example multicolour imaging is possible, and super-resolution imaging with standard fluorescent probes has been achieved using an alternative approach to image reconstruction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{"citationID":"Ui3H7wkA","properties":{"formattedCitation":"(Burnette et al., 2011; Bates et al., 2012)","plainCitation":"(Burnette et al., 2011; Bates et al., 2012)"},"citationItems":[{"id":412,"uris":["http://zotero.org/users/944474/items/XE6DQUE4"],"uri":["http://zotero.org/users/944474/items/XE6DQUE4"],"itemData":{"id":412,"type":"article-journal","title":"Bleaching/blinking assisted localization microscopy for superresolution imaging using standard fluorescent molecules","container-title":"Proceedings of the National Academy of Sciences of the United States of America","page":"21081-21086","volume":"108","issue":"52","abstract":"Superresolution imaging techniques based on the precise localization of single molecules, such as photoactivated localization microscopy (PALM) and stochastic optical reconstruction microscopy (STORM), achieve high resolution by fitting images of single fluorescent molecules with a theoretical Gaussian to localize them with a precision on the order of tens of nanometers. PALM/STORM rely on photoactivated proteins or photoswitching dyes, respectively, which makes them technically challenging. We present a simple and practical way of producing point localization-based superresolution images that does not require photoactivatable or photoswitching probes. Called bleaching/blinking assisted localization microscopy (BaLM), the technique relies on the intrinsic bleaching and blinking behaviors characteristic of all commonly used fluorescent probes. To detect single fluorophores, we simply acquire a stream of fluorescence images. Fluorophore bleach or blink-off events are detected by subtracting from each image of the series the subsequent image. Similarly, blink-on events are detected by subtracting from each frame the previous one. After image subtractions, fluorescence emission signals from single fluorophores are identified and the localizations are determined by fitting the fluorescence intensity distribution with a theoretical Gaussian. We also show that BaLM works with a spectrum of fluorescent molecules in the same sample. Thus, BaLM extends single molecule-based superresolution localization to samples labeled with multiple conventional fluorescent probes.","DOI":"10.1073/pnas.1117430109","note":"PMID: 22167805","journalAbbreviation":"Proc. Natl. Acad. Sci. U.S.A.","author":[{"family":"Burnette","given":"Dylan T"},{"family":"Sengupta","given":"Prabuddha"},{"family":"Dai","given":"Yuhai"},{"family":"Lippincott-Schwartz","given":"Jennifer"},{"family":"Kachar","given":"Bechara"}],"issued":{"year":2011,"month":12,"day":27},"accessed":{"year":2012,"month":6,"day":12},"page-first":"21081"}},{"id":410,"uris":["http://zotero.org/users/944474/items/KNV9VVIK"],"uri":["http://zotero.org/users/944474/items/KNV9VVIK"],"itemData":{"id":410,"type":"article-journal","title":"Multicolor super-resolution fluorescence imaging via multi-parameter fluorophore detection","container-title":"Chemphyschem: a European journal of chemical physics and physical chemistry","page":"99-107","volume":"13","issue":"1","abstract":"Understanding the complexity of the cellular environment will benefit from the ability to unambiguously resolve multiple cellular components, simultaneously and with nanometer-scale spatial resolution. Multicolor super-resolution fluorescence microscopy techniques have been developed to achieve this goal, yet challenges remain in terms of the number of targets that can be simultaneously imaged and the crosstalk between color channels. Herein, we demonstrate multicolor stochastic optical reconstruction microscopy (STORM) based on a multi-parameter detection strategy, which uses both the fluorescence activation wavelength and the emission color to discriminate between photo-activatable fluorescent probes. First, we obtained two-color super-resolution images using the near-infrared cyanine dye Alexa 750 in conjunction with a red cyanine dye Alexa 647, and quantified color crosstalk levels and image registration accuracy. Combinatorial pairing of these two switchable dyes with fluorophores which enhance photo-activation enabled multi-parameter detection of six different probes. Using this approach, we obtained six-color super-resolution fluorescence images of a model sample. The combination of multiple fluorescence detection parameters for improved fluorophore discrimination promises to substantially enhance our ability to visualize multiple cellular targets with sub-diffraction-limit resolution.","DOI":"10.1002/cphc.201100735","note":"PMID: 22213647","journalAbbreviation":"Chemphyschem","author":[{"family":"Bates","given":"Mark"},{"family":"Dempsey","given":"Graham T"},{"family":"Chen","given":"Kok Hao"},{"family":"Zhuang","given":"Xiaowei"}],"issued":{"year":2012,"month":1,"day":16},"accessed":{"year":2012,"month":6,"day":12},"page-first":"99"}}],"schema":"https://github.com/citation-style-language/schema/raw/master/csl-citation.json"}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rPr>
        <w:t xml:space="preserve">(Burnette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xml:space="preserve">., 2011; Bates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2012)</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 xml:space="preserve">. These technologies may permit both the resolution and differential capabilities required to finally observe the relationship between peptidoglycan chemistry and architecture </w:t>
      </w:r>
      <w:r w:rsidRPr="007C155A">
        <w:rPr>
          <w:rFonts w:ascii="Times New Roman" w:hAnsi="Times New Roman" w:cs="Times New Roman"/>
          <w:i/>
          <w:color w:val="000000" w:themeColor="text1"/>
          <w:sz w:val="24"/>
          <w:szCs w:val="24"/>
        </w:rPr>
        <w:t>in situ</w:t>
      </w:r>
      <w:r w:rsidRPr="007C155A">
        <w:rPr>
          <w:rFonts w:ascii="Times New Roman" w:hAnsi="Times New Roman" w:cs="Times New Roman"/>
          <w:color w:val="000000" w:themeColor="text1"/>
          <w:sz w:val="24"/>
          <w:szCs w:val="24"/>
        </w:rPr>
        <w:t>.</w:t>
      </w:r>
    </w:p>
    <w:p w:rsidR="00FE29E6" w:rsidRPr="007C155A" w:rsidRDefault="00FE29E6" w:rsidP="00FE29E6">
      <w:pPr>
        <w:spacing w:line="480" w:lineRule="auto"/>
        <w:jc w:val="both"/>
        <w:rPr>
          <w:rFonts w:ascii="Times New Roman" w:hAnsi="Times New Roman" w:cs="Times New Roman"/>
          <w:color w:val="000000" w:themeColor="text1"/>
          <w:sz w:val="28"/>
          <w:szCs w:val="28"/>
        </w:rPr>
      </w:pPr>
    </w:p>
    <w:p w:rsidR="00FE29E6" w:rsidRPr="007C155A" w:rsidRDefault="00FE29E6" w:rsidP="00FE29E6">
      <w:pPr>
        <w:spacing w:line="480" w:lineRule="auto"/>
        <w:jc w:val="both"/>
        <w:rPr>
          <w:rFonts w:ascii="Times New Roman" w:hAnsi="Times New Roman" w:cs="Times New Roman"/>
          <w:i/>
          <w:color w:val="000000" w:themeColor="text1"/>
          <w:sz w:val="28"/>
          <w:szCs w:val="28"/>
        </w:rPr>
      </w:pPr>
      <w:r w:rsidRPr="007C155A">
        <w:rPr>
          <w:rFonts w:ascii="Times New Roman" w:hAnsi="Times New Roman" w:cs="Times New Roman"/>
          <w:color w:val="000000" w:themeColor="text1"/>
          <w:sz w:val="28"/>
          <w:szCs w:val="28"/>
        </w:rPr>
        <w:t>6.2</w:t>
      </w:r>
      <w:r w:rsidRPr="007C155A">
        <w:rPr>
          <w:rFonts w:ascii="Times New Roman" w:hAnsi="Times New Roman" w:cs="Times New Roman"/>
          <w:color w:val="000000" w:themeColor="text1"/>
          <w:sz w:val="28"/>
          <w:szCs w:val="28"/>
        </w:rPr>
        <w:tab/>
      </w:r>
      <w:r w:rsidRPr="007C155A">
        <w:rPr>
          <w:rFonts w:ascii="Times New Roman" w:hAnsi="Times New Roman" w:cs="Times New Roman"/>
          <w:color w:val="000000" w:themeColor="text1"/>
          <w:sz w:val="28"/>
          <w:szCs w:val="28"/>
        </w:rPr>
        <w:tab/>
        <w:t xml:space="preserve">Cell division in </w:t>
      </w:r>
      <w:r w:rsidRPr="007C155A">
        <w:rPr>
          <w:rFonts w:ascii="Times New Roman" w:hAnsi="Times New Roman" w:cs="Times New Roman"/>
          <w:i/>
          <w:color w:val="000000" w:themeColor="text1"/>
          <w:sz w:val="28"/>
          <w:szCs w:val="28"/>
        </w:rPr>
        <w:t>S. aureus</w:t>
      </w:r>
    </w:p>
    <w:p w:rsidR="00FE29E6" w:rsidRPr="007C155A" w:rsidRDefault="00FE29E6" w:rsidP="00FE29E6">
      <w:pPr>
        <w:spacing w:line="480" w:lineRule="auto"/>
        <w:jc w:val="both"/>
        <w:rPr>
          <w:rFonts w:ascii="Times New Roman" w:hAnsi="Times New Roman" w:cs="Times New Roman"/>
          <w:i/>
          <w:color w:val="000000" w:themeColor="text1"/>
          <w:sz w:val="28"/>
          <w:szCs w:val="28"/>
        </w:rPr>
      </w:pPr>
      <w:r w:rsidRPr="007C155A">
        <w:rPr>
          <w:rFonts w:ascii="Times New Roman" w:hAnsi="Times New Roman" w:cs="Times New Roman"/>
          <w:color w:val="000000" w:themeColor="text1"/>
          <w:sz w:val="28"/>
          <w:szCs w:val="28"/>
        </w:rPr>
        <w:t>6.2.1</w:t>
      </w:r>
      <w:r w:rsidRPr="007C155A">
        <w:rPr>
          <w:rFonts w:ascii="Times New Roman" w:hAnsi="Times New Roman" w:cs="Times New Roman"/>
          <w:color w:val="000000" w:themeColor="text1"/>
          <w:sz w:val="28"/>
          <w:szCs w:val="28"/>
        </w:rPr>
        <w:tab/>
      </w:r>
      <w:r w:rsidRPr="007C155A">
        <w:rPr>
          <w:rFonts w:ascii="Times New Roman" w:hAnsi="Times New Roman" w:cs="Times New Roman"/>
          <w:color w:val="000000" w:themeColor="text1"/>
          <w:sz w:val="28"/>
          <w:szCs w:val="28"/>
        </w:rPr>
        <w:tab/>
        <w:t>Coordination of cell division</w:t>
      </w:r>
    </w:p>
    <w:p w:rsidR="00FE29E6" w:rsidRPr="007C155A" w:rsidRDefault="00FE29E6" w:rsidP="00FE29E6">
      <w:pPr>
        <w:spacing w:line="480" w:lineRule="auto"/>
        <w:jc w:val="both"/>
        <w:rPr>
          <w:rFonts w:ascii="Times New Roman" w:hAnsi="Times New Roman" w:cs="Times New Roman"/>
          <w:color w:val="000000" w:themeColor="text1"/>
          <w:sz w:val="24"/>
          <w:szCs w:val="24"/>
        </w:rPr>
      </w:pPr>
      <w:r w:rsidRPr="007C155A">
        <w:rPr>
          <w:rFonts w:ascii="Times New Roman" w:hAnsi="Times New Roman" w:cs="Times New Roman"/>
          <w:color w:val="000000" w:themeColor="text1"/>
          <w:sz w:val="24"/>
          <w:szCs w:val="24"/>
        </w:rPr>
        <w:t xml:space="preserve">In vegetative rod-shaped organisms, proteinaceous mechanisms cooperate to establish the division site at mid cell. Nucleoid occlusion prevents FtsZ ring formation over the bacterial chromosome, restricting division to the mid-cell or poles where DNA is in low abundance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{"citationID":"2geiccemt4","properties":{"formattedCitation":"(Wu and Errington, 2004; Bernhardt and de Boer, 2005; Wu et al., 2009)","plainCitation":"(Wu and Errington, 2004; Bernhardt and de Boer, 2005; Wu et al., 2009)"},"citationItems":[{"id":671,"uris":["http://zotero.org/users/944474/items/8NP95CAC"],"uri":["http://zotero.org/users/944474/items/8NP95CAC"],"itemData":{"id":671,"type":"article-journal","title":"Coordination of cell division and chromosome segregation by a nucleoid occlusion protein in Bacillus subtilis","container-title":"Cell","page":"915-925","volume":"117","issue":"7","abstract":"A range of genetical and physiological experiments have established that diverse bacterial cells possess a function called nucleoid occlusion, which acts to prevent cell division in the vicinity of the nucleoid. We have identified a specific effector of nucleoid occlusion in Bacillus subtilis, Noc (YyaA), as an inhibitor of division that is also a nonspecific DNA binding protein. Under various conditions in which the cell cycle is perturbed, Noc prevents the division machinery from assembling in the vicinity of the nucleoid. Unexpectedly, cells lacking both Noc and the Min system (which prevents division close to the cell poles) are blocked for division, apparently because they establish multiple nonproductive accumulations of division proteins. The results help to explain how B. subtilis specifies the division site under a range of conditions and how it avoids catastrophic breakage of the chromosome by division through the nucleoid.","DOI":"10.1016/j.cell.2004.06.002","note":"PMID: 15210112","journalAbbreviation":"Cell","author":[{"family":"Wu","given":"Ling Juan"},{"family":"Errington","given":"Jeff"}],"issued":{"year":2004,"month":6,"day":25},"accessed":{"year":2012,"month":7,"day":8},"page-first":"915"}},{"id":674,"uris":["http://zotero.org/users/944474/items/E7732QX4"],"uri":["http://zotero.org/users/944474/items/E7732QX4"],"itemData":{"id":674,"type":"article-journal","title":"SlmA, a nucleoid-associated, FtsZ binding protein required for blocking septal ring assembly over Chromosomes in E. coli","container-title":"Molecular cell","page":"555-564","volume":"18","issue":"5","abstract":"Cell division in Escherichia coli begins with assembly of the tubulin-like FtsZ protein into a ring structure just underneath the cell membrane. Spatial control over Z ring assembly is achieved by two partially redundant negative regulatory systems, the Min system and nucleoid occlusion (NO), which cooperate to position the division site at midcell. In contrast to the well-studied Min system, almost nothing is known about how Z ring assembly is blocked in the vicinity of nucleoids to effect NO. Reasoning that Min function might become essential in cells impaired for NO, we screened for mutations synthetically lethal with a defective Min system (slm mutants). By using this approach, we identified SlmA (Ttk) as the first NO factor in E. coli. Our combined genetic, cytological, and biochemical results suggest that SlmA is a DNA-associated division inhibitor that is directly involved in preventing Z ring assembly on portions of the membrane surrounding the nucleoid.","DOI":"10.1016/j.molcel.2005.04.012","note":"PMID: 15916962","journalAbbreviation":"Mol. Cell","author":[{"family":"Bernhardt","given":"Thomas G"},{"family":"de Boer","given":"Piet A J"}],"issued":{"year":2005,"month":5,"day":27},"accessed":{"year":2012,"month":7,"day":8},"page-first":"555"}},{"id":156,"uris":["http://zotero.org/users/944474/items/M8RS4QZ9"],"uri":["http://zotero.org/users/944474/items/M8RS4QZ9"],"itemData":{"id":156,"type":"article-journal","title":"Noc protein binds to specific DNA sequences to coordinate cell division with chromosome segregation","container-title":"The EMBO Journal","page":"1940-1952","volume":"28","issue":"13","abstract":"Coordination of chromosome segregation and cytokinesis is crucial for efficient cell proliferation. In Bacillus subtilis, the nucleoid occlusion protein Noc protects the chromosomes by associating with the chromosome and preventing cell division in its vicinity. Using protein localization, ChAP-on-Chip and bioinformatics, we have identified a consensus Noc-binding DNA sequence (NBS), and have shown that Noc is targeted to about 70 discrete regions scattered around the chromosome, though absent from a large region around the replication terminus. Purified Noc bound specifically to an NBS in vitro. NBSs inserted near the replication terminus bound Noc-YFP and caused a delay in cell division. An autonomous plasmid carrying an NBS array recruited Noc-YFP and conferred a severe Noc-dependent inhibition of cell division. This shows that Noc is a potent inhibitor of division, but that its activity is strictly localized by the interaction with NBS sites in vivo. We propose that Noc serves not only as a spatial regulator of cell division to protect the nucleoid, but also as a timing device with an important role in the coordination of chromosome segregation and cell division.","DOI":"10.1038/emboj.2009.144","note":"PMID: 19494834","journalAbbreviation":"EMBO J.","author":[{"family":"Wu","given":"Ling Juan"},{"family":"Ishikawa","given":"Shu"},{"family":"Kawai","given":"Yoshikazu"},{"family":"Oshima","given":"Taku"},{"family":"Ogasawara","given":"Naotake"},{"family":"Errington","given":"Jeff"}],"issued":{"year":2009,"month":7,"day":8},"accessed":{"year":2012,"month":4,"day":23},"page-first":"1940"}}],"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rPr>
        <w:t xml:space="preserve">(Wu and Errington, 2004; Bernhardt and de Boer, 2005; Wu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2009)</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 xml:space="preserve">. The Min system prevents cell division at the poles, either via an oscillating mechanism, or by a stable polar-localisation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{"citationID":"1e0ubdg3p9","properties":{"formattedCitation":"(Edwards and Errington, 1997; Raskin and de Boer, 1999)","plainCitation":"(Edwards and Errington, 1997; Raskin and de Boer, 1999)"},"citationItems":[{"id":669,"uris":["http://zotero.org/users/944474/items/RPP6XV6E"],"uri":["http://zotero.org/users/944474/items/RPP6XV6E"],"itemData":{"id":669,"type":"article-journal","title":"The Bacillus subtilis DivIVA protein targets to the division septum and controls the site specificity of cell division","container-title":"Molecular microbiology","page":"905-915","volume":"24","issue":"5","abstract":"The Bacillus subtilis divIVA gene, first defined by a mutation giving rise to anucleate minicells, has been cloned and characterized. Depletion of DivIVA leads to inhibition of the initiation of cell division. The residual divisions that do occur are abnormally placed and sometimes misorientated relative to the long axis of the cell. The DivIVA phenotype can be suppressed by disruption of the MinCD division inhibitor, suggesting that DivIVA controls the topological specificity of MinCD action and thus septum positioning. A DivIVA-GFP fusion targets to new and used sites of cell division, consistent with it having a direct role in topological specification.","note":"PMID: 9219999","journalAbbreviation":"Mol. Microbiol.","author":[{"family":"Edwards","given":"D H"},{"family":"Errington","given":"J"}],"issued":{"year":1997,"month":6},"accessed":{"year":2012,"month":7,"day":8},"page-first":"905"}},{"id":155,"uris":["http://zotero.org/users/944474/items/CFDV5B9S"],"uri":["http://zotero.org/users/944474/items/CFDV5B9S"],"itemData":{"id":155,"type":"article-journal","title":"Rapid pole-to-pole oscillation of a protein required for directing division to the middle of Escherichia coli","container-title":"Proceedings of the National Academy of Sciences of the United States of America","page":"4971-4976","volume":"96","issue":"9","abstract":"Accurate placement of the division septum at the midpoint of Escherichia coli cells requires the combined action of a general division inhibitor (MinC), a site-specific suppressor of division inhibition (MinE), and an ATPase (MinD) that is required for proper functioning of both MinC and MinE. We previously showed that a functional MinE-Gfp fusion accumulates in a ring structure at/near the middle of cells. Here we show that functional Gfp-MinD accumulates alternately in either one of the cell halves in what appears to be a rapidly oscillating membrane association-dissociation cycle imposed by MinE. The results indicate that MinD represents a novel type of dynamic cellular element in bacteria, with multiple roles in directing the division apparatus to the middle of the cell.","note":"PMID: 10220403","journalAbbreviation":"Proc. Natl. Acad. Sci. U.S.A.","author":[{"family":"Raskin","given":"D M"},{"family":"de Boer","given":"P A"}],"issued":{"year":1999,"month":4,"day":27},"accessed":{"year":2012,"month":4,"day":23},"page-first":"4971"}}],"schema":"https://github.com/citation-style-language/schema/raw/master/csl-citation.json"}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rPr>
        <w:t>(Edwards and Errington, 1997; Raskin and de Boer, 1999)</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 xml:space="preserve">. The Gram-negative coccus </w:t>
      </w:r>
      <w:r w:rsidRPr="007C155A">
        <w:rPr>
          <w:rFonts w:ascii="Times New Roman" w:hAnsi="Times New Roman" w:cs="Times New Roman"/>
          <w:i/>
          <w:color w:val="000000" w:themeColor="text1"/>
          <w:sz w:val="24"/>
          <w:szCs w:val="24"/>
        </w:rPr>
        <w:t>Neisseria</w:t>
      </w:r>
      <w:r w:rsidRPr="007C155A">
        <w:rPr>
          <w:rFonts w:ascii="Times New Roman" w:hAnsi="Times New Roman" w:cs="Times New Roman"/>
          <w:color w:val="000000" w:themeColor="text1"/>
          <w:sz w:val="24"/>
          <w:szCs w:val="24"/>
        </w:rPr>
        <w:t xml:space="preserve"> which divides on two orthogonal planes has a Min system with a putative oscillatory mechanism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{"citationID":"i97k7sp52","properties":{"formattedCitation":"(Ramirez-Arcos et al., 2002)","plainCitation":"(Ramirez-Arcos et al., 2002)"},"citationItems":[{"id":670,"uris":["http://zotero.org/users/944474/items/J3HVZJM7"],"uri":["http://zotero.org/users/944474/items/J3HVZJM7"],"itemData":{"id":670,"type":"article-journal","title":"Conservation of dynamic localization among MinD and MinE orthologues: oscillation of Neisseria gonorrhoeae proteins in Escherichia coli","container-title":"Molecular microbiology","page":"493-504","volume":"46","issue":"2","abstract":"Min proteins are involved in the correct placement of division septa in many bacterial species. In Escherichia coli (Ec) cells, these proteins oscillate from pole to pole, ostensibly to prevent unwanted polar septation. Here, we show that Min proteins from the coccus Neisseria gonorrhoeae (Ng) also oscillate in E. coli. Green fluorescent protein (GFP) fusions to gonococcal MinD and MinE localized dynamically in different E. coli backgrounds. GFP-MinDNg moved from pole to pole in rod-shaped E. coli cells with a 70 +/- 25 s localization cycle when MinENg was expressed in cis. The oscillation time of GFP-MinDNg was reduced when wild-type MinENg was replaced with MinENg carrying a R30D mutation, but lengthened by 15 s when activated by MinEEc. Several mutations in the N-terminal domain of MinDNg, including K16Q and 4- and 19-amino acid truncations, prevented oscillation; these MinDNg mutants showed decreased or lost interaction with themselves and MinENg. Like MinEEc-GFP, MinENg-GFP formed MinE rings and oscillated in E. coli cells when MinDEc was expressed in cis. Finally, in round E. coli cells, GFP-MinDNg appeared to move in a plane parallel to completed septa. This pattern of movement is predicted to be similar in gonococcal cells, which also divide in alternating perpendicular planes.","note":"PMID: 12406224","shortTitle":"Conservation of dynamic localization among MinD and MinE orthologues","journalAbbreviation":"Mol. Microbiol.","author":[{"family":"Ramirez-Arcos","given":"Sandra"},{"family":"Szeto","given":"Jason"},{"family":"Dillon","given":"Jo-Anne R"},{"family":"Margolin","given":"William"}],"issued":{"year":2002,"month":10},"accessed":{"year":2012,"month":7,"day":8},"page-first":"493"}}],"schema":"https://github.com/citation-style-language/schema/raw/master/csl-citation.json"}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rPr>
        <w:t xml:space="preserve">(Ramirez-Arcos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2002)</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 xml:space="preserve">. </w:t>
      </w:r>
      <w:r w:rsidRPr="007C155A">
        <w:rPr>
          <w:rFonts w:ascii="Times New Roman" w:hAnsi="Times New Roman" w:cs="Times New Roman"/>
          <w:color w:val="000000" w:themeColor="text1"/>
          <w:sz w:val="24"/>
          <w:szCs w:val="24"/>
        </w:rPr>
        <w:lastRenderedPageBreak/>
        <w:t xml:space="preserve">No Min homologues have been identified in </w:t>
      </w:r>
      <w:r w:rsidRPr="007C155A">
        <w:rPr>
          <w:rFonts w:ascii="Times New Roman" w:hAnsi="Times New Roman" w:cs="Times New Roman"/>
          <w:i/>
          <w:color w:val="000000" w:themeColor="text1"/>
          <w:sz w:val="24"/>
          <w:szCs w:val="24"/>
        </w:rPr>
        <w:t>S. aureus</w:t>
      </w:r>
      <w:r w:rsidRPr="007C155A">
        <w:rPr>
          <w:rFonts w:ascii="Times New Roman" w:hAnsi="Times New Roman" w:cs="Times New Roman"/>
          <w:color w:val="000000" w:themeColor="text1"/>
          <w:sz w:val="24"/>
          <w:szCs w:val="24"/>
        </w:rPr>
        <w:t xml:space="preserve">, and a DivIVa mutant had no division defects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{"citationID":"29arpe5v6","properties":{"formattedCitation":"(Pinho and Errington, 2004)","plainCitation":"(Pinho and Errington, 2004)"},"citationItems":[{"id":137,"uris":["http://zotero.org/users/944474/items/A22CDCTS"],"uri":["http://zotero.org/users/944474/items/A22CDCTS"],"itemData":{"id":137,"type":"article-journal","title":"A divIVA null mutant of Staphylococcus aureus undergoes normal cell division","container-title":"FEMS Microbiology Letters","page":"145-149","volume":"240","issue":"2","abstract":"DivIVA is involved in placement of the division septum and chromosome segregation in Bacillus subtilis and it plays important roles in cell division or morphogenesis in diverse Gram-positive bacteria. In Staphylococcus aureus, DivIVA is localized at the division septum, but it does not colocalize with the chromosomal origin of replication, as labeled with SpoOJ protein. Unexpectedly, a divIVA null mutant is not impaired in growth, nor is it affected in chromosome segregation or cell morphology.","DOI":"10.1016/j.femsle.2004.09.038","note":"PMID: 15522501","journalAbbreviation":"FEMS Microbiol. Lett.","author":[{"family":"Pinho","given":"Mariana G"},{"family":"Errington","given":"Jeff"}],"issued":{"year":2004,"month":11,"day":15},"accessed":{"year":2012,"month":4,"day":20},"page-first":"145"}}],"schema":"https://github.com/citation-style-language/schema/raw/master/csl-citation.json"}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rPr>
        <w:t>(Pinho and Errington, 2004)</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 xml:space="preserve">. A model of division plane coordination via nucleoid occlusion (NO) was proposed following the observation that FtsZ is unable to polymerise as a ring on a single plane in a </w:t>
      </w:r>
      <w:r w:rsidRPr="007C155A">
        <w:rPr>
          <w:rFonts w:ascii="Times New Roman" w:hAnsi="Times New Roman" w:cs="Times New Roman"/>
          <w:i/>
          <w:color w:val="000000" w:themeColor="text1"/>
          <w:sz w:val="24"/>
          <w:szCs w:val="24"/>
        </w:rPr>
        <w:t>S. aureus noc</w:t>
      </w:r>
      <w:r w:rsidRPr="007C155A">
        <w:rPr>
          <w:rFonts w:ascii="Times New Roman" w:hAnsi="Times New Roman" w:cs="Times New Roman"/>
          <w:color w:val="000000" w:themeColor="text1"/>
          <w:sz w:val="24"/>
          <w:szCs w:val="24"/>
        </w:rPr>
        <w:t xml:space="preserve"> mutant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{"citationID":"24enuma12k","properties":{"formattedCitation":"(Veiga et al., 2011)","plainCitation":"(Veiga et al., 2011)"},"citationItems":[{"id":664,"uris":["http://zotero.org/users/944474/items/9FIBWK2K"],"uri":["http://zotero.org/users/944474/items/9FIBWK2K"],"itemData":{"id":664,"type":"article-journal","title":"Absence of nucleoid occlusion effector Noc impairs formation of orthogonal FtsZ rings during Staphylococcus aureus cell division","container-title":"Molecular microbiology","page":"1366-1380","volume":"80","issue":"5","abstract":"The Gram-positive pathogen Staphylococcus aureus divides by synthesizing the septum in three orthogonal planes over three consecutive division cycles. This process has to be tightly coordinated with chromosome segregation to avoid bisection of the nucleoid by the septum. Here we show that deletion of the nucleoid occlusion effector Noc in S. aureus results in the formation of Z-rings over the nucleoid, as well as in DNA breaks, indicating that Noc has an important role as an antiguillotine checkpoint that prevents septa from forming over the DNA. Furthermore, Noc deleted cells show multiple Z-rings which are no longer placed in perpendicular planes. We propose that the axis of chromosome segregation has a role in determining the placement of the division septum. This is achieved via the action of Noc which restricts the placement of the division septum to one of an infinite number of potential division planes that exist in S. aureus.","DOI":"10.1111/j.1365-2958.2011.07651.x","note":"PMID: 21477126","journalAbbreviation":"Mol. Microbiol.","author":[{"family":"Veiga","given":"Helena"},{"family":"Jorge","given":"Ana M"},{"family":"Pinho","given":"Mariana G"}],"issued":{"year":2011,"month":6},"accessed":{"year":2012,"month":7,"day":6},"page-first":"1366"}}],"schema":"https://github.com/citation-style-language/schema/raw/master/csl-citation.json"}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rPr>
        <w:t xml:space="preserve">(Veiga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2011)</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 xml:space="preserve">. However NO alone provides insufficient information to establish a single, strictly orthogonal division plane (Figure 6.2A;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{"citationID":"26f59fhfsn","properties":{"formattedCitation":"(Veiga et al., 2011)","plainCitation":"(Veiga et al., 2011)"},"citationItems":[{"id":664,"uris":["http://zotero.org/users/944474/items/9FIBWK2K"],"uri":["http://zotero.org/users/944474/items/9FIBWK2K"],"itemData":{"id":664,"type":"article-journal","title":"Absence of nucleoid occlusion effector Noc impairs formation of orthogonal FtsZ rings during Staphylococcus aureus cell division","container-title":"Molecular microbiology","page":"1366-1380","volume":"80","issue":"5","abstract":"The Gram-positive pathogen Staphylococcus aureus divides by synthesizing the septum in three orthogonal planes over three consecutive division cycles. This process has to be tightly coordinated with chromosome segregation to avoid bisection of the nucleoid by the septum. Here we show that deletion of the nucleoid occlusion effector Noc in S. aureus results in the formation of Z-rings over the nucleoid, as well as in DNA breaks, indicating that Noc has an important role as an antiguillotine checkpoint that prevents septa from forming over the DNA. Furthermore, Noc deleted cells show multiple Z-rings which are no longer placed in perpendicular planes. We propose that the axis of chromosome segregation has a role in determining the placement of the division septum. This is achieved via the action of Noc which restricts the placement of the division septum to one of an infinite number of potential division planes that exist in S. aureus.","DOI":"10.1111/j.1365-2958.2011.07651.x","note":"PMID: 21477126","journalAbbreviation":"Mol. Microbiol.","author":[{"family":"Veiga","given":"Helena"},{"family":"Jorge","given":"Ana M"},{"family":"Pinho","given":"Mariana G"}],"issued":{"year":2011,"month":6},"accessed":{"year":2012,"month":7,"day":6},"page-first":"1366"}}],"schema":"https://github.com/citation-style-language/schema/raw/master/csl-citation.json"}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rPr>
        <w:t xml:space="preserve">Veiga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2011)</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w:t>
      </w:r>
    </w:p>
    <w:p w:rsidR="00FE29E6" w:rsidRPr="007C155A" w:rsidRDefault="00FE29E6" w:rsidP="00FE29E6">
      <w:pPr>
        <w:spacing w:line="480" w:lineRule="auto"/>
        <w:jc w:val="both"/>
        <w:rPr>
          <w:rFonts w:ascii="Times New Roman" w:hAnsi="Times New Roman" w:cs="Times New Roman"/>
          <w:color w:val="000000" w:themeColor="text1"/>
          <w:sz w:val="24"/>
          <w:szCs w:val="24"/>
        </w:rPr>
      </w:pPr>
      <w:r w:rsidRPr="007C155A">
        <w:rPr>
          <w:rFonts w:ascii="Times New Roman" w:hAnsi="Times New Roman" w:cs="Times New Roman"/>
          <w:color w:val="000000" w:themeColor="text1"/>
          <w:sz w:val="24"/>
          <w:szCs w:val="24"/>
        </w:rPr>
        <w:t xml:space="preserve">Characterisation of the </w:t>
      </w:r>
      <w:r w:rsidRPr="007C155A">
        <w:rPr>
          <w:rFonts w:ascii="Times New Roman" w:hAnsi="Times New Roman" w:cs="Times New Roman"/>
          <w:i/>
          <w:color w:val="000000" w:themeColor="text1"/>
          <w:sz w:val="24"/>
          <w:szCs w:val="24"/>
        </w:rPr>
        <w:t xml:space="preserve">S. aureus </w:t>
      </w:r>
      <w:r w:rsidRPr="007C155A">
        <w:rPr>
          <w:rFonts w:ascii="Times New Roman" w:hAnsi="Times New Roman" w:cs="Times New Roman"/>
          <w:color w:val="000000" w:themeColor="text1"/>
          <w:sz w:val="24"/>
          <w:szCs w:val="24"/>
        </w:rPr>
        <w:t>peptidoglycan architecture revealed a heritable system of intersecting ribs that demark previous division planes (Chapter 4). We hypothesised that this information is used to coordinate cell division using the quarter rib as the next division plane (Chapter 4). An a</w:t>
      </w:r>
      <w:r>
        <w:rPr>
          <w:rFonts w:ascii="Times New Roman" w:hAnsi="Times New Roman" w:cs="Times New Roman"/>
          <w:color w:val="000000" w:themeColor="text1"/>
          <w:sz w:val="24"/>
          <w:szCs w:val="24"/>
        </w:rPr>
        <w:t>lternative</w:t>
      </w:r>
      <w:r w:rsidRPr="007C155A">
        <w:rPr>
          <w:rFonts w:ascii="Times New Roman" w:hAnsi="Times New Roman" w:cs="Times New Roman"/>
          <w:color w:val="000000" w:themeColor="text1"/>
          <w:sz w:val="24"/>
          <w:szCs w:val="24"/>
        </w:rPr>
        <w:t xml:space="preserve"> hypothesis is that chromosome segregation is coordinated by the peptidoglycan ribs, as this process must also occur on orthogonal planes (Figure 6.2A). Chromosome segregation occurs on the axis containing the peptidoglycan half rib formed by the previous division (Figure 6.2A-i). In this model the first division plane is set before hydrolytic maturation to spherical shape, by segregation of the chromosome parallel to the septal cross-wall (Figure 6.2B-i;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{"citationID":"194s8fu3d1","properties":{"formattedCitation":"(Veiga et al., 2011)","plainCitation":"(Veiga et al., 2011)"},"citationItems":[{"id":664,"uris":["http://zotero.org/users/944474/items/9FIBWK2K"],"uri":["http://zotero.org/users/944474/items/9FIBWK2K"],"itemData":{"id":664,"type":"article-journal","title":"Absence of nucleoid occlusion effector Noc impairs formation of orthogonal FtsZ rings during Staphylococcus aureus cell division","container-title":"Molecular microbiology","page":"1366-1380","volume":"80","issue":"5","abstract":"The Gram-positive pathogen Staphylococcus aureus divides by synthesizing the septum in three orthogonal planes over three consecutive division cycles. This process has to be tightly coordinated with chromosome segregation to avoid bisection of the nucleoid by the septum. Here we show that deletion of the nucleoid occlusion effector Noc in S. aureus results in the formation of Z-rings over the nucleoid, as well as in DNA breaks, indicating that Noc has an important role as an antiguillotine checkpoint that prevents septa from forming over the DNA. Furthermore, Noc deleted cells show multiple Z-rings which are no longer placed in perpendicular planes. We propose that the axis of chromosome segregation has a role in determining the placement of the division septum. This is achieved via the action of Noc which restricts the placement of the division septum to one of an infinite number of potential division planes that exist in S. aureus.","DOI":"10.1111/j.1365-2958.2011.07651.x","note":"PMID: 21477126","journalAbbreviation":"Mol. Microbiol.","author":[{"family":"Veiga","given":"Helena"},{"family":"Jorge","given":"Ana M"},{"family":"Pinho","given":"Mariana G"}],"issued":{"year":2011,"month":6},"accessed":{"year":2012,"month":7,"day":6},"page-first":"1366"}}],"schema":"https://github.com/citation-style-language/schema/raw/master/csl-citation.json"}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rPr>
        <w:t xml:space="preserve">Veiga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2011)</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 xml:space="preserve">. The second plane of chromosome segregation occurs parallel to the peptidoglycan half rib, through an unknown recognition mechanism (Figure 6.2B-ii). The third division plane is set </w:t>
      </w:r>
      <w:r>
        <w:rPr>
          <w:rFonts w:ascii="Times New Roman" w:hAnsi="Times New Roman" w:cs="Times New Roman"/>
          <w:color w:val="000000" w:themeColor="text1"/>
          <w:sz w:val="24"/>
          <w:szCs w:val="24"/>
        </w:rPr>
        <w:t>via</w:t>
      </w:r>
      <w:r w:rsidRPr="007C155A">
        <w:rPr>
          <w:rFonts w:ascii="Times New Roman" w:hAnsi="Times New Roman" w:cs="Times New Roman"/>
          <w:color w:val="000000" w:themeColor="text1"/>
          <w:sz w:val="24"/>
          <w:szCs w:val="24"/>
        </w:rPr>
        <w:t xml:space="preserve"> </w:t>
      </w:r>
      <w:r w:rsidRPr="007C155A">
        <w:rPr>
          <w:rFonts w:ascii="Times New Roman" w:hAnsi="Times New Roman" w:cs="Times New Roman"/>
          <w:i/>
          <w:color w:val="000000" w:themeColor="text1"/>
          <w:sz w:val="24"/>
          <w:szCs w:val="24"/>
        </w:rPr>
        <w:t>noc</w:t>
      </w:r>
      <w:r w:rsidRPr="007C155A">
        <w:rPr>
          <w:rFonts w:ascii="Times New Roman" w:hAnsi="Times New Roman" w:cs="Times New Roman"/>
          <w:color w:val="000000" w:themeColor="text1"/>
          <w:sz w:val="24"/>
          <w:szCs w:val="24"/>
        </w:rPr>
        <w:t>-mediated</w:t>
      </w:r>
      <w:r>
        <w:rPr>
          <w:rFonts w:ascii="Times New Roman" w:hAnsi="Times New Roman" w:cs="Times New Roman"/>
          <w:color w:val="000000" w:themeColor="text1"/>
          <w:sz w:val="24"/>
          <w:szCs w:val="24"/>
        </w:rPr>
        <w:t xml:space="preserve"> inhibition</w:t>
      </w:r>
      <w:r w:rsidRPr="007C155A">
        <w:rPr>
          <w:rFonts w:ascii="Times New Roman" w:hAnsi="Times New Roman" w:cs="Times New Roman"/>
          <w:color w:val="000000" w:themeColor="text1"/>
          <w:sz w:val="24"/>
          <w:szCs w:val="24"/>
        </w:rPr>
        <w:t xml:space="preserve"> of FtsZ-ring formation (Figure 6.2B-iii). </w:t>
      </w:r>
    </w:p>
    <w:p w:rsidR="00FE29E6" w:rsidRPr="007C155A" w:rsidRDefault="00FE29E6" w:rsidP="00FE29E6">
      <w:pPr>
        <w:spacing w:line="480" w:lineRule="auto"/>
        <w:jc w:val="both"/>
        <w:rPr>
          <w:rFonts w:ascii="Times New Roman" w:hAnsi="Times New Roman" w:cs="Times New Roman"/>
          <w:noProof/>
          <w:color w:val="000000" w:themeColor="text1"/>
          <w:sz w:val="24"/>
          <w:szCs w:val="24"/>
          <w:lang w:eastAsia="en-GB"/>
        </w:rPr>
      </w:pPr>
      <w:r w:rsidRPr="007C155A">
        <w:rPr>
          <w:rFonts w:ascii="Times New Roman" w:hAnsi="Times New Roman" w:cs="Times New Roman"/>
          <w:color w:val="000000" w:themeColor="text1"/>
          <w:sz w:val="24"/>
          <w:szCs w:val="24"/>
        </w:rPr>
        <w:t xml:space="preserve">An open question is therefore whether coordination of division is driven by the division machinery, chromosome segregation machinery or both. FtsZ localisation is perturbed in a </w:t>
      </w:r>
      <w:r w:rsidRPr="007C155A">
        <w:rPr>
          <w:rFonts w:ascii="Times New Roman" w:hAnsi="Times New Roman" w:cs="Times New Roman"/>
          <w:i/>
          <w:color w:val="000000" w:themeColor="text1"/>
          <w:sz w:val="24"/>
          <w:szCs w:val="24"/>
        </w:rPr>
        <w:t>S. aureus noc</w:t>
      </w:r>
      <w:r w:rsidRPr="007C155A">
        <w:rPr>
          <w:rFonts w:ascii="Times New Roman" w:hAnsi="Times New Roman" w:cs="Times New Roman"/>
          <w:color w:val="000000" w:themeColor="text1"/>
          <w:sz w:val="24"/>
          <w:szCs w:val="24"/>
        </w:rPr>
        <w:t xml:space="preserve"> mutant </w:t>
      </w:r>
      <w:r w:rsidRPr="007C155A">
        <w:rPr>
          <w:rFonts w:ascii="Times New Roman" w:hAnsi="Times New Roman" w:cs="Times New Roman"/>
          <w:color w:val="000000" w:themeColor="text1"/>
          <w:sz w:val="24"/>
          <w:szCs w:val="24"/>
        </w:rPr>
        <w:fldChar w:fldCharType="begin"/>
      </w:r>
      <w:r w:rsidRPr="007C155A">
        <w:rPr>
          <w:rFonts w:ascii="Times New Roman" w:hAnsi="Times New Roman" w:cs="Times New Roman"/>
          <w:color w:val="000000" w:themeColor="text1"/>
          <w:sz w:val="24"/>
          <w:szCs w:val="24"/>
        </w:rPr>
        <w:instrText xml:space="preserve"> ADDIN ZOTERO_ITEM CSL_CITATION {"citationID":"cvi2sbIx","properties":{"formattedCitation":"(Veiga et al., 2011)","plainCitation":"(Veiga et al., 2011)"},"citationItems":[{"id":664,"uris":["http://zotero.org/users/944474/items/9FIBWK2K"],"uri":["http://zotero.org/users/944474/items/9FIBWK2K"],"itemData":{"id":664,"type":"article-journal","title":"Absence of nucleoid occlusion effector Noc impairs formation of orthogonal FtsZ rings during Staphylococcus aureus cell division","container-title":"Molecular microbiology","page":"1366-1380","volume":"80","issue":"5","abstract":"The Gram-positive pathogen Staphylococcus aureus divides by synthesizing the septum in three orthogonal planes over three consecutive division cycles. This process has to be tightly coordinated with chromosome segregation to avoid bisection of the nucleoid by the septum. Here we show that deletion of the nucleoid occlusion effector Noc in S. aureus results in the formation of Z-rings over the nucleoid, as well as in DNA breaks, indicating that Noc has an important role as an antiguillotine checkpoint that prevents septa from forming over the DNA. Furthermore, Noc deleted cells show multiple Z-rings which are no longer placed in perpendicular planes. We propose that the axis of chromosome segregation has a role in determining the placement of the division septum. This is achieved via the action of Noc which restricts the placement of the division septum to one of an infinite number of potential division planes that exist in S. aureus.","DOI":"10.1111/j.1365-2958.2011.07651.x","note":"PMID: 21477126","journalAbbreviation":"Mol. Microbiol.","author":[{"family":"Veiga","given":"Helena"},{"family":"Jorge","given":"Ana M"},{"family":"Pinho","given":"Mariana G"}],"issued":{"year":2011,"month":6},"accessed":{"year":2012,"month":7,"day":6},"page-first":"1366"}}],"schema":"https://github.com/citation-style-language/schema/raw/master/csl-citation.json"} </w:instrText>
      </w:r>
      <w:r w:rsidRPr="007C155A">
        <w:rPr>
          <w:rFonts w:ascii="Times New Roman" w:hAnsi="Times New Roman" w:cs="Times New Roman"/>
          <w:color w:val="000000" w:themeColor="text1"/>
          <w:sz w:val="24"/>
          <w:szCs w:val="24"/>
        </w:rPr>
        <w:fldChar w:fldCharType="separate"/>
      </w:r>
      <w:r w:rsidRPr="007C155A">
        <w:rPr>
          <w:rFonts w:ascii="Times New Roman" w:hAnsi="Times New Roman" w:cs="Times New Roman"/>
          <w:color w:val="000000" w:themeColor="text1"/>
          <w:sz w:val="24"/>
        </w:rPr>
        <w:t xml:space="preserve">(Veiga </w:t>
      </w:r>
      <w:r w:rsidRPr="0011411F">
        <w:rPr>
          <w:rFonts w:ascii="Times New Roman" w:hAnsi="Times New Roman" w:cs="Times New Roman"/>
          <w:i/>
          <w:color w:val="000000" w:themeColor="text1"/>
          <w:sz w:val="24"/>
        </w:rPr>
        <w:t>et al</w:t>
      </w:r>
      <w:r w:rsidRPr="007C155A">
        <w:rPr>
          <w:rFonts w:ascii="Times New Roman" w:hAnsi="Times New Roman" w:cs="Times New Roman"/>
          <w:color w:val="000000" w:themeColor="text1"/>
          <w:sz w:val="24"/>
        </w:rPr>
        <w:t>., 2011)</w:t>
      </w:r>
      <w:r w:rsidRPr="007C155A">
        <w:rPr>
          <w:rFonts w:ascii="Times New Roman" w:hAnsi="Times New Roman" w:cs="Times New Roman"/>
          <w:color w:val="000000" w:themeColor="text1"/>
          <w:sz w:val="24"/>
          <w:szCs w:val="24"/>
        </w:rPr>
        <w:fldChar w:fldCharType="end"/>
      </w:r>
      <w:r w:rsidRPr="007C155A">
        <w:rPr>
          <w:rFonts w:ascii="Times New Roman" w:hAnsi="Times New Roman" w:cs="Times New Roman"/>
          <w:color w:val="000000" w:themeColor="text1"/>
          <w:sz w:val="24"/>
          <w:szCs w:val="24"/>
        </w:rPr>
        <w:t>. Analysis of</w:t>
      </w:r>
      <w:r>
        <w:rPr>
          <w:rFonts w:ascii="Times New Roman" w:hAnsi="Times New Roman" w:cs="Times New Roman"/>
          <w:color w:val="000000" w:themeColor="text1"/>
          <w:sz w:val="24"/>
          <w:szCs w:val="24"/>
        </w:rPr>
        <w:t xml:space="preserve"> chromosome</w:t>
      </w:r>
      <w:r w:rsidRPr="007C155A">
        <w:rPr>
          <w:rFonts w:ascii="Times New Roman" w:hAnsi="Times New Roman" w:cs="Times New Roman"/>
          <w:color w:val="000000" w:themeColor="text1"/>
          <w:sz w:val="24"/>
          <w:szCs w:val="24"/>
        </w:rPr>
        <w:t xml:space="preserve"> segregat</w:t>
      </w:r>
      <w:r>
        <w:rPr>
          <w:rFonts w:ascii="Times New Roman" w:hAnsi="Times New Roman" w:cs="Times New Roman"/>
          <w:color w:val="000000" w:themeColor="text1"/>
          <w:sz w:val="24"/>
          <w:szCs w:val="24"/>
        </w:rPr>
        <w:t>ion</w:t>
      </w:r>
      <w:r w:rsidRPr="007C155A">
        <w:rPr>
          <w:rFonts w:ascii="Times New Roman" w:hAnsi="Times New Roman" w:cs="Times New Roman"/>
          <w:color w:val="000000" w:themeColor="text1"/>
          <w:sz w:val="24"/>
          <w:szCs w:val="24"/>
        </w:rPr>
        <w:t xml:space="preserve"> in cells where FtsZ-ring formation is inhibited would </w:t>
      </w:r>
      <w:r>
        <w:rPr>
          <w:rFonts w:ascii="Times New Roman" w:hAnsi="Times New Roman" w:cs="Times New Roman"/>
          <w:color w:val="000000" w:themeColor="text1"/>
          <w:sz w:val="24"/>
          <w:szCs w:val="24"/>
        </w:rPr>
        <w:t>indicate</w:t>
      </w:r>
      <w:r w:rsidRPr="007C155A">
        <w:rPr>
          <w:rFonts w:ascii="Times New Roman" w:hAnsi="Times New Roman" w:cs="Times New Roman"/>
          <w:color w:val="000000" w:themeColor="text1"/>
          <w:sz w:val="24"/>
          <w:szCs w:val="24"/>
        </w:rPr>
        <w:t xml:space="preserve"> whether orthogonal division is established by a NO-driven model.</w:t>
      </w:r>
    </w:p>
    <w:p w:rsidR="00FE29E6" w:rsidRDefault="00FE29E6" w:rsidP="00FE29E6">
      <w:pPr>
        <w:spacing w:line="480" w:lineRule="auto"/>
        <w:jc w:val="both"/>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5278120" cy="4186555"/>
            <wp:effectExtent l="19050" t="0" r="0" b="0"/>
            <wp:docPr id="107" name="Picture 3" descr="N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c.png"/>
                    <pic:cNvPicPr/>
                  </pic:nvPicPr>
                  <pic:blipFill>
                    <a:blip r:embed="rId111" cstate="print"/>
                    <a:stretch>
                      <a:fillRect/>
                    </a:stretch>
                  </pic:blipFill>
                  <pic:spPr>
                    <a:xfrm>
                      <a:off x="0" y="0"/>
                      <a:ext cx="5278120" cy="4186555"/>
                    </a:xfrm>
                    <a:prstGeom prst="rect">
                      <a:avLst/>
                    </a:prstGeom>
                  </pic:spPr>
                </pic:pic>
              </a:graphicData>
            </a:graphic>
          </wp:inline>
        </w:drawing>
      </w:r>
    </w:p>
    <w:p w:rsidR="00FE29E6" w:rsidRDefault="00FE29E6" w:rsidP="00FE29E6">
      <w:pPr>
        <w:spacing w:line="360" w:lineRule="auto"/>
        <w:jc w:val="both"/>
        <w:rPr>
          <w:rFonts w:ascii="Times New Roman" w:hAnsi="Times New Roman" w:cs="Times New Roman"/>
          <w:sz w:val="24"/>
          <w:szCs w:val="24"/>
        </w:rPr>
      </w:pPr>
      <w:proofErr w:type="gramStart"/>
      <w:r>
        <w:rPr>
          <w:rFonts w:ascii="Times New Roman" w:hAnsi="Times New Roman" w:cs="Times New Roman"/>
          <w:b/>
          <w:sz w:val="24"/>
          <w:szCs w:val="24"/>
        </w:rPr>
        <w:t>Figure 6.2</w:t>
      </w:r>
      <w:r w:rsidRPr="00A33CDA">
        <w:rPr>
          <w:rFonts w:ascii="Times New Roman" w:hAnsi="Times New Roman" w:cs="Times New Roman"/>
          <w:b/>
          <w:sz w:val="24"/>
          <w:szCs w:val="24"/>
        </w:rPr>
        <w:t>.</w:t>
      </w:r>
      <w:proofErr w:type="gramEnd"/>
      <w:r w:rsidRPr="00A33CDA">
        <w:rPr>
          <w:rFonts w:ascii="Times New Roman" w:hAnsi="Times New Roman" w:cs="Times New Roman"/>
          <w:b/>
          <w:sz w:val="24"/>
          <w:szCs w:val="24"/>
        </w:rPr>
        <w:t xml:space="preserve"> </w:t>
      </w:r>
      <w:proofErr w:type="gramStart"/>
      <w:r>
        <w:rPr>
          <w:rFonts w:ascii="Times New Roman" w:hAnsi="Times New Roman" w:cs="Times New Roman"/>
          <w:b/>
          <w:sz w:val="24"/>
          <w:szCs w:val="24"/>
        </w:rPr>
        <w:t>A chromosome segregation-driven model for division on orthogonal planes.</w:t>
      </w:r>
      <w:proofErr w:type="gramEnd"/>
      <w:r>
        <w:rPr>
          <w:rFonts w:ascii="Times New Roman" w:hAnsi="Times New Roman" w:cs="Times New Roman"/>
          <w:sz w:val="24"/>
          <w:szCs w:val="24"/>
        </w:rPr>
        <w:t xml:space="preserve"> A, Chromosome segregation occurs on a single plane (i-iii), but in phase (ii) the chromosome could segregate in any direction on the z-y axis. The chromosome must segregate in the plane of the peptidoglycan half rib (green). B, a</w:t>
      </w:r>
      <w:r w:rsidRPr="00780E7E">
        <w:rPr>
          <w:rFonts w:ascii="Times New Roman" w:hAnsi="Times New Roman" w:cs="Times New Roman"/>
          <w:sz w:val="24"/>
          <w:szCs w:val="24"/>
        </w:rPr>
        <w:t xml:space="preserve"> combined </w:t>
      </w:r>
      <w:r>
        <w:rPr>
          <w:rFonts w:ascii="Times New Roman" w:hAnsi="Times New Roman" w:cs="Times New Roman"/>
          <w:sz w:val="24"/>
          <w:szCs w:val="24"/>
        </w:rPr>
        <w:t xml:space="preserve">peptidoglycan </w:t>
      </w:r>
      <w:r w:rsidRPr="00780E7E">
        <w:rPr>
          <w:rFonts w:ascii="Times New Roman" w:hAnsi="Times New Roman" w:cs="Times New Roman"/>
          <w:sz w:val="24"/>
          <w:szCs w:val="24"/>
        </w:rPr>
        <w:t xml:space="preserve">ribs and </w:t>
      </w:r>
      <w:r>
        <w:rPr>
          <w:rFonts w:ascii="Times New Roman" w:hAnsi="Times New Roman" w:cs="Times New Roman"/>
          <w:sz w:val="24"/>
          <w:szCs w:val="24"/>
        </w:rPr>
        <w:t xml:space="preserve">nucleoid </w:t>
      </w:r>
      <w:proofErr w:type="gramStart"/>
      <w:r>
        <w:rPr>
          <w:rFonts w:ascii="Times New Roman" w:hAnsi="Times New Roman" w:cs="Times New Roman"/>
          <w:sz w:val="24"/>
          <w:szCs w:val="24"/>
        </w:rPr>
        <w:t xml:space="preserve">occlusion </w:t>
      </w:r>
      <w:r w:rsidRPr="00780E7E">
        <w:rPr>
          <w:rFonts w:ascii="Times New Roman" w:hAnsi="Times New Roman" w:cs="Times New Roman"/>
          <w:sz w:val="24"/>
          <w:szCs w:val="24"/>
        </w:rPr>
        <w:t xml:space="preserve"> model</w:t>
      </w:r>
      <w:proofErr w:type="gramEnd"/>
      <w:r w:rsidRPr="00780E7E">
        <w:rPr>
          <w:rFonts w:ascii="Times New Roman" w:hAnsi="Times New Roman" w:cs="Times New Roman"/>
          <w:sz w:val="24"/>
          <w:szCs w:val="24"/>
        </w:rPr>
        <w:t xml:space="preserve"> </w:t>
      </w:r>
      <w:r>
        <w:rPr>
          <w:rFonts w:ascii="Times New Roman" w:hAnsi="Times New Roman" w:cs="Times New Roman"/>
          <w:sz w:val="24"/>
          <w:szCs w:val="24"/>
        </w:rPr>
        <w:t>for</w:t>
      </w:r>
      <w:r w:rsidRPr="00780E7E">
        <w:rPr>
          <w:rFonts w:ascii="Times New Roman" w:hAnsi="Times New Roman" w:cs="Times New Roman"/>
          <w:sz w:val="24"/>
          <w:szCs w:val="24"/>
        </w:rPr>
        <w:t xml:space="preserve"> division</w:t>
      </w:r>
      <w:r>
        <w:rPr>
          <w:rFonts w:ascii="Times New Roman" w:hAnsi="Times New Roman" w:cs="Times New Roman"/>
          <w:sz w:val="24"/>
          <w:szCs w:val="24"/>
        </w:rPr>
        <w:t xml:space="preserve"> on orthogonal planes</w:t>
      </w:r>
      <w:r w:rsidRPr="00A33CDA">
        <w:rPr>
          <w:rFonts w:ascii="Times New Roman" w:hAnsi="Times New Roman" w:cs="Times New Roman"/>
          <w:b/>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 xml:space="preserve">i) Chromosome segregation occurs parallel to the cross-wall (red). </w:t>
      </w:r>
      <w:r w:rsidRPr="00780E7E">
        <w:rPr>
          <w:rFonts w:ascii="Times New Roman" w:hAnsi="Times New Roman" w:cs="Times New Roman"/>
          <w:sz w:val="24"/>
          <w:szCs w:val="24"/>
        </w:rPr>
        <w:t xml:space="preserve">ii) The peptidoglycan half rib (green) demarks the plane of chromosome segregation </w:t>
      </w:r>
      <w:r>
        <w:rPr>
          <w:rFonts w:ascii="Times New Roman" w:hAnsi="Times New Roman" w:cs="Times New Roman"/>
          <w:sz w:val="24"/>
          <w:szCs w:val="24"/>
        </w:rPr>
        <w:t>in the</w:t>
      </w:r>
      <w:r w:rsidRPr="00780E7E">
        <w:rPr>
          <w:rFonts w:ascii="Times New Roman" w:hAnsi="Times New Roman" w:cs="Times New Roman"/>
          <w:sz w:val="24"/>
          <w:szCs w:val="24"/>
        </w:rPr>
        <w:t xml:space="preserve"> </w:t>
      </w:r>
      <w:r>
        <w:rPr>
          <w:rFonts w:ascii="Times New Roman" w:hAnsi="Times New Roman" w:cs="Times New Roman"/>
          <w:sz w:val="24"/>
          <w:szCs w:val="24"/>
        </w:rPr>
        <w:t xml:space="preserve">z-y </w:t>
      </w:r>
      <w:r w:rsidRPr="00780E7E">
        <w:rPr>
          <w:rFonts w:ascii="Times New Roman" w:hAnsi="Times New Roman" w:cs="Times New Roman"/>
          <w:sz w:val="24"/>
          <w:szCs w:val="24"/>
        </w:rPr>
        <w:t xml:space="preserve">axis. iii) Nucleoid occlusion (NO) restricts </w:t>
      </w:r>
      <w:r>
        <w:rPr>
          <w:rFonts w:ascii="Times New Roman" w:hAnsi="Times New Roman" w:cs="Times New Roman"/>
          <w:sz w:val="24"/>
          <w:szCs w:val="24"/>
        </w:rPr>
        <w:t>FtsZ-ring assembly to</w:t>
      </w:r>
      <w:r w:rsidRPr="00780E7E">
        <w:rPr>
          <w:rFonts w:ascii="Times New Roman" w:hAnsi="Times New Roman" w:cs="Times New Roman"/>
          <w:sz w:val="24"/>
          <w:szCs w:val="24"/>
        </w:rPr>
        <w:t xml:space="preserve"> the </w:t>
      </w:r>
      <w:r>
        <w:rPr>
          <w:rFonts w:ascii="Times New Roman" w:hAnsi="Times New Roman" w:cs="Times New Roman"/>
          <w:sz w:val="24"/>
          <w:szCs w:val="24"/>
        </w:rPr>
        <w:t xml:space="preserve">axis </w:t>
      </w:r>
      <w:r w:rsidRPr="00780E7E">
        <w:rPr>
          <w:rFonts w:ascii="Times New Roman" w:hAnsi="Times New Roman" w:cs="Times New Roman"/>
          <w:sz w:val="24"/>
          <w:szCs w:val="24"/>
        </w:rPr>
        <w:t xml:space="preserve">perpendicular </w:t>
      </w:r>
      <w:r>
        <w:rPr>
          <w:rFonts w:ascii="Times New Roman" w:hAnsi="Times New Roman" w:cs="Times New Roman"/>
          <w:sz w:val="24"/>
          <w:szCs w:val="24"/>
        </w:rPr>
        <w:t xml:space="preserve">to the </w:t>
      </w:r>
      <w:r w:rsidRPr="00780E7E">
        <w:rPr>
          <w:rFonts w:ascii="Times New Roman" w:hAnsi="Times New Roman" w:cs="Times New Roman"/>
          <w:sz w:val="24"/>
          <w:szCs w:val="24"/>
        </w:rPr>
        <w:t xml:space="preserve">plane </w:t>
      </w:r>
      <w:r>
        <w:rPr>
          <w:rFonts w:ascii="Times New Roman" w:hAnsi="Times New Roman" w:cs="Times New Roman"/>
          <w:sz w:val="24"/>
          <w:szCs w:val="24"/>
        </w:rPr>
        <w:t>of chromosome segregation, i.e. the z-axis.</w:t>
      </w:r>
      <w:r w:rsidRPr="00780E7E">
        <w:rPr>
          <w:rFonts w:ascii="Times New Roman" w:hAnsi="Times New Roman" w:cs="Times New Roman"/>
          <w:sz w:val="24"/>
          <w:szCs w:val="24"/>
        </w:rPr>
        <w:t xml:space="preserve"> Arrows indicate the plane of division.</w:t>
      </w:r>
      <w:r>
        <w:rPr>
          <w:rFonts w:ascii="Times New Roman" w:hAnsi="Times New Roman" w:cs="Times New Roman"/>
          <w:sz w:val="24"/>
          <w:szCs w:val="24"/>
        </w:rPr>
        <w:t xml:space="preserve"> Blue; bacterial chromosome, Red circle; septal cross-wall, Green circle; peptidoglycan rib from previous division, Black line; peptidoglycan rib from 2 division previous, NO; nucleoid occlusion.</w:t>
      </w:r>
    </w:p>
    <w:p w:rsidR="00FE29E6" w:rsidRDefault="00FE29E6" w:rsidP="00FE29E6">
      <w:pPr>
        <w:rPr>
          <w:rFonts w:ascii="Times New Roman" w:hAnsi="Times New Roman" w:cs="Times New Roman"/>
          <w:sz w:val="28"/>
          <w:szCs w:val="28"/>
        </w:rPr>
      </w:pPr>
      <w:r>
        <w:rPr>
          <w:rFonts w:ascii="Times New Roman" w:hAnsi="Times New Roman" w:cs="Times New Roman"/>
          <w:sz w:val="28"/>
          <w:szCs w:val="28"/>
        </w:rPr>
        <w:br w:type="page"/>
      </w:r>
    </w:p>
    <w:p w:rsidR="00FE29E6" w:rsidRDefault="00FE29E6" w:rsidP="00FE29E6">
      <w:pPr>
        <w:spacing w:line="480" w:lineRule="auto"/>
        <w:jc w:val="both"/>
        <w:rPr>
          <w:rFonts w:ascii="Times New Roman" w:hAnsi="Times New Roman" w:cs="Times New Roman"/>
          <w:sz w:val="28"/>
          <w:szCs w:val="28"/>
        </w:rPr>
      </w:pPr>
      <w:r w:rsidRPr="00C71BD0">
        <w:rPr>
          <w:rFonts w:ascii="Times New Roman" w:hAnsi="Times New Roman" w:cs="Times New Roman"/>
          <w:sz w:val="28"/>
          <w:szCs w:val="28"/>
        </w:rPr>
        <w:lastRenderedPageBreak/>
        <w:t>6.</w:t>
      </w:r>
      <w:r>
        <w:rPr>
          <w:rFonts w:ascii="Times New Roman" w:hAnsi="Times New Roman" w:cs="Times New Roman"/>
          <w:sz w:val="28"/>
          <w:szCs w:val="28"/>
        </w:rPr>
        <w:t>2</w:t>
      </w:r>
      <w:r w:rsidRPr="00C71BD0">
        <w:rPr>
          <w:rFonts w:ascii="Times New Roman" w:hAnsi="Times New Roman" w:cs="Times New Roman"/>
          <w:sz w:val="28"/>
          <w:szCs w:val="28"/>
        </w:rPr>
        <w:t>.</w:t>
      </w:r>
      <w:r>
        <w:rPr>
          <w:rFonts w:ascii="Times New Roman" w:hAnsi="Times New Roman" w:cs="Times New Roman"/>
          <w:sz w:val="28"/>
          <w:szCs w:val="28"/>
        </w:rPr>
        <w:t>2</w:t>
      </w:r>
      <w:r w:rsidRPr="00C71BD0">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t>Mechanisms for sensing peptidoglycan r</w:t>
      </w:r>
      <w:r w:rsidRPr="00C71BD0">
        <w:rPr>
          <w:rFonts w:ascii="Times New Roman" w:hAnsi="Times New Roman" w:cs="Times New Roman"/>
          <w:sz w:val="28"/>
          <w:szCs w:val="28"/>
        </w:rPr>
        <w:t>ib</w:t>
      </w:r>
      <w:r>
        <w:rPr>
          <w:rFonts w:ascii="Times New Roman" w:hAnsi="Times New Roman" w:cs="Times New Roman"/>
          <w:sz w:val="28"/>
          <w:szCs w:val="28"/>
        </w:rPr>
        <w:t>s</w:t>
      </w:r>
    </w:p>
    <w:p w:rsidR="00FE29E6" w:rsidRPr="00B50382" w:rsidRDefault="00FE29E6" w:rsidP="00FE29E6">
      <w:pPr>
        <w:spacing w:line="480" w:lineRule="auto"/>
        <w:jc w:val="both"/>
        <w:rPr>
          <w:rFonts w:ascii="Times New Roman" w:hAnsi="Times New Roman" w:cs="Times New Roman"/>
          <w:color w:val="000000" w:themeColor="text1"/>
          <w:sz w:val="24"/>
          <w:szCs w:val="24"/>
        </w:rPr>
        <w:sectPr w:rsidR="00FE29E6" w:rsidRPr="00B50382" w:rsidSect="00D212FA">
          <w:type w:val="continuous"/>
          <w:pgSz w:w="11906" w:h="16838"/>
          <w:pgMar w:top="1440" w:right="1134" w:bottom="1440" w:left="2268" w:header="708" w:footer="708" w:gutter="0"/>
          <w:cols w:space="708"/>
          <w:docGrid w:linePitch="360"/>
        </w:sectPr>
      </w:pPr>
      <w:r w:rsidRPr="00B50382">
        <w:rPr>
          <w:rFonts w:ascii="Times New Roman" w:hAnsi="Times New Roman" w:cs="Times New Roman"/>
          <w:color w:val="000000" w:themeColor="text1"/>
          <w:sz w:val="24"/>
          <w:szCs w:val="24"/>
        </w:rPr>
        <w:t xml:space="preserve">Several mechanisms can be envisaged for coordination of cell division by peptidoglycan ribs (Figure 6.3). The peptidoglycan ribs could physically impose local membrane curvature which is recognised by a protein sensor (Figure 6.3A). Previously characterised mechanisms for sensing surface geometry include arc-shaped Bar domains which form long dimers that recognise convex or concave membranes, and ALPS motifs which form amphipathic helices in contact with curved membranes and are sensitive to changes in membrane radius in the tens of nanometers range </w:t>
      </w:r>
      <w:r w:rsidRPr="00B50382">
        <w:rPr>
          <w:rFonts w:ascii="Times New Roman" w:hAnsi="Times New Roman" w:cs="Times New Roman"/>
          <w:color w:val="000000" w:themeColor="text1"/>
          <w:sz w:val="24"/>
          <w:szCs w:val="24"/>
        </w:rPr>
        <w:fldChar w:fldCharType="begin"/>
      </w:r>
      <w:r w:rsidRPr="00B50382">
        <w:rPr>
          <w:rFonts w:ascii="Times New Roman" w:hAnsi="Times New Roman" w:cs="Times New Roman"/>
          <w:color w:val="000000" w:themeColor="text1"/>
          <w:sz w:val="24"/>
          <w:szCs w:val="24"/>
        </w:rPr>
        <w:instrText xml:space="preserve"> ADDIN ZOTERO_ITEM CSL_CITATION {"citationID":"1tura6n6f8","properties":{"formattedCitation":"(Antonny, 2011)","plainCitation":"(Antonny, 2011)"},"citationItems":[{"id":658,"uris":["http://zotero.org/users/944474/items/4ZQWHE5R"],"uri":["http://zotero.org/users/944474/items/4ZQWHE5R"],"itemData":{"id":658,"type":"article-journal","title":"Mechanisms of membrane curvature sensing","container-title":"Annual review of biochemistry","page":"101-123","volume":"80","abstract":"Bacteria and eukaryotic cells contain geometry-sensing tools in their cytosol: protein motifs or domains that recognize the curvature, concave or convex, deep or shallow, of lipid membranes. These sensors contrast with classical lipid-binding domains by their extended structure and, sometimes, counterintuitive chemistry. Among the sensors are long amphipathic helices, such as the ALPS motif and the N-terminal region of α-synuclein, whose apparent \"design defects\" translate into a remarkable ability to specifically adsorb to the surface of small vesicles. Fundamental differences in the lipid composition of membranes of the early and late secretory pathways probably explain why some sensors use mostly electrostatics whereas others take advantage of the hydrophobic effect. Membrane curvature sensors help to organize very diverse reactions, such as lipid transfer between membranes, the tethering of vesicles at the Golgi apparatus, and the assembly-disassembly cycle of protein coats.","DOI":"10.1146/annurev-biochem-052809-155121","note":"PMID: 21438688","journalAbbreviation":"Annu. Rev. Biochem.","author":[{"family":"Antonny","given":"Bruno"}],"issued":{"year":2011,"month":6,"day":7},"accessed":{"year":2012,"month":7,"day":6},"page-first":"101"},"locator":"20"}],"schema":"https://github.com/citation-style-language/schema/raw/master/csl-citation.json"} </w:instrText>
      </w:r>
      <w:r w:rsidRPr="00B50382">
        <w:rPr>
          <w:rFonts w:ascii="Times New Roman" w:hAnsi="Times New Roman" w:cs="Times New Roman"/>
          <w:color w:val="000000" w:themeColor="text1"/>
          <w:sz w:val="24"/>
          <w:szCs w:val="24"/>
        </w:rPr>
        <w:fldChar w:fldCharType="separate"/>
      </w:r>
      <w:r w:rsidRPr="00B50382">
        <w:rPr>
          <w:rFonts w:ascii="Times New Roman" w:hAnsi="Times New Roman" w:cs="Times New Roman"/>
          <w:color w:val="000000" w:themeColor="text1"/>
          <w:sz w:val="24"/>
        </w:rPr>
        <w:t>(Antonny, 2011)</w:t>
      </w:r>
      <w:r w:rsidRPr="00B50382">
        <w:rPr>
          <w:rFonts w:ascii="Times New Roman" w:hAnsi="Times New Roman" w:cs="Times New Roman"/>
          <w:color w:val="000000" w:themeColor="text1"/>
          <w:sz w:val="24"/>
          <w:szCs w:val="24"/>
        </w:rPr>
        <w:fldChar w:fldCharType="end"/>
      </w:r>
      <w:r w:rsidRPr="00B50382">
        <w:rPr>
          <w:rFonts w:ascii="Times New Roman" w:hAnsi="Times New Roman" w:cs="Times New Roman"/>
          <w:color w:val="000000" w:themeColor="text1"/>
          <w:sz w:val="24"/>
          <w:szCs w:val="24"/>
        </w:rPr>
        <w:t xml:space="preserve">. The proximity of the ribs to the cell membrane may promote binding by membrane anchored proteins, and could physically displace LTAs that inhibit protein localisation (Figure 6.3B). Distinctive peptidoglycan chemistry at the ribs could facilitate direct recognition for protein binding (Figure 6.3C). In </w:t>
      </w:r>
      <w:r w:rsidRPr="00B50382">
        <w:rPr>
          <w:rFonts w:ascii="Times New Roman" w:hAnsi="Times New Roman" w:cs="Times New Roman"/>
          <w:i/>
          <w:color w:val="000000" w:themeColor="text1"/>
          <w:sz w:val="24"/>
          <w:szCs w:val="24"/>
        </w:rPr>
        <w:t>C. crescentus</w:t>
      </w:r>
      <w:r w:rsidRPr="00B50382">
        <w:rPr>
          <w:rFonts w:ascii="Times New Roman" w:hAnsi="Times New Roman" w:cs="Times New Roman"/>
          <w:color w:val="000000" w:themeColor="text1"/>
          <w:sz w:val="24"/>
          <w:szCs w:val="24"/>
        </w:rPr>
        <w:t xml:space="preserve">, SpmX is the first protein known to localise at the stalked pole and functions as an anchor for the segregation machinery. SpmX has a muramidase-like domain, suggesting that it hydrolyses or otherwise interacts with the peptidoglycan layer  </w:t>
      </w:r>
      <w:r w:rsidRPr="00B50382">
        <w:rPr>
          <w:rFonts w:ascii="Times New Roman" w:hAnsi="Times New Roman" w:cs="Times New Roman"/>
          <w:color w:val="000000" w:themeColor="text1"/>
          <w:sz w:val="24"/>
          <w:szCs w:val="24"/>
        </w:rPr>
        <w:fldChar w:fldCharType="begin"/>
      </w:r>
      <w:r w:rsidRPr="00B50382">
        <w:rPr>
          <w:rFonts w:ascii="Times New Roman" w:hAnsi="Times New Roman" w:cs="Times New Roman"/>
          <w:color w:val="000000" w:themeColor="text1"/>
          <w:sz w:val="24"/>
          <w:szCs w:val="24"/>
        </w:rPr>
        <w:instrText xml:space="preserve"> ADDIN ZOTERO_ITEM CSL_CITATION {"citationID":"2q8427nm9o","properties":{"formattedCitation":"(Radhakrishnan et al., 2008; Bowman et al., 2010)","plainCitation":"(Radhakrishnan et al., 2008; Bowman et al., 2010)"},"citationItems":[{"id":676,"uris":["http://zotero.org/users/944474/items/E23TGUU2"],"uri":["http://zotero.org/users/944474/items/E23TGUU2"],"itemData":{"id":676,"type":"article-journal","title":"The dynamic interplay between a cell fate determinant and a lysozyme homolog drives the asymmetric division cycle of Caulobacter crescentus","container-title":"Genes &amp; development","page":"212-225","volume":"22","issue":"2","abstract":"Caulobacter crescentus divides asymmetrically into a swarmer cell and a stalked cell, a process that is governed by the imbalance in phosphorylated levels of the DivK cell fate determinant in the two cellular compartments. The asymmetric polar localization of the DivJ kinase results in its specific inheritance in the stalked daughter cell where it phosphorylates DivK. The mechanism for the polar positioning of DivJ is poorly understood. SpmX, an uncharacterized lysozyme homolog, is shown here to control DivJ localization and activation. In the absence of SpmX, DivJ is delocalized and dysfunctional, resulting in developmental defects caused by an insufficiency in phospho-DivK. While SpmX stimulates DivK phosphorylation in the stalked cell, unphosphorylated DivK in the swarmer cell activates an intricate transcriptional cascade that leads to the production of the spmX message. This event primes the swarmer cell for the impending transition into a stalked cell, a transition that is sparked by the abrupt accumulation and localization of SpmX to the future stalked cell pole. Localized SpmX then recruits and stimulates DivJ, and the resulting phospho-DivK implements the stalked cell fate. The dynamic interplay between SpmX and DivK is at the heart of the molecular circuitry that sustains the Caulobacter developmental cycle.","DOI":"10.1101/gad.1601808","note":"PMID: 18198338","journalAbbreviation":"Genes Dev.","author":[{"family":"Radhakrishnan","given":"Sunish Kumar"},{"family":"Thanbichler","given":"Martin"},{"family":"Viollier","given":"Patrick H"}],"issued":{"year":2008,"month":1,"day":15},"accessed":{"year":2012,"month":7,"day":8},"page-first":"212"}},{"id":677,"uris":["http://zotero.org/users/944474/items/Q2UKQT5K"],"uri":["http://zotero.org/users/944474/items/Q2UKQT5K"],"itemData":{"id":677,"type":"article-journal","title":"Caulobacter PopZ forms a polar subdomain dictating sequential changes in pole composition and function","container-title":"Molecular microbiology","page":"173-189","volume":"76","issue":"1","abstract":"The bacterium Caulobacter crescentus has morphologically and functionally distinct cell poles that undergo sequential changes during the cell cycle. We show that the PopZ oligomeric network forms polar ribosome exclusion zones that change function during cell cycle progression. The parS/ParB chromosomal centromere is tethered to PopZ at one pole prior to the initiation of DNA replication. During polar maturation, the PopZ-centromere tether is broken, and the PopZ zone at that pole then switches function to act as a recruitment factor for the ordered addition of multiple proteins that promote the transformation of the flagellated pole into a stalked pole. Stalked pole assembly, in turn, triggers the initiation of chromosome replication, which signals the formation of a new PopZ zone at the opposite cell pole, where it functions to anchor the newly duplicated centromere that has traversed the long axis of the cell. We propose that pole-specific control of PopZ function co-ordinates polar development and cell cycle progression by enabling independent assembly and tethering activities at the two cell poles.","DOI":"10.1111/j.1365-2958.2010.07088.x","note":"PMID: 20149103","journalAbbreviation":"Mol. Microbiol.","author":[{"family":"Bowman","given":"Grant R"},{"family":"Comolli","given":"Luis R"},{"family":"Gaietta","given":"Guido M"},{"family":"Fero","given":"Michael"},{"family":"Hong","given":"Sun-Hae"},{"family":"Jones","given":"Ying"},{"family":"Lee","given":"Julie H"},{"family":"Downing","given":"Kenneth H"},{"family":"Ellisman","given":"Mark H"},{"family":"McAdams","given":"Harley H"},{"family":"Shapiro","given":"Lucy"}],"issued":{"year":2010,"month":4},"accessed":{"year":2012,"month":7,"day":8},"page-first":"173"}}],"schema":"https://github.com/citation-style-language/schema/raw/master/csl-citation.json"} </w:instrText>
      </w:r>
      <w:r w:rsidRPr="00B50382">
        <w:rPr>
          <w:rFonts w:ascii="Times New Roman" w:hAnsi="Times New Roman" w:cs="Times New Roman"/>
          <w:color w:val="000000" w:themeColor="text1"/>
          <w:sz w:val="24"/>
          <w:szCs w:val="24"/>
        </w:rPr>
        <w:fldChar w:fldCharType="separate"/>
      </w:r>
      <w:r w:rsidRPr="00B50382">
        <w:rPr>
          <w:rFonts w:ascii="Times New Roman" w:hAnsi="Times New Roman" w:cs="Times New Roman"/>
          <w:color w:val="000000" w:themeColor="text1"/>
          <w:sz w:val="24"/>
        </w:rPr>
        <w:t xml:space="preserve">(Radhakrishnan </w:t>
      </w:r>
      <w:r w:rsidRPr="0011411F">
        <w:rPr>
          <w:rFonts w:ascii="Times New Roman" w:hAnsi="Times New Roman" w:cs="Times New Roman"/>
          <w:i/>
          <w:color w:val="000000" w:themeColor="text1"/>
          <w:sz w:val="24"/>
        </w:rPr>
        <w:t>et al</w:t>
      </w:r>
      <w:r w:rsidRPr="00B50382">
        <w:rPr>
          <w:rFonts w:ascii="Times New Roman" w:hAnsi="Times New Roman" w:cs="Times New Roman"/>
          <w:color w:val="000000" w:themeColor="text1"/>
          <w:sz w:val="24"/>
        </w:rPr>
        <w:t xml:space="preserve">., 2008; Bowman </w:t>
      </w:r>
      <w:r w:rsidRPr="0011411F">
        <w:rPr>
          <w:rFonts w:ascii="Times New Roman" w:hAnsi="Times New Roman" w:cs="Times New Roman"/>
          <w:i/>
          <w:color w:val="000000" w:themeColor="text1"/>
          <w:sz w:val="24"/>
        </w:rPr>
        <w:t>et al</w:t>
      </w:r>
      <w:r w:rsidRPr="00B50382">
        <w:rPr>
          <w:rFonts w:ascii="Times New Roman" w:hAnsi="Times New Roman" w:cs="Times New Roman"/>
          <w:color w:val="000000" w:themeColor="text1"/>
          <w:sz w:val="24"/>
        </w:rPr>
        <w:t>., 2010)</w:t>
      </w:r>
      <w:r w:rsidRPr="00B50382">
        <w:rPr>
          <w:rFonts w:ascii="Times New Roman" w:hAnsi="Times New Roman" w:cs="Times New Roman"/>
          <w:color w:val="000000" w:themeColor="text1"/>
          <w:sz w:val="24"/>
          <w:szCs w:val="24"/>
        </w:rPr>
        <w:fldChar w:fldCharType="end"/>
      </w:r>
      <w:r w:rsidRPr="00B50382">
        <w:rPr>
          <w:rFonts w:ascii="Times New Roman" w:hAnsi="Times New Roman" w:cs="Times New Roman"/>
          <w:color w:val="000000" w:themeColor="text1"/>
          <w:sz w:val="24"/>
          <w:szCs w:val="24"/>
        </w:rPr>
        <w:t xml:space="preserve">. It is possible that an unidentified peptidoglycan interacting protein localises to the peptidoglycan half rib in </w:t>
      </w:r>
      <w:r w:rsidRPr="00B50382">
        <w:rPr>
          <w:rFonts w:ascii="Times New Roman" w:hAnsi="Times New Roman" w:cs="Times New Roman"/>
          <w:i/>
          <w:color w:val="000000" w:themeColor="text1"/>
          <w:sz w:val="24"/>
          <w:szCs w:val="24"/>
        </w:rPr>
        <w:t>S. aureus</w:t>
      </w:r>
      <w:r w:rsidRPr="00B50382">
        <w:rPr>
          <w:rFonts w:ascii="Times New Roman" w:hAnsi="Times New Roman" w:cs="Times New Roman"/>
          <w:color w:val="000000" w:themeColor="text1"/>
          <w:sz w:val="24"/>
          <w:szCs w:val="24"/>
        </w:rPr>
        <w:t xml:space="preserve"> and acts an anchor for chromosome segregation. Finally, the ribs could be seeded during synthesis with an anchoring protein that recruits the division or chromosome segregation machinery (Figure 6.3D). Such a protein could bind covalently or non-covalently to the peptidoglycan, however it should be noted that a </w:t>
      </w:r>
      <w:r w:rsidRPr="00B50382">
        <w:rPr>
          <w:rFonts w:ascii="Times New Roman" w:hAnsi="Times New Roman" w:cs="Times New Roman"/>
          <w:i/>
          <w:color w:val="000000" w:themeColor="text1"/>
          <w:sz w:val="24"/>
          <w:szCs w:val="24"/>
        </w:rPr>
        <w:t>S. aureus srtAB</w:t>
      </w:r>
      <w:r w:rsidRPr="00B50382">
        <w:rPr>
          <w:rFonts w:ascii="Times New Roman" w:hAnsi="Times New Roman" w:cs="Times New Roman"/>
          <w:color w:val="000000" w:themeColor="text1"/>
          <w:sz w:val="24"/>
          <w:szCs w:val="24"/>
        </w:rPr>
        <w:t xml:space="preserve"> mutant is viable </w:t>
      </w:r>
      <w:r w:rsidRPr="00B50382">
        <w:rPr>
          <w:rFonts w:ascii="Times New Roman" w:hAnsi="Times New Roman" w:cs="Times New Roman"/>
          <w:color w:val="000000" w:themeColor="text1"/>
          <w:sz w:val="24"/>
          <w:szCs w:val="24"/>
        </w:rPr>
        <w:fldChar w:fldCharType="begin"/>
      </w:r>
      <w:r w:rsidRPr="00B50382">
        <w:rPr>
          <w:rFonts w:ascii="Times New Roman" w:hAnsi="Times New Roman" w:cs="Times New Roman"/>
          <w:color w:val="000000" w:themeColor="text1"/>
          <w:sz w:val="24"/>
          <w:szCs w:val="24"/>
        </w:rPr>
        <w:instrText xml:space="preserve"> ADDIN ZOTERO_ITEM CSL_CITATION {"citationID":"1c501gmevs","properties":{"formattedCitation":"(Jonsson et al., 2003)","plainCitation":"(Jonsson et al., 2003)"},"citationItems":[{"id":328,"uris":["http://zotero.org/users/944474/items/PKRE696E"],"uri":["http://zotero.org/users/944474/items/PKRE696E"],"itemData":{"id":328,"type":"article-journal","title":"The role of Staphylococcus aureus sortase A and sortase B in murine arthritis","container-title":"Microbes and infection / Institut Pasteur","page":"775-780","volume":"5","issue":"9","abstract":"Gram-positive pathogenic bacteria display proteins on their surface that play important roles during infection. In Staphylococcus aureus, these surface proteins are anchored to the cell wall by two sortase enzymes, SrtA and SrtB, that recognize specific surface protein sorting signals. The role of sortase enzymes in bacterial virulence was examined using a murine septic arthritis model. Intravenous inoculation with any of the Delta(srtA), Delta(srtB) or Delta(srtAB) mutants resulted in significantly increased survival and significantly lower weight loss compared with the parental strain. Mice inoculated with the Delta(srtA) mutant did not express severe arthritis, while arthritis in mice inoculated with the Delta(srtB) mutant was not different from that seen in mice that were infected with the wild-type parent strain. Furthermore, persistence of staphylococci in kidneys and joints following intravenous inoculation of mice was more pronounced for wild-type and Delta(srtB) mutant strains than for Delta(srtA) or Delta(srtAB) variants. Together these results indicate that sortase B (srtB) plays a contributing role during the pathogenesis of staphylococcal infections, whereas sortase A (srtA) is an essential virulence factor for the establishment of septic arthritis.","note":"PMID: 12850203","journalAbbreviation":"Microbes Infect.","author":[{"family":"Jonsson","given":"Ing-Marie"},{"family":"Mazmanian","given":"Sarkis K"},{"family":"Schneewind","given":"Olaf"},{"family":"Bremell","given":"Tomas"},{"family":"Tarkowski","given":"Andrzej"}],"issued":{"year":2003,"month":7},"accessed":{"year":2012,"month":7,"day":4},"page-first":"775"}}],"schema":"https://github.com/citation-style-language/schema/raw/master/csl-citation.json"} </w:instrText>
      </w:r>
      <w:r w:rsidRPr="00B50382">
        <w:rPr>
          <w:rFonts w:ascii="Times New Roman" w:hAnsi="Times New Roman" w:cs="Times New Roman"/>
          <w:color w:val="000000" w:themeColor="text1"/>
          <w:sz w:val="24"/>
          <w:szCs w:val="24"/>
        </w:rPr>
        <w:fldChar w:fldCharType="separate"/>
      </w:r>
      <w:r w:rsidRPr="00B50382">
        <w:rPr>
          <w:rFonts w:ascii="Times New Roman" w:hAnsi="Times New Roman" w:cs="Times New Roman"/>
          <w:color w:val="000000" w:themeColor="text1"/>
          <w:sz w:val="24"/>
        </w:rPr>
        <w:t xml:space="preserve">(Jonsson </w:t>
      </w:r>
      <w:r w:rsidRPr="0011411F">
        <w:rPr>
          <w:rFonts w:ascii="Times New Roman" w:hAnsi="Times New Roman" w:cs="Times New Roman"/>
          <w:i/>
          <w:color w:val="000000" w:themeColor="text1"/>
          <w:sz w:val="24"/>
        </w:rPr>
        <w:t>et al</w:t>
      </w:r>
      <w:r w:rsidRPr="00B50382">
        <w:rPr>
          <w:rFonts w:ascii="Times New Roman" w:hAnsi="Times New Roman" w:cs="Times New Roman"/>
          <w:color w:val="000000" w:themeColor="text1"/>
          <w:sz w:val="24"/>
        </w:rPr>
        <w:t>., 2003)</w:t>
      </w:r>
      <w:r w:rsidRPr="00B50382">
        <w:rPr>
          <w:rFonts w:ascii="Times New Roman" w:hAnsi="Times New Roman" w:cs="Times New Roman"/>
          <w:color w:val="000000" w:themeColor="text1"/>
          <w:sz w:val="24"/>
          <w:szCs w:val="24"/>
        </w:rPr>
        <w:fldChar w:fldCharType="end"/>
      </w:r>
      <w:r w:rsidRPr="00B50382">
        <w:rPr>
          <w:rFonts w:ascii="Times New Roman" w:hAnsi="Times New Roman" w:cs="Times New Roman"/>
          <w:color w:val="000000" w:themeColor="text1"/>
          <w:sz w:val="24"/>
          <w:szCs w:val="24"/>
        </w:rPr>
        <w:t xml:space="preserve">. The contribution of peptidoglycan ribs to coordinated cell division is difficult to assess as there is no mechanism for selective removal of the ribs. Cell wall synthesis is dispersed across the entire cell wall when </w:t>
      </w:r>
      <w:r w:rsidRPr="00B50382">
        <w:rPr>
          <w:rFonts w:ascii="Times New Roman" w:hAnsi="Times New Roman" w:cs="Times New Roman"/>
          <w:i/>
          <w:color w:val="000000" w:themeColor="text1"/>
          <w:sz w:val="24"/>
          <w:szCs w:val="24"/>
        </w:rPr>
        <w:t>S. aureus</w:t>
      </w:r>
      <w:r w:rsidRPr="00B50382">
        <w:rPr>
          <w:rFonts w:ascii="Times New Roman" w:hAnsi="Times New Roman" w:cs="Times New Roman"/>
          <w:color w:val="000000" w:themeColor="text1"/>
          <w:sz w:val="24"/>
          <w:szCs w:val="24"/>
        </w:rPr>
        <w:t xml:space="preserve"> is depleted of FtsZ, causing formation of enlarged spherical cells </w:t>
      </w:r>
      <w:r w:rsidRPr="00B50382">
        <w:rPr>
          <w:rFonts w:ascii="Times New Roman" w:hAnsi="Times New Roman" w:cs="Times New Roman"/>
          <w:color w:val="000000" w:themeColor="text1"/>
          <w:sz w:val="24"/>
          <w:szCs w:val="24"/>
        </w:rPr>
        <w:fldChar w:fldCharType="begin"/>
      </w:r>
      <w:r w:rsidRPr="00B50382">
        <w:rPr>
          <w:rFonts w:ascii="Times New Roman" w:hAnsi="Times New Roman" w:cs="Times New Roman"/>
          <w:color w:val="000000" w:themeColor="text1"/>
          <w:sz w:val="24"/>
          <w:szCs w:val="24"/>
        </w:rPr>
        <w:instrText xml:space="preserve"> ADDIN ZOTERO_ITEM CSL_CITATION {"citationID":"13jlqummik","properties":{"formattedCitation":"(Pinho and Errington, 2003)","plainCitation":"(Pinho and Errington, 2003)"},"citationItems":[{"id":42,"uris":["http://zotero.org/users/944474/items/7VW7ZGTG"],"uri":["http://zotero.org/users/944474/items/7VW7ZGTG"],"itemData":{"id":42,"type":"article-journal","title":"Dispersed mode of Staphylococcus aureus cell wall synthesis in the absence of the division machinery","container-title":"Molecular Microbiology","page":"871-881","volume":"50","issue":"3","abstract":"We have developed several new fluorescent staining procedures that enabled us to study the synthesis of cell wall material in the spherical Gram-positive bacterium Staphylococcus aureus. The results obtained support previous proposals that these cells synthesize new wall material specifically at cell division sites, in the form of a flat circular plate that is subsequently cleaved and remodelled to produce the new hemispherical poles of the daughter cells. We have shown that formation of the septal peptidoglycan is dependent on the key cell division protein FtsZ, which recruits penicillin-binding protein (PBP) 2. Unexpectedly, in FtsZ-depleted cells, the cell wall synthetic machinery becomes dispersed and new wall material is made in dispersed patches over the entire surface of the cells, which increase in volume by up to eightfold before lysing. The results have implications for understanding the nature of S. aureus morphogenesis and for inhibitors of cell division proteins as drug targets.","note":"PMID: 14617148","journalAbbreviation":"Mol. Microbiol.","author":[{"family":"Pinho","given":"Mariana G"},{"family":"Errington","given":"Jeff"}],"issued":{"year":2003,"month":11},"accessed":{"year":2012,"month":3,"day":6},"page-first":"871"}}],"schema":"https://github.com/citation-style-language/schema/raw/master/csl-citation.json"} </w:instrText>
      </w:r>
      <w:r w:rsidRPr="00B50382">
        <w:rPr>
          <w:rFonts w:ascii="Times New Roman" w:hAnsi="Times New Roman" w:cs="Times New Roman"/>
          <w:color w:val="000000" w:themeColor="text1"/>
          <w:sz w:val="24"/>
          <w:szCs w:val="24"/>
        </w:rPr>
        <w:fldChar w:fldCharType="separate"/>
      </w:r>
      <w:r w:rsidRPr="00B50382">
        <w:rPr>
          <w:rFonts w:ascii="Times New Roman" w:hAnsi="Times New Roman" w:cs="Times New Roman"/>
          <w:color w:val="000000" w:themeColor="text1"/>
          <w:sz w:val="24"/>
        </w:rPr>
        <w:t>(Pinho and Errington, 2003)</w:t>
      </w:r>
      <w:r w:rsidRPr="00B50382">
        <w:rPr>
          <w:rFonts w:ascii="Times New Roman" w:hAnsi="Times New Roman" w:cs="Times New Roman"/>
          <w:color w:val="000000" w:themeColor="text1"/>
          <w:sz w:val="24"/>
          <w:szCs w:val="24"/>
        </w:rPr>
        <w:fldChar w:fldCharType="end"/>
      </w:r>
      <w:r w:rsidRPr="00B50382">
        <w:rPr>
          <w:rFonts w:ascii="Times New Roman" w:hAnsi="Times New Roman" w:cs="Times New Roman"/>
          <w:color w:val="000000" w:themeColor="text1"/>
          <w:sz w:val="24"/>
          <w:szCs w:val="24"/>
        </w:rPr>
        <w:t>. In such</w:t>
      </w:r>
    </w:p>
    <w:p w:rsidR="00FE29E6" w:rsidRDefault="00FE29E6" w:rsidP="00FE29E6">
      <w:pP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5400040" cy="4077335"/>
            <wp:effectExtent l="19050" t="0" r="0" b="0"/>
            <wp:docPr id="108" name="Picture 0" descr="Rib 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b model.png"/>
                    <pic:cNvPicPr/>
                  </pic:nvPicPr>
                  <pic:blipFill>
                    <a:blip r:embed="rId112" cstate="print"/>
                    <a:stretch>
                      <a:fillRect/>
                    </a:stretch>
                  </pic:blipFill>
                  <pic:spPr>
                    <a:xfrm>
                      <a:off x="0" y="0"/>
                      <a:ext cx="5400040" cy="4077335"/>
                    </a:xfrm>
                    <a:prstGeom prst="rect">
                      <a:avLst/>
                    </a:prstGeom>
                  </pic:spPr>
                </pic:pic>
              </a:graphicData>
            </a:graphic>
          </wp:inline>
        </w:drawing>
      </w:r>
    </w:p>
    <w:p w:rsidR="00FE29E6" w:rsidRDefault="00FE29E6" w:rsidP="00FE29E6">
      <w:pPr>
        <w:spacing w:line="360" w:lineRule="auto"/>
        <w:jc w:val="both"/>
        <w:rPr>
          <w:rFonts w:ascii="Times New Roman" w:hAnsi="Times New Roman" w:cs="Times New Roman"/>
          <w:sz w:val="24"/>
          <w:szCs w:val="24"/>
        </w:rPr>
      </w:pPr>
      <w:proofErr w:type="gramStart"/>
      <w:r w:rsidRPr="00723643">
        <w:rPr>
          <w:rFonts w:ascii="Times New Roman" w:hAnsi="Times New Roman" w:cs="Times New Roman"/>
          <w:b/>
          <w:sz w:val="24"/>
          <w:szCs w:val="24"/>
        </w:rPr>
        <w:t>Figure 6.</w:t>
      </w:r>
      <w:r>
        <w:rPr>
          <w:rFonts w:ascii="Times New Roman" w:hAnsi="Times New Roman" w:cs="Times New Roman"/>
          <w:b/>
          <w:sz w:val="24"/>
          <w:szCs w:val="24"/>
        </w:rPr>
        <w:t>3</w:t>
      </w:r>
      <w:r w:rsidRPr="00723643">
        <w:rPr>
          <w:rFonts w:ascii="Times New Roman" w:hAnsi="Times New Roman" w:cs="Times New Roman"/>
          <w:b/>
          <w:sz w:val="24"/>
          <w:szCs w:val="24"/>
        </w:rPr>
        <w:t>.</w:t>
      </w:r>
      <w:proofErr w:type="gramEnd"/>
      <w:r w:rsidRPr="00723643">
        <w:rPr>
          <w:rFonts w:ascii="Times New Roman" w:hAnsi="Times New Roman" w:cs="Times New Roman"/>
          <w:b/>
          <w:sz w:val="24"/>
          <w:szCs w:val="24"/>
        </w:rPr>
        <w:t xml:space="preserve"> </w:t>
      </w:r>
      <w:proofErr w:type="gramStart"/>
      <w:r w:rsidRPr="00723643">
        <w:rPr>
          <w:rFonts w:ascii="Times New Roman" w:hAnsi="Times New Roman" w:cs="Times New Roman"/>
          <w:b/>
          <w:sz w:val="24"/>
          <w:szCs w:val="24"/>
        </w:rPr>
        <w:t xml:space="preserve">Possible mechanisms for </w:t>
      </w:r>
      <w:r>
        <w:rPr>
          <w:rFonts w:ascii="Times New Roman" w:hAnsi="Times New Roman" w:cs="Times New Roman"/>
          <w:b/>
          <w:sz w:val="24"/>
          <w:szCs w:val="24"/>
        </w:rPr>
        <w:t xml:space="preserve">coordination of cell </w:t>
      </w:r>
      <w:r w:rsidRPr="00723643">
        <w:rPr>
          <w:rFonts w:ascii="Times New Roman" w:hAnsi="Times New Roman" w:cs="Times New Roman"/>
          <w:b/>
          <w:sz w:val="24"/>
          <w:szCs w:val="24"/>
        </w:rPr>
        <w:t xml:space="preserve">division </w:t>
      </w:r>
      <w:r>
        <w:rPr>
          <w:rFonts w:ascii="Times New Roman" w:hAnsi="Times New Roman" w:cs="Times New Roman"/>
          <w:b/>
          <w:sz w:val="24"/>
          <w:szCs w:val="24"/>
        </w:rPr>
        <w:t>via</w:t>
      </w:r>
      <w:r w:rsidRPr="00723643">
        <w:rPr>
          <w:rFonts w:ascii="Times New Roman" w:hAnsi="Times New Roman" w:cs="Times New Roman"/>
          <w:b/>
          <w:sz w:val="24"/>
          <w:szCs w:val="24"/>
        </w:rPr>
        <w:t xml:space="preserve"> peptidoglycan ribs.</w:t>
      </w:r>
      <w:proofErr w:type="gramEnd"/>
      <w:r>
        <w:rPr>
          <w:rFonts w:ascii="Times New Roman" w:hAnsi="Times New Roman" w:cs="Times New Roman"/>
          <w:b/>
          <w:sz w:val="24"/>
          <w:szCs w:val="24"/>
        </w:rPr>
        <w:t xml:space="preserve"> </w:t>
      </w:r>
      <w:r>
        <w:rPr>
          <w:rFonts w:ascii="Times New Roman" w:hAnsi="Times New Roman" w:cs="Times New Roman"/>
          <w:sz w:val="24"/>
          <w:szCs w:val="24"/>
        </w:rPr>
        <w:t xml:space="preserve">A, </w:t>
      </w:r>
      <w:proofErr w:type="gramStart"/>
      <w:r>
        <w:rPr>
          <w:rFonts w:ascii="Times New Roman" w:hAnsi="Times New Roman" w:cs="Times New Roman"/>
          <w:sz w:val="24"/>
          <w:szCs w:val="24"/>
        </w:rPr>
        <w:t>The</w:t>
      </w:r>
      <w:proofErr w:type="gramEnd"/>
      <w:r>
        <w:rPr>
          <w:rFonts w:ascii="Times New Roman" w:hAnsi="Times New Roman" w:cs="Times New Roman"/>
          <w:sz w:val="24"/>
          <w:szCs w:val="24"/>
        </w:rPr>
        <w:t xml:space="preserve"> rib could physically deform the cytoplasmic membrane causing localised membrane curvature which is recognised by a proteinaceous effector. B, </w:t>
      </w:r>
      <w:proofErr w:type="gramStart"/>
      <w:r>
        <w:rPr>
          <w:rFonts w:ascii="Times New Roman" w:hAnsi="Times New Roman" w:cs="Times New Roman"/>
          <w:sz w:val="24"/>
          <w:szCs w:val="24"/>
        </w:rPr>
        <w:t>The</w:t>
      </w:r>
      <w:proofErr w:type="gramEnd"/>
      <w:r>
        <w:rPr>
          <w:rFonts w:ascii="Times New Roman" w:hAnsi="Times New Roman" w:cs="Times New Roman"/>
          <w:sz w:val="24"/>
          <w:szCs w:val="24"/>
        </w:rPr>
        <w:t xml:space="preserve"> rib may bring the peptidoglycan in close proximity to the membrane, favouring binding by the cell division machinery. The rib could also locally displace LTA, reducing the negative charge at the rib and favouring protein interactions. C, </w:t>
      </w:r>
      <w:proofErr w:type="gramStart"/>
      <w:r>
        <w:rPr>
          <w:rFonts w:ascii="Times New Roman" w:hAnsi="Times New Roman" w:cs="Times New Roman"/>
          <w:sz w:val="24"/>
          <w:szCs w:val="24"/>
        </w:rPr>
        <w:t>The</w:t>
      </w:r>
      <w:proofErr w:type="gramEnd"/>
      <w:r>
        <w:rPr>
          <w:rFonts w:ascii="Times New Roman" w:hAnsi="Times New Roman" w:cs="Times New Roman"/>
          <w:sz w:val="24"/>
          <w:szCs w:val="24"/>
        </w:rPr>
        <w:t xml:space="preserve"> peptidoglycan rib could have a distinct chemistry, permitting recognition by a proteinaceous effector with a corresponding peptidoglycan binding domain. D, </w:t>
      </w:r>
      <w:proofErr w:type="gramStart"/>
      <w:r>
        <w:rPr>
          <w:rFonts w:ascii="Times New Roman" w:hAnsi="Times New Roman" w:cs="Times New Roman"/>
          <w:sz w:val="24"/>
          <w:szCs w:val="24"/>
        </w:rPr>
        <w:t>During</w:t>
      </w:r>
      <w:proofErr w:type="gramEnd"/>
      <w:r>
        <w:rPr>
          <w:rFonts w:ascii="Times New Roman" w:hAnsi="Times New Roman" w:cs="Times New Roman"/>
          <w:sz w:val="24"/>
          <w:szCs w:val="24"/>
        </w:rPr>
        <w:t xml:space="preserve"> synthesis, the peptidoglycan rib could be seeded with a protein anchor that recruits the division or chromosome segregation machinery to the correct plane.</w:t>
      </w:r>
    </w:p>
    <w:p w:rsidR="00FE29E6" w:rsidRDefault="00FE29E6" w:rsidP="00FE29E6">
      <w:pPr>
        <w:rPr>
          <w:rFonts w:ascii="Times New Roman" w:hAnsi="Times New Roman" w:cs="Times New Roman"/>
          <w:sz w:val="24"/>
          <w:szCs w:val="24"/>
        </w:rPr>
      </w:pPr>
      <w:r>
        <w:rPr>
          <w:rFonts w:ascii="Times New Roman" w:hAnsi="Times New Roman" w:cs="Times New Roman"/>
          <w:sz w:val="24"/>
          <w:szCs w:val="24"/>
        </w:rPr>
        <w:br w:type="page"/>
      </w:r>
    </w:p>
    <w:p w:rsidR="00FE29E6" w:rsidRPr="00B50382" w:rsidRDefault="00FE29E6" w:rsidP="00FE29E6">
      <w:pPr>
        <w:spacing w:line="480" w:lineRule="auto"/>
        <w:jc w:val="both"/>
        <w:rPr>
          <w:rFonts w:ascii="Times New Roman" w:hAnsi="Times New Roman" w:cs="Times New Roman"/>
          <w:color w:val="000000" w:themeColor="text1"/>
          <w:sz w:val="24"/>
          <w:szCs w:val="24"/>
        </w:rPr>
      </w:pPr>
      <w:proofErr w:type="gramStart"/>
      <w:r w:rsidRPr="00B50382">
        <w:rPr>
          <w:rFonts w:ascii="Times New Roman" w:hAnsi="Times New Roman" w:cs="Times New Roman"/>
          <w:color w:val="000000" w:themeColor="text1"/>
          <w:sz w:val="24"/>
          <w:szCs w:val="24"/>
        </w:rPr>
        <w:lastRenderedPageBreak/>
        <w:t>cells</w:t>
      </w:r>
      <w:proofErr w:type="gramEnd"/>
      <w:r w:rsidRPr="00B50382">
        <w:rPr>
          <w:rFonts w:ascii="Times New Roman" w:hAnsi="Times New Roman" w:cs="Times New Roman"/>
          <w:color w:val="000000" w:themeColor="text1"/>
          <w:sz w:val="24"/>
          <w:szCs w:val="24"/>
        </w:rPr>
        <w:t xml:space="preserve">, the peptidoglycan rib architecture may be disrupted. Furthermore these cells are free from the transient cell polarity created by the presence of a cross-wall. Insight may be gained by observing how cell division and chromosome segregation are re-established in </w:t>
      </w:r>
      <w:r w:rsidRPr="00B50382">
        <w:rPr>
          <w:rFonts w:ascii="Times New Roman" w:hAnsi="Times New Roman" w:cs="Times New Roman"/>
          <w:i/>
          <w:color w:val="000000" w:themeColor="text1"/>
          <w:sz w:val="24"/>
          <w:szCs w:val="24"/>
        </w:rPr>
        <w:t>S. aureus</w:t>
      </w:r>
      <w:r w:rsidRPr="00B50382">
        <w:rPr>
          <w:rFonts w:ascii="Times New Roman" w:hAnsi="Times New Roman" w:cs="Times New Roman"/>
          <w:color w:val="000000" w:themeColor="text1"/>
          <w:sz w:val="24"/>
          <w:szCs w:val="24"/>
        </w:rPr>
        <w:t xml:space="preserve"> when FtsZ expression is induced in FtsZ-depleted cells. Alternatively peptidoglycan ribs could be erased by generating </w:t>
      </w:r>
      <w:r w:rsidRPr="00B50382">
        <w:rPr>
          <w:rFonts w:ascii="Times New Roman" w:hAnsi="Times New Roman" w:cs="Times New Roman"/>
          <w:i/>
          <w:color w:val="000000" w:themeColor="text1"/>
          <w:sz w:val="24"/>
          <w:szCs w:val="24"/>
        </w:rPr>
        <w:t xml:space="preserve">S. aureus </w:t>
      </w:r>
      <w:r w:rsidRPr="00B50382">
        <w:rPr>
          <w:rFonts w:ascii="Times New Roman" w:hAnsi="Times New Roman" w:cs="Times New Roman"/>
          <w:color w:val="000000" w:themeColor="text1"/>
          <w:sz w:val="24"/>
          <w:szCs w:val="24"/>
        </w:rPr>
        <w:t xml:space="preserve">protoplasts and observing re-establishment of orthogonal division in regenerated cells. Regenerating </w:t>
      </w:r>
      <w:r w:rsidRPr="00B50382">
        <w:rPr>
          <w:rFonts w:ascii="Times New Roman" w:hAnsi="Times New Roman" w:cs="Times New Roman"/>
          <w:i/>
          <w:color w:val="000000" w:themeColor="text1"/>
          <w:sz w:val="24"/>
          <w:szCs w:val="24"/>
        </w:rPr>
        <w:t xml:space="preserve">S. aureus </w:t>
      </w:r>
      <w:r w:rsidRPr="00B50382">
        <w:rPr>
          <w:rFonts w:ascii="Times New Roman" w:hAnsi="Times New Roman" w:cs="Times New Roman"/>
          <w:color w:val="000000" w:themeColor="text1"/>
          <w:sz w:val="24"/>
          <w:szCs w:val="24"/>
        </w:rPr>
        <w:t xml:space="preserve">protoplasts have previously shown abnormal cell division </w:t>
      </w:r>
      <w:r w:rsidRPr="00B50382">
        <w:rPr>
          <w:rFonts w:ascii="Times New Roman" w:hAnsi="Times New Roman" w:cs="Times New Roman"/>
          <w:color w:val="000000" w:themeColor="text1"/>
          <w:sz w:val="24"/>
          <w:szCs w:val="24"/>
        </w:rPr>
        <w:fldChar w:fldCharType="begin"/>
      </w:r>
      <w:r w:rsidRPr="00B50382">
        <w:rPr>
          <w:rFonts w:ascii="Times New Roman" w:hAnsi="Times New Roman" w:cs="Times New Roman"/>
          <w:color w:val="000000" w:themeColor="text1"/>
          <w:sz w:val="24"/>
          <w:szCs w:val="24"/>
        </w:rPr>
        <w:instrText xml:space="preserve"> ADDIN ZOTERO_ITEM CSL_CITATION {"citationID":"1umt2h55v9","properties":{"formattedCitation":"(Gruss and Novick, 1986)","plainCitation":"(Gruss and Novick, 1986)"},"citationItems":[{"id":408,"uris":["http://zotero.org/users/944474/items/FWKGXP8H"],"uri":["http://zotero.org/users/944474/items/FWKGXP8H"],"itemData":{"id":408,"type":"article-journal","title":"Plasmid instability in regenerating protoplasts of Staphylococcus aureus is caused by aberrant cell division","container-title":"Journal of bacteriology","page":"878-883","volume":"165","issue":"3","abstract":"Elimination of plasmids from regenerating S. aureus protoplasts occurred when the regeneration medium contained sucrose but not when it contained sodium succinate. This difference was caused by the occurrence of cell division prior to regeneration of the cell wall on sucrose but not on succinate. Coexisting compatible plasmids were cured independently; coexisting incompatible plasmids were cured jointly. These results support the hypothesis that plasmid pools exist as physically sequestered units in protoplasts and that curing is a consequence of the segregation of such units during abnormal division of wall-less organisms.","note":"PMID: 3949716","journalAbbreviation":"J. Bacteriol.","author":[{"family":"Gruss","given":"A"},{"family":"Novick","given":"R"}],"issued":{"year":1986,"month":3},"accessed":{"year":2012,"month":6,"day":7},"page-first":"878"}}],"schema":"https://github.com/citation-style-language/schema/raw/master/csl-citation.json"} </w:instrText>
      </w:r>
      <w:r w:rsidRPr="00B50382">
        <w:rPr>
          <w:rFonts w:ascii="Times New Roman" w:hAnsi="Times New Roman" w:cs="Times New Roman"/>
          <w:color w:val="000000" w:themeColor="text1"/>
          <w:sz w:val="24"/>
          <w:szCs w:val="24"/>
        </w:rPr>
        <w:fldChar w:fldCharType="separate"/>
      </w:r>
      <w:r w:rsidRPr="00B50382">
        <w:rPr>
          <w:rFonts w:ascii="Times New Roman" w:hAnsi="Times New Roman" w:cs="Times New Roman"/>
          <w:color w:val="000000" w:themeColor="text1"/>
          <w:sz w:val="24"/>
        </w:rPr>
        <w:t>(Gruss and Novick, 1986)</w:t>
      </w:r>
      <w:r w:rsidRPr="00B50382">
        <w:rPr>
          <w:rFonts w:ascii="Times New Roman" w:hAnsi="Times New Roman" w:cs="Times New Roman"/>
          <w:color w:val="000000" w:themeColor="text1"/>
          <w:sz w:val="24"/>
          <w:szCs w:val="24"/>
        </w:rPr>
        <w:fldChar w:fldCharType="end"/>
      </w:r>
      <w:r w:rsidRPr="00B50382">
        <w:rPr>
          <w:rFonts w:ascii="Times New Roman" w:hAnsi="Times New Roman" w:cs="Times New Roman"/>
          <w:color w:val="000000" w:themeColor="text1"/>
          <w:sz w:val="24"/>
          <w:szCs w:val="24"/>
        </w:rPr>
        <w:t xml:space="preserve">. Interpretation of such studies would be challenging however, as the cell physiology is greatly perturbed in regenerating protoplasts </w:t>
      </w:r>
      <w:r w:rsidRPr="00B50382">
        <w:rPr>
          <w:rFonts w:ascii="Times New Roman" w:hAnsi="Times New Roman" w:cs="Times New Roman"/>
          <w:color w:val="000000" w:themeColor="text1"/>
          <w:sz w:val="24"/>
          <w:szCs w:val="24"/>
        </w:rPr>
        <w:fldChar w:fldCharType="begin"/>
      </w:r>
      <w:r w:rsidRPr="00B50382">
        <w:rPr>
          <w:rFonts w:ascii="Times New Roman" w:hAnsi="Times New Roman" w:cs="Times New Roman"/>
          <w:color w:val="000000" w:themeColor="text1"/>
          <w:sz w:val="24"/>
          <w:szCs w:val="24"/>
        </w:rPr>
        <w:instrText xml:space="preserve"> ADDIN ZOTERO_ITEM CSL_CITATION {"citationID":"hvfv8omq9","properties":{"formattedCitation":"(Elliott et al., 1975)","plainCitation":"(Elliott et al., 1975)"},"citationItems":[{"id":238,"uris":["http://zotero.org/users/944474/items/XQXMXFAD"],"uri":["http://zotero.org/users/944474/items/XQXMXFAD"],"itemData":{"id":238,"type":"article-journal","title":"Ultrastructural study of the reversion of protoplasts of Bacillus licheniformis to bacilli","container-title":"Journal of bacteriology","page":"905-917","volume":"124","issue":"2","abstract":"The reversion of protoplasts of Bacillus licheniformis 6346 His- on a medium containing 2.5% agar has been studied in sectioned material after reaction with a ferritin-conjugated antibody specific to the peptidoglycan isolated from the walls of the bacilli. Freeze etching has also been used. Fibrils of material reacting with the antibody have been detected emerging from isolated areas of the protoplasts after 3 h of incubation. This material gradually covers the cell and can eventually (at 6 h) be seen in freeze-etched preparations as a fringe of up to 400 nm around the cells and covering the surfaces with particles that can be removed by lysozyme. At later stages the wall begins to take on a compact, well-defined appearance that can be seen in sections; however, the cells are still grossly deformed. A transitory emergence, beyond the wall of long fibers of 6 nm in diameter, takes place after about 12 h of incubation. These fibers react with the conjugated antibody and after freeze etching show a regular banded structure. They are probably indentical with the fibers isolated elsewhere (Elliott et al., 1975) and shown to contain all the wall constituents (i.e., peptidoglycan, teichoic acid, and teichuronic acid). These fibers are not detectable in the final stages of reversion.","note":"PMID: 1184577","journalAbbreviation":"J. Bacteriol.","author":[{"family":"Elliott","given":"T S"},{"family":"Ward","given":"J B"},{"family":"Wyrick","given":"P B"},{"family":"Rogers","given":"H J"}],"issued":{"year":1975,"month":11},"accessed":{"year":2012,"month":5,"day":21},"page-first":"905"}}],"schema":"https://github.com/citation-style-language/schema/raw/master/csl-citation.json"} </w:instrText>
      </w:r>
      <w:r w:rsidRPr="00B50382">
        <w:rPr>
          <w:rFonts w:ascii="Times New Roman" w:hAnsi="Times New Roman" w:cs="Times New Roman"/>
          <w:color w:val="000000" w:themeColor="text1"/>
          <w:sz w:val="24"/>
          <w:szCs w:val="24"/>
        </w:rPr>
        <w:fldChar w:fldCharType="separate"/>
      </w:r>
      <w:r w:rsidRPr="00B50382">
        <w:rPr>
          <w:rFonts w:ascii="Times New Roman" w:hAnsi="Times New Roman" w:cs="Times New Roman"/>
          <w:color w:val="000000" w:themeColor="text1"/>
          <w:sz w:val="24"/>
        </w:rPr>
        <w:t xml:space="preserve">(Elliott </w:t>
      </w:r>
      <w:r w:rsidRPr="0011411F">
        <w:rPr>
          <w:rFonts w:ascii="Times New Roman" w:hAnsi="Times New Roman" w:cs="Times New Roman"/>
          <w:i/>
          <w:color w:val="000000" w:themeColor="text1"/>
          <w:sz w:val="24"/>
        </w:rPr>
        <w:t>et al</w:t>
      </w:r>
      <w:r w:rsidRPr="00B50382">
        <w:rPr>
          <w:rFonts w:ascii="Times New Roman" w:hAnsi="Times New Roman" w:cs="Times New Roman"/>
          <w:color w:val="000000" w:themeColor="text1"/>
          <w:sz w:val="24"/>
        </w:rPr>
        <w:t>., 1975)</w:t>
      </w:r>
      <w:r w:rsidRPr="00B50382">
        <w:rPr>
          <w:rFonts w:ascii="Times New Roman" w:hAnsi="Times New Roman" w:cs="Times New Roman"/>
          <w:color w:val="000000" w:themeColor="text1"/>
          <w:sz w:val="24"/>
          <w:szCs w:val="24"/>
        </w:rPr>
        <w:fldChar w:fldCharType="end"/>
      </w:r>
      <w:r w:rsidRPr="00B50382">
        <w:rPr>
          <w:rFonts w:ascii="Times New Roman" w:hAnsi="Times New Roman" w:cs="Times New Roman"/>
          <w:color w:val="000000" w:themeColor="text1"/>
          <w:sz w:val="24"/>
          <w:szCs w:val="24"/>
        </w:rPr>
        <w:t>.</w:t>
      </w:r>
    </w:p>
    <w:p w:rsidR="00FE29E6" w:rsidRPr="00B50382" w:rsidRDefault="00FE29E6" w:rsidP="00FE29E6">
      <w:pPr>
        <w:rPr>
          <w:rFonts w:ascii="Times New Roman" w:hAnsi="Times New Roman" w:cs="Times New Roman"/>
          <w:color w:val="000000" w:themeColor="text1"/>
          <w:sz w:val="24"/>
          <w:szCs w:val="24"/>
        </w:rPr>
      </w:pPr>
    </w:p>
    <w:p w:rsidR="00FE29E6" w:rsidRPr="00B50382" w:rsidRDefault="00FE29E6" w:rsidP="00FE29E6">
      <w:pPr>
        <w:spacing w:line="480" w:lineRule="auto"/>
        <w:jc w:val="both"/>
        <w:rPr>
          <w:rFonts w:ascii="Times New Roman" w:hAnsi="Times New Roman" w:cs="Times New Roman"/>
          <w:color w:val="000000" w:themeColor="text1"/>
          <w:sz w:val="28"/>
          <w:szCs w:val="28"/>
        </w:rPr>
      </w:pPr>
      <w:r w:rsidRPr="00B50382">
        <w:rPr>
          <w:rFonts w:ascii="Times New Roman" w:hAnsi="Times New Roman" w:cs="Times New Roman"/>
          <w:color w:val="000000" w:themeColor="text1"/>
          <w:sz w:val="28"/>
          <w:szCs w:val="28"/>
        </w:rPr>
        <w:t>6.3</w:t>
      </w:r>
      <w:r w:rsidRPr="00B50382">
        <w:rPr>
          <w:rFonts w:ascii="Times New Roman" w:hAnsi="Times New Roman" w:cs="Times New Roman"/>
          <w:color w:val="000000" w:themeColor="text1"/>
          <w:sz w:val="28"/>
          <w:szCs w:val="28"/>
        </w:rPr>
        <w:tab/>
      </w:r>
      <w:r w:rsidRPr="00B50382">
        <w:rPr>
          <w:rFonts w:ascii="Times New Roman" w:hAnsi="Times New Roman" w:cs="Times New Roman"/>
          <w:color w:val="000000" w:themeColor="text1"/>
          <w:sz w:val="28"/>
          <w:szCs w:val="28"/>
        </w:rPr>
        <w:tab/>
        <w:t>Bacterial cell ageing</w:t>
      </w:r>
    </w:p>
    <w:p w:rsidR="00FE29E6" w:rsidRPr="00B50382" w:rsidRDefault="00FE29E6" w:rsidP="00FE29E6">
      <w:pPr>
        <w:spacing w:line="480" w:lineRule="auto"/>
        <w:jc w:val="both"/>
        <w:rPr>
          <w:rFonts w:ascii="Times New Roman" w:hAnsi="Times New Roman" w:cs="Times New Roman"/>
          <w:color w:val="000000" w:themeColor="text1"/>
          <w:sz w:val="24"/>
          <w:szCs w:val="24"/>
        </w:rPr>
      </w:pPr>
      <w:r w:rsidRPr="00B50382">
        <w:rPr>
          <w:rFonts w:ascii="Times New Roman" w:hAnsi="Times New Roman" w:cs="Times New Roman"/>
          <w:color w:val="000000" w:themeColor="text1"/>
          <w:sz w:val="24"/>
          <w:szCs w:val="24"/>
        </w:rPr>
        <w:t xml:space="preserve">The peptidoglycan architecture of </w:t>
      </w:r>
      <w:r w:rsidRPr="00B50382">
        <w:rPr>
          <w:rFonts w:ascii="Times New Roman" w:hAnsi="Times New Roman" w:cs="Times New Roman"/>
          <w:i/>
          <w:color w:val="000000" w:themeColor="text1"/>
          <w:sz w:val="24"/>
          <w:szCs w:val="24"/>
        </w:rPr>
        <w:t>S. aureus</w:t>
      </w:r>
      <w:r w:rsidRPr="00B50382">
        <w:rPr>
          <w:rFonts w:ascii="Times New Roman" w:hAnsi="Times New Roman" w:cs="Times New Roman"/>
          <w:color w:val="000000" w:themeColor="text1"/>
          <w:sz w:val="24"/>
          <w:szCs w:val="24"/>
        </w:rPr>
        <w:t xml:space="preserve"> is altered as the cell ages, as the new hemisphere undergoes rings-to-knobbles transition (</w:t>
      </w:r>
      <w:r>
        <w:rPr>
          <w:rFonts w:ascii="Times New Roman" w:hAnsi="Times New Roman" w:cs="Times New Roman"/>
          <w:color w:val="000000" w:themeColor="text1"/>
          <w:sz w:val="24"/>
          <w:szCs w:val="24"/>
        </w:rPr>
        <w:t xml:space="preserve">Chapter </w:t>
      </w:r>
      <w:r w:rsidRPr="00B50382">
        <w:rPr>
          <w:rFonts w:ascii="Times New Roman" w:hAnsi="Times New Roman" w:cs="Times New Roman"/>
          <w:color w:val="000000" w:themeColor="text1"/>
          <w:sz w:val="24"/>
          <w:szCs w:val="24"/>
        </w:rPr>
        <w:t xml:space="preserve">4). We hypothesised that this process occurs by hydrolytic maturation of the peptidoglycan. In rod-shaped bacteria, daughter cells inherit one old pole and one new pole, whilst in ovococci one cell hemisphere is inherited </w:t>
      </w:r>
      <w:r w:rsidRPr="00B50382">
        <w:rPr>
          <w:rFonts w:ascii="Times New Roman" w:hAnsi="Times New Roman" w:cs="Times New Roman"/>
          <w:color w:val="000000" w:themeColor="text1"/>
          <w:sz w:val="24"/>
          <w:szCs w:val="24"/>
        </w:rPr>
        <w:fldChar w:fldCharType="begin"/>
      </w:r>
      <w:r w:rsidRPr="00B50382">
        <w:rPr>
          <w:rFonts w:ascii="Times New Roman" w:hAnsi="Times New Roman" w:cs="Times New Roman"/>
          <w:color w:val="000000" w:themeColor="text1"/>
          <w:sz w:val="24"/>
          <w:szCs w:val="24"/>
        </w:rPr>
        <w:instrText xml:space="preserve"> ADDIN ZOTERO_ITEM CSL_CITATION {"citationID":"2ahqce8aqq","properties":{"formattedCitation":"(Briles and Tomasz, 1970; Mobley et al., 1984)","plainCitation":"(Briles and Tomasz, 1970; Mobley et al., 1984)"},"citationItems":[{"id":362,"uris":["http://zotero.org/users/944474/items/VFX7TZJC"],"uri":["http://zotero.org/users/944474/items/VFX7TZJC"],"itemData":{"id":362,"type":"article-journal","title":"Radioautographic evidence for equatorial wall growth in a gram-positive bacterium. Segregation of choline-3H-labeled teichoic acid","container-title":"The Journal of cell biology","page":"786-790","volume":"47","issue":"3","note":"PMID: 4395735","journalAbbreviation":"J. Cell Biol.","author":[{"family":"Briles","given":"E B"},{"family":"Tomasz","given":"A"}],"issued":{"year":1970,"month":12},"accessed":{"year":2012,"month":6,"day":5},"page-first":"786"}},{"id":678,"uris":["http://zotero.org/users/944474/items/ZEENN37G"],"uri":["http://zotero.org/users/944474/items/ZEENN37G"],"itemData":{"id":678,"type":"article-journal","title":"Insertion and fate of the cell wall in Bacillus subtilis.","container-title":"Journal of Bacteriology","page":"169-179","volume":"158","issue":"1","journalAbbreviation":"J. Bacteriol.","language":"en","author":[{"family":"Mobley","given":"H. L."},{"family":"Koch","given":"A. L."},{"family":"Doyle","given":"R. J."},{"family":"Streips","given":"U. N."}],"issued":{"year":1984,"month":4,"day":1},"accessed":{"year":2012,"month":7,"day":8},"page-first":"169"}}],"schema":"https://github.com/citation-style-language/schema/raw/master/csl-citation.json"} </w:instrText>
      </w:r>
      <w:r w:rsidRPr="00B50382">
        <w:rPr>
          <w:rFonts w:ascii="Times New Roman" w:hAnsi="Times New Roman" w:cs="Times New Roman"/>
          <w:color w:val="000000" w:themeColor="text1"/>
          <w:sz w:val="24"/>
          <w:szCs w:val="24"/>
        </w:rPr>
        <w:fldChar w:fldCharType="separate"/>
      </w:r>
      <w:r w:rsidRPr="00B50382">
        <w:rPr>
          <w:rFonts w:ascii="Times New Roman" w:hAnsi="Times New Roman" w:cs="Times New Roman"/>
          <w:color w:val="000000" w:themeColor="text1"/>
          <w:sz w:val="24"/>
        </w:rPr>
        <w:t xml:space="preserve">(Briles and Tomasz, 1970; Mobley </w:t>
      </w:r>
      <w:r w:rsidRPr="0011411F">
        <w:rPr>
          <w:rFonts w:ascii="Times New Roman" w:hAnsi="Times New Roman" w:cs="Times New Roman"/>
          <w:i/>
          <w:color w:val="000000" w:themeColor="text1"/>
          <w:sz w:val="24"/>
        </w:rPr>
        <w:t>et al</w:t>
      </w:r>
      <w:r w:rsidRPr="00B50382">
        <w:rPr>
          <w:rFonts w:ascii="Times New Roman" w:hAnsi="Times New Roman" w:cs="Times New Roman"/>
          <w:color w:val="000000" w:themeColor="text1"/>
          <w:sz w:val="24"/>
        </w:rPr>
        <w:t>., 1984)</w:t>
      </w:r>
      <w:r w:rsidRPr="00B50382">
        <w:rPr>
          <w:rFonts w:ascii="Times New Roman" w:hAnsi="Times New Roman" w:cs="Times New Roman"/>
          <w:color w:val="000000" w:themeColor="text1"/>
          <w:sz w:val="24"/>
          <w:szCs w:val="24"/>
        </w:rPr>
        <w:fldChar w:fldCharType="end"/>
      </w:r>
      <w:r w:rsidRPr="00B50382">
        <w:rPr>
          <w:rFonts w:ascii="Times New Roman" w:hAnsi="Times New Roman" w:cs="Times New Roman"/>
          <w:color w:val="000000" w:themeColor="text1"/>
          <w:sz w:val="24"/>
          <w:szCs w:val="24"/>
        </w:rPr>
        <w:t xml:space="preserve">. Our model of orthogonal cell division in </w:t>
      </w:r>
      <w:r w:rsidRPr="00B50382">
        <w:rPr>
          <w:rFonts w:ascii="Times New Roman" w:hAnsi="Times New Roman" w:cs="Times New Roman"/>
          <w:i/>
          <w:color w:val="000000" w:themeColor="text1"/>
          <w:sz w:val="24"/>
          <w:szCs w:val="24"/>
        </w:rPr>
        <w:t>S. aureus</w:t>
      </w:r>
      <w:r w:rsidRPr="00B50382">
        <w:rPr>
          <w:rFonts w:ascii="Times New Roman" w:hAnsi="Times New Roman" w:cs="Times New Roman"/>
          <w:color w:val="000000" w:themeColor="text1"/>
          <w:sz w:val="24"/>
          <w:szCs w:val="24"/>
        </w:rPr>
        <w:t xml:space="preserve"> demonstrated that one-eighth of the cell wall is at least three generations old, but can be any number of generations older (Chapter 4). The significance of bacterial cell aging is poorly understood. It has been suggested that the rate of cell division decreases with replicative age and that oxidatively damaged or cytotoxic DNA and proteins may be asymmetrically segregated to daughter cells containing the eldest cell pole, improving the fitness of the bacterial population </w:t>
      </w:r>
      <w:r w:rsidRPr="00B50382">
        <w:rPr>
          <w:rFonts w:ascii="Times New Roman" w:hAnsi="Times New Roman" w:cs="Times New Roman"/>
          <w:color w:val="000000" w:themeColor="text1"/>
          <w:sz w:val="24"/>
          <w:szCs w:val="24"/>
        </w:rPr>
        <w:fldChar w:fldCharType="begin"/>
      </w:r>
      <w:r w:rsidRPr="00B50382">
        <w:rPr>
          <w:rFonts w:ascii="Times New Roman" w:hAnsi="Times New Roman" w:cs="Times New Roman"/>
          <w:color w:val="000000" w:themeColor="text1"/>
          <w:sz w:val="24"/>
          <w:szCs w:val="24"/>
        </w:rPr>
        <w:instrText xml:space="preserve"> ADDIN ZOTERO_ITEM CSL_CITATION {"citationID":"gj905a28l","properties":{"formattedCitation":"{\\rtf (Ackermann et al., 2003; Stewart et al., 2005; Nystr\\uc0\\u246{}m, 2007; Ksiazek, 2010; Rang et al., 2011)}","plainCitation":"(Ackermann et al., 2003; Stewart et al., 2005; Nyström, 2007; Ksiazek, 2010; Rang et al., 2011)"},"citationItems":[{"id":450,"uris":["http://zotero.org/users/944474/items/KUJ5MWMM"],"uri":["http://zotero.org/users/944474/items/KUJ5MWMM"],"itemData":{"id":450,"type":"article-journal","title":"Senescence in a bacterium with asymmetric division","container-title":"Science (New York, N.Y.)","page":"1920","volume":"300","issue":"5627","DOI":"10.1126/science.1083532","note":"PMID: 12817142","journalAbbreviation":"Science","author":[{"family":"Ackermann","given":"Martin"},{"family":"Stearns","given":"Stephen C"},{"family":"Jenal","given":"Urs"}],"issued":{"year":2003,"month":6,"day":20},"accessed":{"year":2012,"month":6,"day":14},"page-first":"1920"}},{"id":451,"uris":["http://zotero.org/users/944474/items/69W2D832"],"uri":["http://zotero.org/users/944474/items/69W2D832"],"itemData":{"id":451,"type":"article-journal","title":"Aging and death in an organism that reproduces by morphologically symmetric division","container-title":"PLoS biology","page":"e45","volume":"3","issue":"2","abstract":"In macroscopic organisms, aging is often obvious; in single-celled organisms, where there is the greatest potential to identify the molecular mechanisms involved, identifying and quantifying aging is harder. The primary results in this area have come from organisms that share the traits of a visibly asymmetric division and an identifiable juvenile phase. As reproductive aging must require a differential distribution of aged and young components between parent and offspring, it has been postulated that organisms without these traits do not age, thus exhibiting functional immortality. Through automated time-lapse microscopy, we followed repeated cycles of reproduction by individual cells of the model organism Escherichia coli, which reproduces without a juvenile phase and with an apparently symmetric division. We show that the cell that inherits the old pole exhibits a diminished growth rate, decreased offspring production, and an increased incidence of death. We conclude that the two supposedly identical cells produced during cell division are functionally asymmetric; the old pole cell should be considered an aging parent repeatedly producing rejuvenated offspring. These results suggest that no life strategy is immune to the effects of aging, and therefore immortality may be either too costly or mechanistically impossible in natural organisms.","DOI":"10.1371/journal.pbio.0030045","note":"PMID: 15685293","journalAbbreviation":"PLoS Biol.","author":[{"family":"Stewart","given":"Eric J"},{"family":"Madden","given":"Richard"},{"family":"Paul","given":"Gregory"},{"family":"Taddei","given":"François"}],"issued":{"year":2005,"month":2},"accessed":{"year":2012,"month":6,"day":14},"page-first":"e45"}},{"id":446,"uris":["http://zotero.org/users/944474/items/6FPU8P6I"],"uri":["http://zotero.org/users/944474/items/6FPU8P6I"],"itemData":{"id":446,"type":"article-journal","title":"A bacterial kind of aging","container-title":"PLoS genetics","page":"e224","volume":"3","issue":"12","DOI":"10.1371/journal.pgen.0030224","note":"PMID: 18085827","journalAbbreviation":"PLoS Genet.","author":[{"family":"Nyström","given":"Thomas"}],"issued":{"year":2007,"month":12},"accessed":{"year":2012,"month":6,"day":14},"page-first":"e224"}},{"id":447,"uris":["http://zotero.org/users/944474/items/XTA52SSU"],"uri":["http://zotero.org/users/944474/items/XTA52SSU"],"itemData":{"id":447,"type":"article-journal","title":"Bacterial aging: from mechanistic basis to evolutionary perspective","container-title":"Cellular and molecular life sciences: CMLS","page":"3131-3137","volume":"67","issue":"18","abstract":"Aging-defined as the progressive impairment of an organism's functional capacity, resulting from deleterious changes in cells, organs, and biological systems-is one of the most fundamental features of Eukaryotes, from humans to the unicellular budding yeast Saccharomyces cerevisiae. It has recently been reported that this may also be the case for certain (if not all) types of bacteria. In this paper, the current view on the mechanistic background and evolutionary significance of bacterial kind of aging is presented, with particular emphasis on the role of asymmetric cell division, the characteristics of stationary growth phase, and the role of oxidative protein damage.","DOI":"10.1007/s00018-010-0417-4","note":"PMID: 20526791","shortTitle":"Bacterial aging","journalAbbreviation":"Cell. Mol. Life Sci.","author":[{"family":"Ksiazek","given":"Krzysztof"}],"issued":{"year":2010,"month":9},"accessed":{"year":2012,"month":6,"day":14},"page-first":"3131"}},{"id":448,"uris":["http://zotero.org/users/944474/items/U6CQ8BW2"],"uri":["http://zotero.org/users/944474/items/U6CQ8BW2"],"itemData":{"id":448,"type":"article-journal","title":"Temporal dynamics of bacterial aging and rejuvenation","container-title":"Current biology: CB","page":"1813-1816","volume":"21","issue":"21","abstract":"Single-celled organisms dividing by binary fission were thought not to age [1-4]. A 2005 study by Stewart et al.</w:instrText>
      </w:r>
      <w:r w:rsidRPr="00B50382">
        <w:rPr>
          <w:rFonts w:ascii="Times New Roman" w:hAnsi="Times New Roman" w:cs="Times New Roman"/>
          <w:color w:val="000000" w:themeColor="text1"/>
          <w:sz w:val="24"/>
          <w:szCs w:val="24"/>
          <w:lang w:val="de-DE"/>
        </w:rPr>
        <w:instrText xml:space="preserve"> [5] reversed the dogma by demonstrating that Escherichia coli were susceptible to aging. A follow-up study by Wang et al. [6] countered those results by demonstrating that E. coli cells trapped in microfluidic devices are able to sustain robust growth without aging. The present study reanalyzed these conflicting data by applying a population genetic model for aging in bacteria [7]. Our reanalysis showed that in E. coli, as predicted by the model, (1) aging and rejuvenation occurred simultaneously in a population; (2) lineages receiving sequentially the maternal old pole converged to a stable attractor state; (3) lineages receiving sequentially the maternal new pole converged to an equivalent but separate attractor state; (4) cells at the old pole attractor had a longer doubling time than ones at the new pole attractor; and (5) the robust growth state identified by Wang et al. corresponds to our predicted attractor for lineages harboring the maternal old pole. Thus, the previous data, rather than opposing each other, together provide strong evidence for bacterial aging.","DOI":"10.1016/j.cub.2011.09.018","note":"PMID: 22036179","journalAbbreviation":"Curr. Biol.","author":[{"family":"Rang","given":"Camilla U"},{"family":"Peng","given":"Annie Y"},{"family":"Chao","given":"Lin"}],"issued":{"year":2011,"month":11,"day":8},"accessed":{"year":2012,"month":6,"day":14},"page-first":"1813"}}],"schema":"https://github.com/citation-style-language/schema/raw/master/csl-citation.json"} </w:instrText>
      </w:r>
      <w:r w:rsidRPr="00B50382">
        <w:rPr>
          <w:rFonts w:ascii="Times New Roman" w:hAnsi="Times New Roman" w:cs="Times New Roman"/>
          <w:color w:val="000000" w:themeColor="text1"/>
          <w:sz w:val="24"/>
          <w:szCs w:val="24"/>
        </w:rPr>
        <w:fldChar w:fldCharType="separate"/>
      </w:r>
      <w:r w:rsidRPr="00B50382">
        <w:rPr>
          <w:rFonts w:ascii="Times New Roman" w:hAnsi="Times New Roman" w:cs="Times New Roman"/>
          <w:color w:val="000000" w:themeColor="text1"/>
          <w:sz w:val="24"/>
          <w:szCs w:val="24"/>
          <w:lang w:val="de-DE"/>
        </w:rPr>
        <w:t xml:space="preserve">(Ackermann </w:t>
      </w:r>
      <w:r w:rsidRPr="0011411F">
        <w:rPr>
          <w:rFonts w:ascii="Times New Roman" w:hAnsi="Times New Roman" w:cs="Times New Roman"/>
          <w:i/>
          <w:color w:val="000000" w:themeColor="text1"/>
          <w:sz w:val="24"/>
          <w:szCs w:val="24"/>
          <w:lang w:val="de-DE"/>
        </w:rPr>
        <w:t>et al</w:t>
      </w:r>
      <w:r w:rsidRPr="00B50382">
        <w:rPr>
          <w:rFonts w:ascii="Times New Roman" w:hAnsi="Times New Roman" w:cs="Times New Roman"/>
          <w:color w:val="000000" w:themeColor="text1"/>
          <w:sz w:val="24"/>
          <w:szCs w:val="24"/>
          <w:lang w:val="de-DE"/>
        </w:rPr>
        <w:t xml:space="preserve">., 2003; Stewart </w:t>
      </w:r>
      <w:r w:rsidRPr="0011411F">
        <w:rPr>
          <w:rFonts w:ascii="Times New Roman" w:hAnsi="Times New Roman" w:cs="Times New Roman"/>
          <w:i/>
          <w:color w:val="000000" w:themeColor="text1"/>
          <w:sz w:val="24"/>
          <w:szCs w:val="24"/>
          <w:lang w:val="de-DE"/>
        </w:rPr>
        <w:t>et al</w:t>
      </w:r>
      <w:r w:rsidRPr="00B50382">
        <w:rPr>
          <w:rFonts w:ascii="Times New Roman" w:hAnsi="Times New Roman" w:cs="Times New Roman"/>
          <w:color w:val="000000" w:themeColor="text1"/>
          <w:sz w:val="24"/>
          <w:szCs w:val="24"/>
          <w:lang w:val="de-DE"/>
        </w:rPr>
        <w:t xml:space="preserve">., 2005; Nyström, 2007; Ksiazek, 2010; Rang </w:t>
      </w:r>
      <w:r w:rsidRPr="0011411F">
        <w:rPr>
          <w:rFonts w:ascii="Times New Roman" w:hAnsi="Times New Roman" w:cs="Times New Roman"/>
          <w:i/>
          <w:color w:val="000000" w:themeColor="text1"/>
          <w:sz w:val="24"/>
          <w:szCs w:val="24"/>
          <w:lang w:val="de-DE"/>
        </w:rPr>
        <w:t xml:space="preserve">et </w:t>
      </w:r>
      <w:r w:rsidRPr="0011411F">
        <w:rPr>
          <w:rFonts w:ascii="Times New Roman" w:hAnsi="Times New Roman" w:cs="Times New Roman"/>
          <w:i/>
          <w:color w:val="000000" w:themeColor="text1"/>
          <w:sz w:val="24"/>
          <w:szCs w:val="24"/>
          <w:lang w:val="de-DE"/>
        </w:rPr>
        <w:lastRenderedPageBreak/>
        <w:t>al</w:t>
      </w:r>
      <w:r w:rsidRPr="00B50382">
        <w:rPr>
          <w:rFonts w:ascii="Times New Roman" w:hAnsi="Times New Roman" w:cs="Times New Roman"/>
          <w:color w:val="000000" w:themeColor="text1"/>
          <w:sz w:val="24"/>
          <w:szCs w:val="24"/>
          <w:lang w:val="de-DE"/>
        </w:rPr>
        <w:t>., 2011)</w:t>
      </w:r>
      <w:r w:rsidRPr="00B50382">
        <w:rPr>
          <w:rFonts w:ascii="Times New Roman" w:hAnsi="Times New Roman" w:cs="Times New Roman"/>
          <w:color w:val="000000" w:themeColor="text1"/>
          <w:sz w:val="24"/>
          <w:szCs w:val="24"/>
        </w:rPr>
        <w:fldChar w:fldCharType="end"/>
      </w:r>
      <w:r w:rsidRPr="00B50382">
        <w:rPr>
          <w:rFonts w:ascii="Times New Roman" w:hAnsi="Times New Roman" w:cs="Times New Roman"/>
          <w:color w:val="000000" w:themeColor="text1"/>
          <w:sz w:val="24"/>
          <w:szCs w:val="24"/>
          <w:lang w:val="de-DE"/>
        </w:rPr>
        <w:t xml:space="preserve">. </w:t>
      </w:r>
      <w:r w:rsidRPr="00B50382">
        <w:rPr>
          <w:rFonts w:ascii="Times New Roman" w:hAnsi="Times New Roman" w:cs="Times New Roman"/>
          <w:color w:val="000000" w:themeColor="text1"/>
          <w:sz w:val="24"/>
          <w:szCs w:val="24"/>
        </w:rPr>
        <w:t xml:space="preserve">It is unknown whether the sacculus integrity declines over successive generations. Progressive degeneration of the sacculus could impose a finite life-span on bacterial cells. However it has been suggested that the poles in </w:t>
      </w:r>
      <w:r w:rsidRPr="00B50382">
        <w:rPr>
          <w:rFonts w:ascii="Times New Roman" w:hAnsi="Times New Roman" w:cs="Times New Roman"/>
          <w:i/>
          <w:color w:val="000000" w:themeColor="text1"/>
          <w:sz w:val="24"/>
          <w:szCs w:val="24"/>
        </w:rPr>
        <w:t xml:space="preserve">B. subtilis </w:t>
      </w:r>
      <w:r w:rsidRPr="00B50382">
        <w:rPr>
          <w:rFonts w:ascii="Times New Roman" w:hAnsi="Times New Roman" w:cs="Times New Roman"/>
          <w:color w:val="000000" w:themeColor="text1"/>
          <w:sz w:val="24"/>
          <w:szCs w:val="24"/>
        </w:rPr>
        <w:t xml:space="preserve">are replenished by peptidoglycan turnover over multiple generations </w:t>
      </w:r>
      <w:r w:rsidRPr="00B50382">
        <w:rPr>
          <w:rFonts w:ascii="Times New Roman" w:hAnsi="Times New Roman" w:cs="Times New Roman"/>
          <w:color w:val="000000" w:themeColor="text1"/>
          <w:sz w:val="24"/>
          <w:szCs w:val="24"/>
        </w:rPr>
        <w:fldChar w:fldCharType="begin"/>
      </w:r>
      <w:r w:rsidRPr="00B50382">
        <w:rPr>
          <w:rFonts w:ascii="Times New Roman" w:hAnsi="Times New Roman" w:cs="Times New Roman"/>
          <w:color w:val="000000" w:themeColor="text1"/>
          <w:sz w:val="24"/>
          <w:szCs w:val="24"/>
        </w:rPr>
        <w:instrText xml:space="preserve"> ADDIN ZOTERO_ITEM CSL_CITATION {"citationID":"r605c27k6","properties":{"formattedCitation":"(Mobley et al., 1984)","plainCitation":"(Mobley et al., 1984)"},"citationItems":[{"id":678,"uris":["http://zotero.org/users/944474/items/ZEENN37G"],"uri":["http://zotero.org/users/944474/items/ZEENN37G"],"itemData":{"id":678,"type":"article-journal","title":"Insertion and fate of the cell wall in Bacillus subtilis.","container-title":"Journal of Bacteriology","page":"169-179","volume":"158","issue":"1","journalAbbreviation":"J. Bacteriol.","language":"en","author":[{"family":"Mobley","given":"H. L."},{"family":"Koch","given":"A. L."},{"family":"Doyle","given":"R. J."},{"family":"Streips","given":"U. N."}],"issued":{"year":1984,"month":4,"day":1},"accessed":{"year":2012,"month":7,"day":8},"page-first":"169"}}],"schema":"https://github.com/citation-style-language/schema/raw/master/csl-citation.json"} </w:instrText>
      </w:r>
      <w:r w:rsidRPr="00B50382">
        <w:rPr>
          <w:rFonts w:ascii="Times New Roman" w:hAnsi="Times New Roman" w:cs="Times New Roman"/>
          <w:color w:val="000000" w:themeColor="text1"/>
          <w:sz w:val="24"/>
          <w:szCs w:val="24"/>
        </w:rPr>
        <w:fldChar w:fldCharType="separate"/>
      </w:r>
      <w:r w:rsidRPr="00B50382">
        <w:rPr>
          <w:rFonts w:ascii="Times New Roman" w:hAnsi="Times New Roman" w:cs="Times New Roman"/>
          <w:color w:val="000000" w:themeColor="text1"/>
          <w:sz w:val="24"/>
        </w:rPr>
        <w:t xml:space="preserve">(Mobley </w:t>
      </w:r>
      <w:r w:rsidRPr="0011411F">
        <w:rPr>
          <w:rFonts w:ascii="Times New Roman" w:hAnsi="Times New Roman" w:cs="Times New Roman"/>
          <w:i/>
          <w:color w:val="000000" w:themeColor="text1"/>
          <w:sz w:val="24"/>
        </w:rPr>
        <w:t>et al</w:t>
      </w:r>
      <w:r w:rsidRPr="00B50382">
        <w:rPr>
          <w:rFonts w:ascii="Times New Roman" w:hAnsi="Times New Roman" w:cs="Times New Roman"/>
          <w:color w:val="000000" w:themeColor="text1"/>
          <w:sz w:val="24"/>
        </w:rPr>
        <w:t>., 1984)</w:t>
      </w:r>
      <w:r w:rsidRPr="00B50382">
        <w:rPr>
          <w:rFonts w:ascii="Times New Roman" w:hAnsi="Times New Roman" w:cs="Times New Roman"/>
          <w:color w:val="000000" w:themeColor="text1"/>
          <w:sz w:val="24"/>
          <w:szCs w:val="24"/>
        </w:rPr>
        <w:fldChar w:fldCharType="end"/>
      </w:r>
      <w:r w:rsidRPr="00B50382">
        <w:rPr>
          <w:rFonts w:ascii="Times New Roman" w:hAnsi="Times New Roman" w:cs="Times New Roman"/>
          <w:color w:val="000000" w:themeColor="text1"/>
          <w:sz w:val="24"/>
          <w:szCs w:val="24"/>
        </w:rPr>
        <w:t xml:space="preserve"> whilst </w:t>
      </w:r>
      <w:r w:rsidRPr="00B50382">
        <w:rPr>
          <w:rFonts w:ascii="Times New Roman" w:hAnsi="Times New Roman" w:cs="Times New Roman"/>
          <w:i/>
          <w:color w:val="000000" w:themeColor="text1"/>
          <w:sz w:val="24"/>
          <w:szCs w:val="24"/>
        </w:rPr>
        <w:t>E. coli</w:t>
      </w:r>
      <w:r w:rsidRPr="00B50382">
        <w:rPr>
          <w:rFonts w:ascii="Times New Roman" w:hAnsi="Times New Roman" w:cs="Times New Roman"/>
          <w:color w:val="000000" w:themeColor="text1"/>
          <w:sz w:val="24"/>
          <w:szCs w:val="24"/>
        </w:rPr>
        <w:t xml:space="preserve"> showed no cumulative decrease in elongation rate over 200 generations, but eventually died, suggesting inheritance of a lethal factor </w:t>
      </w:r>
      <w:r w:rsidRPr="00B50382">
        <w:rPr>
          <w:rFonts w:ascii="Times New Roman" w:hAnsi="Times New Roman" w:cs="Times New Roman"/>
          <w:color w:val="000000" w:themeColor="text1"/>
          <w:sz w:val="24"/>
          <w:szCs w:val="24"/>
        </w:rPr>
        <w:fldChar w:fldCharType="begin"/>
      </w:r>
      <w:r w:rsidRPr="00B50382">
        <w:rPr>
          <w:rFonts w:ascii="Times New Roman" w:hAnsi="Times New Roman" w:cs="Times New Roman"/>
          <w:color w:val="000000" w:themeColor="text1"/>
          <w:sz w:val="24"/>
          <w:szCs w:val="24"/>
        </w:rPr>
        <w:instrText xml:space="preserve"> ADDIN ZOTERO_ITEM CSL_CITATION {"citationID":"20ld3po4hs","properties":{"formattedCitation":"(Wang et al., 2010)","plainCitation":"(Wang et al., 2010)"},"citationItems":[{"id":681,"uris":["http://zotero.org/users/944474/items/7P6ZQIV8"],"uri":["http://zotero.org/users/944474/items/7P6ZQIV8"],"itemData":{"id":681,"type":"article-journal","title":"Robust growth of Escherichia coli","container-title":"Current biology : CB","page":"1099-1103","volume":"20","issue":"12","abstract":"The quantitative study of the cell growth [-] has led to many fundamental insights in our understanding of a wide range of subjects from cell cycle [-] to senescence []. Of particular importance is the growth rate, whose constancy represents a physiological steady state of an organism. Recent studies, however, suggest that the rate of elongation during exponential growth of bacterial cells decreases cumulatively with replicative age for both asymmetrically [] and symmetrically [,] dividing organisms, implying that a “steady-state” population consists of individual cells that are never in a steady state of growth. To resolve this seeming paradoxical observation, we studied the long-term growth and division patterns of Escherichia coli cells by employing a microfluidic device designed to follow steady state growth and division of a large number of cells at a defined reproductive age. Our analysis of ~105 individual cells reveals a remarkable stability of growth of the mother cell inheriting the same pole for hundreds of generations. We further show that death of E. coli is not purely stochastic but is the result of accumulating damages. We conclude that E. coli, unlike all other aging model systems studied to date, has a robust mechanism of growth that is decoupled from cell death.","DOI":"10.1016/j.cub.2010.04.045","note":"PMID: 20537537\nPMCID: PMC2902570","journalAbbreviation":"Curr Biol","author":[{"family":"Wang","given":"Ping"},{"family":"Robert","given":"Lydia"},{"family":"Pelletier","given":"James"},{"family":"Dang","given":"Wei Lien"},{"family":"Taddei","given":"Francois"},{"family":"Wright","given":"Andrew"},{"family":"Jun","given":"Suckjoon"}],"issued":{"year":2010,"month":6,"day":22},"accessed":{"year":2012,"month":7,"day":8},"page-first":"1099"}}],"schema":"https://github.com/citation-style-language/schema/raw/master/csl-citation.json"} </w:instrText>
      </w:r>
      <w:r w:rsidRPr="00B50382">
        <w:rPr>
          <w:rFonts w:ascii="Times New Roman" w:hAnsi="Times New Roman" w:cs="Times New Roman"/>
          <w:color w:val="000000" w:themeColor="text1"/>
          <w:sz w:val="24"/>
          <w:szCs w:val="24"/>
        </w:rPr>
        <w:fldChar w:fldCharType="separate"/>
      </w:r>
      <w:r w:rsidRPr="00B50382">
        <w:rPr>
          <w:rFonts w:ascii="Times New Roman" w:hAnsi="Times New Roman" w:cs="Times New Roman"/>
          <w:color w:val="000000" w:themeColor="text1"/>
          <w:sz w:val="24"/>
        </w:rPr>
        <w:t xml:space="preserve">(Wang </w:t>
      </w:r>
      <w:r w:rsidRPr="0011411F">
        <w:rPr>
          <w:rFonts w:ascii="Times New Roman" w:hAnsi="Times New Roman" w:cs="Times New Roman"/>
          <w:i/>
          <w:color w:val="000000" w:themeColor="text1"/>
          <w:sz w:val="24"/>
        </w:rPr>
        <w:t>et al</w:t>
      </w:r>
      <w:r w:rsidRPr="00B50382">
        <w:rPr>
          <w:rFonts w:ascii="Times New Roman" w:hAnsi="Times New Roman" w:cs="Times New Roman"/>
          <w:color w:val="000000" w:themeColor="text1"/>
          <w:sz w:val="24"/>
        </w:rPr>
        <w:t>., 2010)</w:t>
      </w:r>
      <w:r w:rsidRPr="00B50382">
        <w:rPr>
          <w:rFonts w:ascii="Times New Roman" w:hAnsi="Times New Roman" w:cs="Times New Roman"/>
          <w:color w:val="000000" w:themeColor="text1"/>
          <w:sz w:val="24"/>
          <w:szCs w:val="24"/>
        </w:rPr>
        <w:fldChar w:fldCharType="end"/>
      </w:r>
      <w:r w:rsidRPr="00B50382">
        <w:rPr>
          <w:rFonts w:ascii="Times New Roman" w:hAnsi="Times New Roman" w:cs="Times New Roman"/>
          <w:color w:val="000000" w:themeColor="text1"/>
          <w:sz w:val="24"/>
          <w:szCs w:val="24"/>
        </w:rPr>
        <w:t>.</w:t>
      </w:r>
    </w:p>
    <w:p w:rsidR="00FE29E6" w:rsidRPr="00B50382" w:rsidRDefault="00FE29E6" w:rsidP="00FE29E6">
      <w:pPr>
        <w:spacing w:line="480" w:lineRule="auto"/>
        <w:jc w:val="both"/>
        <w:rPr>
          <w:rFonts w:ascii="Times New Roman" w:hAnsi="Times New Roman" w:cs="Times New Roman"/>
          <w:color w:val="000000" w:themeColor="text1"/>
          <w:sz w:val="24"/>
          <w:szCs w:val="24"/>
          <w:u w:val="single"/>
        </w:rPr>
      </w:pPr>
      <w:r w:rsidRPr="00B50382">
        <w:rPr>
          <w:rFonts w:ascii="Times New Roman" w:hAnsi="Times New Roman" w:cs="Times New Roman"/>
          <w:color w:val="000000" w:themeColor="text1"/>
          <w:sz w:val="24"/>
          <w:szCs w:val="24"/>
        </w:rPr>
        <w:t xml:space="preserve">A major obstacle to the investigation of cell aging is the difficulty in identifying progenitor cells from a heterogeneous population. Baby cell farming is a technique where bacterial cells are immobilised under a flow of culture medium, permitting selective elution of newborn daughter cells in the mobile phase </w:t>
      </w:r>
      <w:r w:rsidRPr="00B50382">
        <w:rPr>
          <w:rFonts w:ascii="Times New Roman" w:hAnsi="Times New Roman" w:cs="Times New Roman"/>
          <w:color w:val="000000" w:themeColor="text1"/>
          <w:sz w:val="24"/>
          <w:szCs w:val="24"/>
        </w:rPr>
        <w:fldChar w:fldCharType="begin"/>
      </w:r>
      <w:r w:rsidRPr="00B50382">
        <w:rPr>
          <w:rFonts w:ascii="Times New Roman" w:hAnsi="Times New Roman" w:cs="Times New Roman"/>
          <w:color w:val="000000" w:themeColor="text1"/>
          <w:sz w:val="24"/>
          <w:szCs w:val="24"/>
        </w:rPr>
        <w:instrText xml:space="preserve"> ADDIN ZOTERO_ITEM CSL_CITATION {"citationID":"j7mmd8mhp","properties":{"formattedCitation":"(HELMSTETTER and CUMMINGS, 1963)","plainCitation":"(HELMSTETTER and CUMMINGS, 1963)"},"citationItems":[{"id":652,"uris":["http://zotero.org/users/944474/items/DWFJ2ZI4"],"uri":["http://zotero.org/users/944474/items/DWFJ2ZI4"],"itemData":{"id":652,"type":"article-journal","title":"BACTERIAL SYNCHRONIZATION BY SELECTION OF CELLS AT DIVISION","container-title":"Proceedings of the National Academy of Sciences of the United States of America","page":"767-774","volume":"50","note":"PMID: 14077509","journalAbbreviation":"Proc. Natl. Acad. Sci. U.S.A.","author":[{"family":"HELMSTETTER","given":"C E"},{"family":"CUMMINGS","given":"D J"}],"issued":{"year":1963,"month":10},"accessed":{"year":2012,"month":7,"day":5},"page-first":"767"}}],"schema":"https://github.com/citation-style-language/schema/raw/master/csl-citation.json"} </w:instrText>
      </w:r>
      <w:r w:rsidRPr="00B50382">
        <w:rPr>
          <w:rFonts w:ascii="Times New Roman" w:hAnsi="Times New Roman" w:cs="Times New Roman"/>
          <w:color w:val="000000" w:themeColor="text1"/>
          <w:sz w:val="24"/>
          <w:szCs w:val="24"/>
        </w:rPr>
        <w:fldChar w:fldCharType="separate"/>
      </w:r>
      <w:r w:rsidRPr="00B50382">
        <w:rPr>
          <w:rFonts w:ascii="Times New Roman" w:hAnsi="Times New Roman" w:cs="Times New Roman"/>
          <w:color w:val="000000" w:themeColor="text1"/>
          <w:sz w:val="24"/>
        </w:rPr>
        <w:t>(Helmstetter and Cummings, 1963)</w:t>
      </w:r>
      <w:r w:rsidRPr="00B50382">
        <w:rPr>
          <w:rFonts w:ascii="Times New Roman" w:hAnsi="Times New Roman" w:cs="Times New Roman"/>
          <w:color w:val="000000" w:themeColor="text1"/>
          <w:sz w:val="24"/>
          <w:szCs w:val="24"/>
        </w:rPr>
        <w:fldChar w:fldCharType="end"/>
      </w:r>
      <w:r w:rsidRPr="00B50382">
        <w:rPr>
          <w:rFonts w:ascii="Times New Roman" w:hAnsi="Times New Roman" w:cs="Times New Roman"/>
          <w:color w:val="000000" w:themeColor="text1"/>
          <w:sz w:val="24"/>
          <w:szCs w:val="24"/>
        </w:rPr>
        <w:t xml:space="preserve">. This approach could be used to investigate the growth dynamics of aging mother cells. Recovery of the progenitor cells would permit analysis of the peptidoglycan architecture. In a recent application of the baby culture technique, </w:t>
      </w:r>
      <w:r w:rsidRPr="00B50382">
        <w:rPr>
          <w:rFonts w:ascii="Times New Roman" w:hAnsi="Times New Roman" w:cs="Times New Roman"/>
          <w:i/>
          <w:color w:val="000000" w:themeColor="text1"/>
          <w:sz w:val="24"/>
          <w:szCs w:val="24"/>
        </w:rPr>
        <w:t>E. coli</w:t>
      </w:r>
      <w:r w:rsidRPr="00B50382">
        <w:rPr>
          <w:rFonts w:ascii="Times New Roman" w:hAnsi="Times New Roman" w:cs="Times New Roman"/>
          <w:color w:val="000000" w:themeColor="text1"/>
          <w:sz w:val="24"/>
          <w:szCs w:val="24"/>
        </w:rPr>
        <w:t xml:space="preserve"> were tethered by their flagella to glass beads within a flow column </w:t>
      </w:r>
      <w:r w:rsidRPr="00B50382">
        <w:rPr>
          <w:rFonts w:ascii="Times New Roman" w:hAnsi="Times New Roman" w:cs="Times New Roman"/>
          <w:color w:val="000000" w:themeColor="text1"/>
          <w:sz w:val="24"/>
          <w:szCs w:val="24"/>
        </w:rPr>
        <w:fldChar w:fldCharType="begin"/>
      </w:r>
      <w:r w:rsidRPr="00B50382">
        <w:rPr>
          <w:rFonts w:ascii="Times New Roman" w:hAnsi="Times New Roman" w:cs="Times New Roman"/>
          <w:color w:val="000000" w:themeColor="text1"/>
          <w:sz w:val="24"/>
          <w:szCs w:val="24"/>
        </w:rPr>
        <w:instrText xml:space="preserve"> ADDIN ZOTERO_ITEM CSL_CITATION {"citationID":"18j4am200v","properties":{"formattedCitation":"(Bates et al., 2005)","plainCitation":"(Bates et al., 2005)"},"citationItems":[{"id":653,"uris":["http://zotero.org/users/944474/items/U87425BH"],"uri":["http://zotero.org/users/944474/items/U87425BH"],"itemData":{"id":653,"type":"article-journal","title":"The Escherichia coli baby cell column: a novel cell synchronization method provides new insight into the bacterial cell cycle","container-title":"Molecular microbiology","page":"380-391","volume":"57","issue":"2","abstract":"We describe a new method for synchronizing bacterial cells. Cells that have transiently expressed an inducible mutant ‘sticky’ flagellin are adhered to a volume of glass beads suspended in a chromatography column though which growth medium is pumped. Following repression of flagellin synthesis, newborn cells are eluted from the column in large quantities exceeding that of current baby machine techniques by approximately 10-fold. Eluted cultures of ‘baby cells’ are highly synchronous as determined by analysis of DNA replication, cell division and other events, over time after elution from the column. We also show that use of ‘minutes after elution’ as a time metric permits much greater temporal resolution among sequential chromosomal events than the commonly used metric of cell size (length). The former approach reveals the existence of transient intermediate stages that are missed by the latter approach. This finding has two important implications. First, at a practical level, the baby cell column is a particularly powerful method for temporal analysis. Second, at a conceptual level, replication-related events are more tightly linked to cell birth (i.e. cell division) than to absolute cell mass.","DOI":"10.1111/j.1365-2958.2005.04693.x","note":"PMID: 15978072\nPMCID: PMC2973562","shortTitle":"The Escherichia coli baby cell column","journalAbbreviation":"Mol Microbiol","author":[{"family":"Bates","given":"David"},{"family":"Epstein","given":"Jessica"},{"family":"Boye","given":"Erik"},{"family":"Fahrner","given":"Karen"},{"family":"Berg","given":"Howard"},{"family":"Kleckner","given":"Nancy"}],"issued":{"year":2005,"month":7},"accessed":{"year":2012,"month":7,"day":5},"page-first":"380"}}],"schema":"https://github.com/citation-style-language/schema/raw/master/csl-citation.json"} </w:instrText>
      </w:r>
      <w:r w:rsidRPr="00B50382">
        <w:rPr>
          <w:rFonts w:ascii="Times New Roman" w:hAnsi="Times New Roman" w:cs="Times New Roman"/>
          <w:color w:val="000000" w:themeColor="text1"/>
          <w:sz w:val="24"/>
          <w:szCs w:val="24"/>
        </w:rPr>
        <w:fldChar w:fldCharType="separate"/>
      </w:r>
      <w:r w:rsidRPr="00B50382">
        <w:rPr>
          <w:rFonts w:ascii="Times New Roman" w:hAnsi="Times New Roman" w:cs="Times New Roman"/>
          <w:color w:val="000000" w:themeColor="text1"/>
          <w:sz w:val="24"/>
        </w:rPr>
        <w:t xml:space="preserve">(Bates </w:t>
      </w:r>
      <w:r w:rsidRPr="0011411F">
        <w:rPr>
          <w:rFonts w:ascii="Times New Roman" w:hAnsi="Times New Roman" w:cs="Times New Roman"/>
          <w:i/>
          <w:color w:val="000000" w:themeColor="text1"/>
          <w:sz w:val="24"/>
        </w:rPr>
        <w:t>et al</w:t>
      </w:r>
      <w:r w:rsidRPr="00B50382">
        <w:rPr>
          <w:rFonts w:ascii="Times New Roman" w:hAnsi="Times New Roman" w:cs="Times New Roman"/>
          <w:color w:val="000000" w:themeColor="text1"/>
          <w:sz w:val="24"/>
        </w:rPr>
        <w:t>., 2005)</w:t>
      </w:r>
      <w:r w:rsidRPr="00B50382">
        <w:rPr>
          <w:rFonts w:ascii="Times New Roman" w:hAnsi="Times New Roman" w:cs="Times New Roman"/>
          <w:color w:val="000000" w:themeColor="text1"/>
          <w:sz w:val="24"/>
          <w:szCs w:val="24"/>
        </w:rPr>
        <w:fldChar w:fldCharType="end"/>
      </w:r>
      <w:r w:rsidRPr="00B50382">
        <w:rPr>
          <w:rFonts w:ascii="Times New Roman" w:hAnsi="Times New Roman" w:cs="Times New Roman"/>
          <w:color w:val="000000" w:themeColor="text1"/>
          <w:sz w:val="24"/>
          <w:szCs w:val="24"/>
        </w:rPr>
        <w:t xml:space="preserve">. Flagellin synthesis was then switched off, permitting non-flagellated daughter cells to elute from the column. The </w:t>
      </w:r>
      <w:r w:rsidRPr="00B50382">
        <w:rPr>
          <w:rFonts w:ascii="Times New Roman" w:hAnsi="Times New Roman" w:cs="Times New Roman"/>
          <w:i/>
          <w:color w:val="000000" w:themeColor="text1"/>
          <w:sz w:val="24"/>
          <w:szCs w:val="24"/>
        </w:rPr>
        <w:t>E.</w:t>
      </w:r>
      <w:r>
        <w:rPr>
          <w:rFonts w:ascii="Times New Roman" w:hAnsi="Times New Roman" w:cs="Times New Roman"/>
          <w:i/>
          <w:color w:val="000000" w:themeColor="text1"/>
          <w:sz w:val="24"/>
          <w:szCs w:val="24"/>
        </w:rPr>
        <w:t xml:space="preserve"> </w:t>
      </w:r>
      <w:r w:rsidRPr="00B50382">
        <w:rPr>
          <w:rFonts w:ascii="Times New Roman" w:hAnsi="Times New Roman" w:cs="Times New Roman"/>
          <w:i/>
          <w:color w:val="000000" w:themeColor="text1"/>
          <w:sz w:val="24"/>
          <w:szCs w:val="24"/>
        </w:rPr>
        <w:t xml:space="preserve">coli </w:t>
      </w:r>
      <w:r w:rsidRPr="00B50382">
        <w:rPr>
          <w:rFonts w:ascii="Times New Roman" w:hAnsi="Times New Roman" w:cs="Times New Roman"/>
          <w:color w:val="000000" w:themeColor="text1"/>
          <w:sz w:val="24"/>
          <w:szCs w:val="24"/>
        </w:rPr>
        <w:t xml:space="preserve">cell yield from the baby cell column decayed rapidly after 10 hours of growth, although the authors suggested this could be due to detachment of flagella </w:t>
      </w:r>
      <w:r w:rsidRPr="00B50382">
        <w:rPr>
          <w:rFonts w:ascii="Times New Roman" w:hAnsi="Times New Roman" w:cs="Times New Roman"/>
          <w:color w:val="000000" w:themeColor="text1"/>
          <w:sz w:val="24"/>
          <w:szCs w:val="24"/>
        </w:rPr>
        <w:fldChar w:fldCharType="begin"/>
      </w:r>
      <w:r w:rsidRPr="00B50382">
        <w:rPr>
          <w:rFonts w:ascii="Times New Roman" w:hAnsi="Times New Roman" w:cs="Times New Roman"/>
          <w:color w:val="000000" w:themeColor="text1"/>
          <w:sz w:val="24"/>
          <w:szCs w:val="24"/>
        </w:rPr>
        <w:instrText xml:space="preserve"> ADDIN ZOTERO_ITEM CSL_CITATION {"citationID":"r1qo05co3","properties":{"formattedCitation":"(Bates et al., 2005)","plainCitation":"(Bates et al., 2005)"},"citationItems":[{"id":653,"uris":["http://zotero.org/users/944474/items/U87425BH"],"uri":["http://zotero.org/users/944474/items/U87425BH"],"itemData":{"id":653,"type":"article-journal","title":"The Escherichia coli baby cell column: a novel cell synchronization method provides new insight into the bacterial cell cycle","container-title":"Molecular microbiology","page":"380-391","volume":"57","issue":"2","abstract":"We describe a new method for synchronizing bacterial cells. Cells that have transiently expressed an inducible mutant ‘sticky’ flagellin are adhered to a volume of glass beads suspended in a chromatography column though which growth medium is pumped. Following repression of flagellin synthesis, newborn cells are eluted from the column in large quantities exceeding that of current baby machine techniques by approximately 10-fold. Eluted cultures of ‘baby cells’ are highly synchronous as determined by analysis of DNA replication, cell division and other events, over time after elution from the column. We also show that use of ‘minutes after elution’ as a time metric permits much greater temporal resolution among sequential chromosomal events than the commonly used metric of cell size (length). The former approach reveals the existence of transient intermediate stages that are missed by the latter approach. This finding has two important implications. First, at a practical level, the baby cell column is a particularly powerful method for temporal analysis. Second, at a conceptual level, replication-related events are more tightly linked to cell birth (i.e. cell division) than to absolute cell mass.","DOI":"10.1111/j.1365-2958.2005.04693.x","note":"PMID: 15978072\nPMCID: PMC2973562","shortTitle":"The Escherichia coli baby cell column","journalAbbreviation":"Mol Microbiol","author":[{"family":"Bates","given":"David"},{"family":"Epstein","given":"Jessica"},{"family":"Boye","given":"Erik"},{"family":"Fahrner","given":"Karen"},{"family":"Berg","given":"Howard"},{"family":"Kleckner","given":"Nancy"}],"issued":{"year":2005,"month":7},"accessed":{"year":2012,"month":7,"day":5},"page-first":"380"}}],"schema":"https://github.com/citation-style-language/schema/raw/master/csl-citation.json"} </w:instrText>
      </w:r>
      <w:r w:rsidRPr="00B50382">
        <w:rPr>
          <w:rFonts w:ascii="Times New Roman" w:hAnsi="Times New Roman" w:cs="Times New Roman"/>
          <w:color w:val="000000" w:themeColor="text1"/>
          <w:sz w:val="24"/>
          <w:szCs w:val="24"/>
        </w:rPr>
        <w:fldChar w:fldCharType="separate"/>
      </w:r>
      <w:r w:rsidRPr="00B50382">
        <w:rPr>
          <w:rFonts w:ascii="Times New Roman" w:hAnsi="Times New Roman" w:cs="Times New Roman"/>
          <w:color w:val="000000" w:themeColor="text1"/>
          <w:sz w:val="24"/>
        </w:rPr>
        <w:t xml:space="preserve">(Bates </w:t>
      </w:r>
      <w:r w:rsidRPr="0011411F">
        <w:rPr>
          <w:rFonts w:ascii="Times New Roman" w:hAnsi="Times New Roman" w:cs="Times New Roman"/>
          <w:i/>
          <w:color w:val="000000" w:themeColor="text1"/>
          <w:sz w:val="24"/>
        </w:rPr>
        <w:t>et al</w:t>
      </w:r>
      <w:r w:rsidRPr="00B50382">
        <w:rPr>
          <w:rFonts w:ascii="Times New Roman" w:hAnsi="Times New Roman" w:cs="Times New Roman"/>
          <w:color w:val="000000" w:themeColor="text1"/>
          <w:sz w:val="24"/>
        </w:rPr>
        <w:t>., 2005)</w:t>
      </w:r>
      <w:r w:rsidRPr="00B50382">
        <w:rPr>
          <w:rFonts w:ascii="Times New Roman" w:hAnsi="Times New Roman" w:cs="Times New Roman"/>
          <w:color w:val="000000" w:themeColor="text1"/>
          <w:sz w:val="24"/>
          <w:szCs w:val="24"/>
        </w:rPr>
        <w:fldChar w:fldCharType="end"/>
      </w:r>
      <w:r w:rsidRPr="00B50382">
        <w:rPr>
          <w:rFonts w:ascii="Times New Roman" w:hAnsi="Times New Roman" w:cs="Times New Roman"/>
          <w:color w:val="000000" w:themeColor="text1"/>
          <w:sz w:val="24"/>
          <w:szCs w:val="24"/>
        </w:rPr>
        <w:t xml:space="preserve">. In </w:t>
      </w:r>
      <w:r w:rsidRPr="00B50382">
        <w:rPr>
          <w:rFonts w:ascii="Times New Roman" w:hAnsi="Times New Roman" w:cs="Times New Roman"/>
          <w:i/>
          <w:color w:val="000000" w:themeColor="text1"/>
          <w:sz w:val="24"/>
          <w:szCs w:val="24"/>
        </w:rPr>
        <w:t>S. aureus</w:t>
      </w:r>
      <w:r w:rsidRPr="00B50382">
        <w:rPr>
          <w:rFonts w:ascii="Times New Roman" w:hAnsi="Times New Roman" w:cs="Times New Roman"/>
          <w:color w:val="000000" w:themeColor="text1"/>
          <w:sz w:val="24"/>
          <w:szCs w:val="24"/>
        </w:rPr>
        <w:t xml:space="preserve">, pulsed expression of surface proteins that are covalently linked to the peptidoglycan by sortases (e.g. Protein A, clumping factors ClfA and ClfB, collagen-binding protein Cna or Fibronectin-binding proteins FnbpA and FnbpB), under control of an inducible promoter, could provide a tethering function which would be restricted to the eldest peptidoglycan sector within 3 generations </w:t>
      </w:r>
      <w:r w:rsidRPr="00B50382">
        <w:rPr>
          <w:rFonts w:ascii="Times New Roman" w:hAnsi="Times New Roman" w:cs="Times New Roman"/>
          <w:color w:val="000000" w:themeColor="text1"/>
          <w:sz w:val="24"/>
          <w:szCs w:val="24"/>
        </w:rPr>
        <w:fldChar w:fldCharType="begin"/>
      </w:r>
      <w:r w:rsidRPr="00B50382">
        <w:rPr>
          <w:rFonts w:ascii="Times New Roman" w:hAnsi="Times New Roman" w:cs="Times New Roman"/>
          <w:color w:val="000000" w:themeColor="text1"/>
          <w:sz w:val="24"/>
          <w:szCs w:val="24"/>
        </w:rPr>
        <w:instrText xml:space="preserve"> ADDIN ZOTERO_ITEM CSL_CITATION {"citationID":"7483kj3j","properties":{"formattedCitation":"(Roche et al., 2003)","plainCitation":"(Roche et al., 2003)"},"citationItems":[{"id":656,"uris":["http://zotero.org/users/944474/items/GRR865UC"],"uri":["http://zotero.org/users/944474/items/GRR865UC"],"itemData":{"id":656,"type":"article-journal","title":"Characterization of novel LPXTG-containing proteins of Staphylococcus aureus identified from genome sequences","container-title":"Microbiology (Reading, England)","page":"643-654","volume":"149","issue":"Pt 3","abstract":"Twenty-one genes encoding surface proteins belonging to the LPXTG family have been identified by in silico analysis of six Staphylococcus aureus genome sequences. Eleven genes encode previously described proteins, while 10 have not yet been characterized. Of these, eight contain the cell-wall sorting signal LPXTG responsible for covalently anchoring proteins to the cell-wall peptidoglycan. The remaining two, SasF and SasD, harbour a single residue variation in the fourth position of the LPXTG motif (LPXAG). Western blotting of lysostaphin-solubilized S. aureus cell-wall proteins demonstrated the release of SasF in the cell-wall fraction, indicating that proteins carrying LPXAG are sorted normally. Analysis of primary sequences of the Staphylococcus aureus surface (Sas) proteins indicated that several share a similar structural organization and a common signal sequence with previously characterized LPXTG proteins of S. aureus and other Gram-positive cocci. Protein SasG has 128 residue B repeats that are almost identical at the DNA level. PCR analysis indicated that recombinants with repeat length variations are present in the bacterial population whereas they are not detectable in the B-repeat-encoding region of sdrD. The sasG and sasH genes are significantly associated with invasive disease isolates compared to nasal carriage isolates. Several IgG samples purified from patients recovering from S. aureus infections had higher titres against Sas proteins than control IgG, suggesting that expression occurred during infection in some patients.","note":"PMID: 12634333","journalAbbreviation":"Microbiology (Reading, Engl.)","author":[{"family":"Roche","given":"Fiona M"},{"family":"Massey","given":"Ruth"},{"family":"Peacock","given":"Sharon J"},{"family":"Day","given":"Nicholas P J"},{"family":"Visai","given":"Livia"},{"family":"Speziale","given":"Pietro"},{"family":"Lam","given":"Alex"},{"family":"Pallen","given":"Mark"},{"family":"Foster","given":"Timothy J"}],"issued":{"year":2003,"month":3},"accessed":{"year":2012,"month":7,"day":6},"page-first":"643"}}],"schema":"https://github.com/citation-style-language/schema/raw/master/csl-citation.json"} </w:instrText>
      </w:r>
      <w:r w:rsidRPr="00B50382">
        <w:rPr>
          <w:rFonts w:ascii="Times New Roman" w:hAnsi="Times New Roman" w:cs="Times New Roman"/>
          <w:color w:val="000000" w:themeColor="text1"/>
          <w:sz w:val="24"/>
          <w:szCs w:val="24"/>
        </w:rPr>
        <w:fldChar w:fldCharType="separate"/>
      </w:r>
      <w:r w:rsidRPr="00B50382">
        <w:rPr>
          <w:rFonts w:ascii="Times New Roman" w:hAnsi="Times New Roman" w:cs="Times New Roman"/>
          <w:color w:val="000000" w:themeColor="text1"/>
          <w:sz w:val="24"/>
        </w:rPr>
        <w:t xml:space="preserve">(Roche </w:t>
      </w:r>
      <w:r w:rsidRPr="0011411F">
        <w:rPr>
          <w:rFonts w:ascii="Times New Roman" w:hAnsi="Times New Roman" w:cs="Times New Roman"/>
          <w:i/>
          <w:color w:val="000000" w:themeColor="text1"/>
          <w:sz w:val="24"/>
        </w:rPr>
        <w:t>et al</w:t>
      </w:r>
      <w:r w:rsidRPr="00B50382">
        <w:rPr>
          <w:rFonts w:ascii="Times New Roman" w:hAnsi="Times New Roman" w:cs="Times New Roman"/>
          <w:color w:val="000000" w:themeColor="text1"/>
          <w:sz w:val="24"/>
        </w:rPr>
        <w:t>., 2003)</w:t>
      </w:r>
      <w:r w:rsidRPr="00B50382">
        <w:rPr>
          <w:rFonts w:ascii="Times New Roman" w:hAnsi="Times New Roman" w:cs="Times New Roman"/>
          <w:color w:val="000000" w:themeColor="text1"/>
          <w:sz w:val="24"/>
          <w:szCs w:val="24"/>
        </w:rPr>
        <w:fldChar w:fldCharType="end"/>
      </w:r>
      <w:r w:rsidRPr="00B50382">
        <w:rPr>
          <w:rFonts w:ascii="Times New Roman" w:hAnsi="Times New Roman" w:cs="Times New Roman"/>
          <w:color w:val="000000" w:themeColor="text1"/>
          <w:sz w:val="24"/>
          <w:szCs w:val="24"/>
        </w:rPr>
        <w:t xml:space="preserve">. Wang </w:t>
      </w:r>
      <w:r w:rsidRPr="0011411F">
        <w:rPr>
          <w:rFonts w:ascii="Times New Roman" w:hAnsi="Times New Roman" w:cs="Times New Roman"/>
          <w:i/>
          <w:color w:val="000000" w:themeColor="text1"/>
          <w:sz w:val="24"/>
          <w:szCs w:val="24"/>
        </w:rPr>
        <w:t>et al</w:t>
      </w:r>
      <w:r w:rsidRPr="00B50382">
        <w:rPr>
          <w:rFonts w:ascii="Times New Roman" w:hAnsi="Times New Roman" w:cs="Times New Roman"/>
          <w:color w:val="000000" w:themeColor="text1"/>
          <w:sz w:val="24"/>
          <w:szCs w:val="24"/>
        </w:rPr>
        <w:t xml:space="preserve">. created a ‘mother-machine’ which trapped </w:t>
      </w:r>
      <w:r w:rsidRPr="00B50382">
        <w:rPr>
          <w:rFonts w:ascii="Times New Roman" w:hAnsi="Times New Roman" w:cs="Times New Roman"/>
          <w:i/>
          <w:color w:val="000000" w:themeColor="text1"/>
          <w:sz w:val="24"/>
          <w:szCs w:val="24"/>
        </w:rPr>
        <w:t>E.</w:t>
      </w:r>
      <w:r>
        <w:rPr>
          <w:rFonts w:ascii="Times New Roman" w:hAnsi="Times New Roman" w:cs="Times New Roman"/>
          <w:i/>
          <w:color w:val="000000" w:themeColor="text1"/>
          <w:sz w:val="24"/>
          <w:szCs w:val="24"/>
        </w:rPr>
        <w:t xml:space="preserve"> </w:t>
      </w:r>
      <w:r w:rsidRPr="00B50382">
        <w:rPr>
          <w:rFonts w:ascii="Times New Roman" w:hAnsi="Times New Roman" w:cs="Times New Roman"/>
          <w:i/>
          <w:color w:val="000000" w:themeColor="text1"/>
          <w:sz w:val="24"/>
          <w:szCs w:val="24"/>
        </w:rPr>
        <w:t xml:space="preserve">coli </w:t>
      </w:r>
      <w:r w:rsidRPr="00B50382">
        <w:rPr>
          <w:rFonts w:ascii="Times New Roman" w:hAnsi="Times New Roman" w:cs="Times New Roman"/>
          <w:color w:val="000000" w:themeColor="text1"/>
          <w:sz w:val="24"/>
          <w:szCs w:val="24"/>
        </w:rPr>
        <w:t xml:space="preserve">cells in a deep trench permitting continual observation of a single, dividing cell </w:t>
      </w:r>
      <w:r w:rsidRPr="00B50382">
        <w:rPr>
          <w:rFonts w:ascii="Times New Roman" w:hAnsi="Times New Roman" w:cs="Times New Roman"/>
          <w:color w:val="000000" w:themeColor="text1"/>
          <w:sz w:val="24"/>
          <w:szCs w:val="24"/>
        </w:rPr>
        <w:lastRenderedPageBreak/>
        <w:fldChar w:fldCharType="begin"/>
      </w:r>
      <w:r w:rsidRPr="00B50382">
        <w:rPr>
          <w:rFonts w:ascii="Times New Roman" w:hAnsi="Times New Roman" w:cs="Times New Roman"/>
          <w:color w:val="000000" w:themeColor="text1"/>
          <w:sz w:val="24"/>
          <w:szCs w:val="24"/>
        </w:rPr>
        <w:instrText xml:space="preserve"> ADDIN ZOTERO_ITEM CSL_CITATION {"citationID":"29appnbn7b","properties":{"formattedCitation":"(Wang et al., 2010)","plainCitation":"(Wang et al., 2010)"},"citationItems":[{"id":681,"uris":["http://zotero.org/users/944474/items/7P6ZQIV8"],"uri":["http://zotero.org/users/944474/items/7P6ZQIV8"],"itemData":{"id":681,"type":"article-journal","title":"Robust growth of Escherichia coli","container-title":"Current biology : CB","page":"1099-1103","volume":"20","issue":"12","abstract":"The quantitative study of the cell growth [-] has led to many fundamental insights in our understanding of a wide range of subjects from cell cycle [-] to senescence []. Of particular importance is the growth rate, whose constancy represents a physiological steady state of an organism. Recent studies, however, suggest that the rate of elongation during exponential growth of bacterial cells decreases cumulatively with replicative age for both asymmetrically [] and symmetrically [,] dividing organisms, implying that a “steady-state” population consists of individual cells that are never in a steady state of growth. To resolve this seeming paradoxical observation, we studied the long-term growth and division patterns of Escherichia coli cells by employing a microfluidic device designed to follow steady state growth and division of a large number of cells at a defined reproductive age. Our analysis of ~105 individual cells reveals a remarkable stability of growth of the mother cell inheriting the same pole for hundreds of generations. We further show that death of E. coli is not purely stochastic but is the result of accumulating damages. We conclude that E. coli, unlike all other aging model systems studied to date, has a robust mechanism of growth that is decoupled from cell death.","DOI":"10.1016/j.cub.2010.04.045","note":"PMID: 20537537\nPMCID: PMC2902570","journalAbbreviation":"Curr Biol","author":[{"family":"Wang","given":"Ping"},{"family":"Robert","given":"Lydia"},{"family":"Pelletier","given":"James"},{"family":"Dang","given":"Wei Lien"},{"family":"Taddei","given":"Francois"},{"family":"Wright","given":"Andrew"},{"family":"Jun","given":"Suckjoon"}],"issued":{"year":2010,"month":6,"day":22},"accessed":{"year":2012,"month":7,"day":8},"page-first":"1099"}}],"schema":"https://github.com/citation-style-language/schema/raw/master/csl-citation.json"} </w:instrText>
      </w:r>
      <w:r w:rsidRPr="00B50382">
        <w:rPr>
          <w:rFonts w:ascii="Times New Roman" w:hAnsi="Times New Roman" w:cs="Times New Roman"/>
          <w:color w:val="000000" w:themeColor="text1"/>
          <w:sz w:val="24"/>
          <w:szCs w:val="24"/>
        </w:rPr>
        <w:fldChar w:fldCharType="separate"/>
      </w:r>
      <w:r w:rsidRPr="00B50382">
        <w:rPr>
          <w:rFonts w:ascii="Times New Roman" w:hAnsi="Times New Roman" w:cs="Times New Roman"/>
          <w:color w:val="000000" w:themeColor="text1"/>
          <w:sz w:val="24"/>
        </w:rPr>
        <w:t xml:space="preserve">(Wang </w:t>
      </w:r>
      <w:r w:rsidRPr="0011411F">
        <w:rPr>
          <w:rFonts w:ascii="Times New Roman" w:hAnsi="Times New Roman" w:cs="Times New Roman"/>
          <w:i/>
          <w:color w:val="000000" w:themeColor="text1"/>
          <w:sz w:val="24"/>
        </w:rPr>
        <w:t>et al</w:t>
      </w:r>
      <w:r w:rsidRPr="00B50382">
        <w:rPr>
          <w:rFonts w:ascii="Times New Roman" w:hAnsi="Times New Roman" w:cs="Times New Roman"/>
          <w:color w:val="000000" w:themeColor="text1"/>
          <w:sz w:val="24"/>
        </w:rPr>
        <w:t>., 2010)</w:t>
      </w:r>
      <w:r w:rsidRPr="00B50382">
        <w:rPr>
          <w:rFonts w:ascii="Times New Roman" w:hAnsi="Times New Roman" w:cs="Times New Roman"/>
          <w:color w:val="000000" w:themeColor="text1"/>
          <w:sz w:val="24"/>
          <w:szCs w:val="24"/>
        </w:rPr>
        <w:fldChar w:fldCharType="end"/>
      </w:r>
      <w:r w:rsidRPr="00B50382">
        <w:rPr>
          <w:rFonts w:ascii="Times New Roman" w:hAnsi="Times New Roman" w:cs="Times New Roman"/>
          <w:color w:val="000000" w:themeColor="text1"/>
          <w:sz w:val="24"/>
          <w:szCs w:val="24"/>
        </w:rPr>
        <w:t xml:space="preserve"> This machine would work only for rods and ovococci which divide on a single plane.</w:t>
      </w:r>
    </w:p>
    <w:p w:rsidR="00FE29E6" w:rsidRDefault="00FE29E6" w:rsidP="00FE29E6">
      <w:pPr>
        <w:spacing w:line="480" w:lineRule="auto"/>
        <w:jc w:val="both"/>
        <w:rPr>
          <w:rFonts w:ascii="Times New Roman" w:hAnsi="Times New Roman" w:cs="Times New Roman"/>
          <w:sz w:val="24"/>
          <w:szCs w:val="24"/>
        </w:rPr>
      </w:pPr>
      <w:r w:rsidRPr="00B50382">
        <w:rPr>
          <w:rFonts w:ascii="Times New Roman" w:hAnsi="Times New Roman" w:cs="Times New Roman"/>
          <w:color w:val="000000" w:themeColor="text1"/>
          <w:sz w:val="24"/>
          <w:szCs w:val="24"/>
        </w:rPr>
        <w:t xml:space="preserve">Pulse labelling of cell walls is a common strategy for differentiation between old and new peptidoglycan for studies of cell wall inheritance </w:t>
      </w:r>
      <w:r w:rsidRPr="00B50382">
        <w:rPr>
          <w:rFonts w:ascii="Times New Roman" w:hAnsi="Times New Roman" w:cs="Times New Roman"/>
          <w:color w:val="000000" w:themeColor="text1"/>
          <w:sz w:val="24"/>
          <w:szCs w:val="24"/>
        </w:rPr>
        <w:fldChar w:fldCharType="begin"/>
      </w:r>
      <w:r w:rsidRPr="00B50382">
        <w:rPr>
          <w:rFonts w:ascii="Times New Roman" w:hAnsi="Times New Roman" w:cs="Times New Roman"/>
          <w:color w:val="000000" w:themeColor="text1"/>
          <w:sz w:val="24"/>
          <w:szCs w:val="24"/>
        </w:rPr>
        <w:instrText xml:space="preserve"> ADDIN ZOTERO_ITEM CSL_CITATION {"citationID":"1f4c7t3d9p","properties":{"formattedCitation":"(Briles and Tomasz, 1970; Higgins et al., 1971; Pinho and Errington, 2003)","plainCitation":"(Briles and Tomasz, 1970; Higgins et al., 1971; Pinho and Errington, 2003)"},"citationItems":[{"id":362,"uris":["http://zotero.org/users/944474/items/VFX7TZJC"],"uri":["http://zotero.org/users/944474/items/VFX7TZJC"],"itemData":{"id":362,"type":"article-journal","title":"Radioautographic evidence for equatorial wall growth in a gram-positive bacterium. Segregation of choline-3H-labeled teichoic acid","container-title":"The Journal of cell biology","page":"786-790","volume":"47","issue":"3","note":"PMID: 4395735","journalAbbreviation":"J. Cell Biol.","author":[{"family":"Briles","given":"E B"},{"family":"Tomasz","given":"A"}],"issued":{"year":1970,"month":12},"accessed":{"year":2012,"month":6,"day":5},"page-first":"786"}},{"id":359,"uris":["http://zotero.org/users/944474/items/TQ3DFS4M"],"uri":["http://zotero.org/users/944474/items/TQ3DFS4M"],"itemData":{"id":359,"type":"article-journal","title":"Reinitiation of cell wall growth after threonine starvation of Streptococcus faecalis","container-title":"Journal of bacteriology","page":"1175-1183","volume":"105","issue":"3","abstract":"Cultures of Streptococcus faecalis ATCC 9790 were starved of threonine for 10 hr and then allowed to reinitiate growth in a fresh complete medium. On regrowth, culture turbidity began to increase within 10 min, but the ability of cells to autolyze did not begin to increase until after 30 min. Ultrastructural studies of regrowth of the initially thick-walled cells showed, at about 30 min, centripetal linear extension of new thin cross wall. This was followed, at about 40 min, by a notching, splitting, and peeling apart of the base of the cross wall. After this, extension of new thin peripheral wall from the nascent cross wall appeared to push old thick wall toward the poles. After the first cell division, asymmetric cells with one initial generation thick-walled pole and one second generation thin-walled pole were seen. After two divisions, thick-walled hemispheres were still seen, suggesting conservation of old wall during this time. A small fraction of the initial cell population exhibited aberrations and difficulties in reinitiating linear wall extension and were useful in the establishment of a model for the reinitiation of linear wall extension.","note":"PMID: 4100835","journalAbbreviation":"J. Bacteriol.","author":[{"family":"Higgins","given":"M L"},{"family":"Pooley","given":"H M"},{"family":"Shockman","given":"G D"}],"issued":{"year":1971,"month":3},"accessed":{"year":2012,"month":6,"day":5},"page-first":"1175"}},{"id":42,"uris":["http://zotero.org/users/944474/items/7VW7ZGTG"],"uri":["http://zotero.org/users/944474/items/7VW7ZGTG"],"itemData":{"id":42,"type":"article-journal","title":"Dispersed mode of Staphylococcus aureus cell wall synthesis in the absence of the division machinery","container-title":"Molecular Microbiology","page":"871-881","volume":"50","issue":"3","abstract":"We have developed several new fluorescent staining procedures that enabled us to study the synthesis of cell wall material in the spherical Gram-positive bacterium Staphylococcus aureus. The results obtained support previous proposals that these cells synthesize new wall material specifically at cell division sites, in the form of a flat circular plate that is subsequently cleaved and remodelled to produce the new hemispherical poles of the daughter cells. We have shown that formation of the septal peptidoglycan is dependent on the key cell division protein FtsZ, which recruits penicillin-binding protein (PBP) 2. Unexpectedly, in FtsZ-depleted cells, the cell wall synthetic machinery becomes dispersed and new wall material is made in dispersed patches over the entire surface of the cells, which increase in volume by up to eightfold before lysing. The results have implications for understanding the nature of S. aureus morphogenesis and for inhibitors of cell division proteins as drug targets.","note":"PMID: 14617148","journalAbbreviation":"Mol. Microbiol.","author":[{"family":"Pinho","given":"Mariana G"},{"family":"Errington","given":"Jeff"}],"issued":{"year":2003,"month":11},"accessed":{"year":2012,"month":3,"day":6},"page-first":"871"}}],"schema":"https://github.com/citation-style-language/schema/raw/master/csl-citation.json"} </w:instrText>
      </w:r>
      <w:r w:rsidRPr="00B50382">
        <w:rPr>
          <w:rFonts w:ascii="Times New Roman" w:hAnsi="Times New Roman" w:cs="Times New Roman"/>
          <w:color w:val="000000" w:themeColor="text1"/>
          <w:sz w:val="24"/>
          <w:szCs w:val="24"/>
        </w:rPr>
        <w:fldChar w:fldCharType="separate"/>
      </w:r>
      <w:r w:rsidRPr="00B50382">
        <w:rPr>
          <w:rFonts w:ascii="Times New Roman" w:hAnsi="Times New Roman" w:cs="Times New Roman"/>
          <w:color w:val="000000" w:themeColor="text1"/>
          <w:sz w:val="24"/>
        </w:rPr>
        <w:t xml:space="preserve">(Briles and Tomasz, 1970; Higgins </w:t>
      </w:r>
      <w:r w:rsidRPr="0011411F">
        <w:rPr>
          <w:rFonts w:ascii="Times New Roman" w:hAnsi="Times New Roman" w:cs="Times New Roman"/>
          <w:i/>
          <w:color w:val="000000" w:themeColor="text1"/>
          <w:sz w:val="24"/>
        </w:rPr>
        <w:t>et al</w:t>
      </w:r>
      <w:r w:rsidRPr="00B50382">
        <w:rPr>
          <w:rFonts w:ascii="Times New Roman" w:hAnsi="Times New Roman" w:cs="Times New Roman"/>
          <w:color w:val="000000" w:themeColor="text1"/>
          <w:sz w:val="24"/>
        </w:rPr>
        <w:t>., 1971; Pinho and Errington, 2003)</w:t>
      </w:r>
      <w:r w:rsidRPr="00B50382">
        <w:rPr>
          <w:rFonts w:ascii="Times New Roman" w:hAnsi="Times New Roman" w:cs="Times New Roman"/>
          <w:color w:val="000000" w:themeColor="text1"/>
          <w:sz w:val="24"/>
          <w:szCs w:val="24"/>
        </w:rPr>
        <w:fldChar w:fldCharType="end"/>
      </w:r>
      <w:r w:rsidRPr="00B50382">
        <w:rPr>
          <w:rFonts w:ascii="Times New Roman" w:hAnsi="Times New Roman" w:cs="Times New Roman"/>
          <w:color w:val="000000" w:themeColor="text1"/>
          <w:sz w:val="24"/>
          <w:szCs w:val="24"/>
        </w:rPr>
        <w:t xml:space="preserve">. Our analysis of peptidoglycan inheritance in </w:t>
      </w:r>
      <w:r w:rsidRPr="00B50382">
        <w:rPr>
          <w:rFonts w:ascii="Times New Roman" w:hAnsi="Times New Roman" w:cs="Times New Roman"/>
          <w:i/>
          <w:color w:val="000000" w:themeColor="text1"/>
          <w:sz w:val="24"/>
          <w:szCs w:val="24"/>
        </w:rPr>
        <w:t>S. aureus</w:t>
      </w:r>
      <w:r w:rsidRPr="00B50382">
        <w:rPr>
          <w:rFonts w:ascii="Times New Roman" w:hAnsi="Times New Roman" w:cs="Times New Roman"/>
          <w:color w:val="000000" w:themeColor="text1"/>
          <w:sz w:val="24"/>
          <w:szCs w:val="24"/>
        </w:rPr>
        <w:t xml:space="preserve"> utilised an exogenous vancomycin probe, which was possible only because of the high content of pentapeptides in the mature </w:t>
      </w:r>
      <w:r w:rsidRPr="00B50382">
        <w:rPr>
          <w:rFonts w:ascii="Times New Roman" w:hAnsi="Times New Roman" w:cs="Times New Roman"/>
          <w:i/>
          <w:color w:val="000000" w:themeColor="text1"/>
          <w:sz w:val="24"/>
          <w:szCs w:val="24"/>
        </w:rPr>
        <w:t xml:space="preserve">S. aureus </w:t>
      </w:r>
      <w:r w:rsidRPr="00B50382">
        <w:rPr>
          <w:rFonts w:ascii="Times New Roman" w:hAnsi="Times New Roman" w:cs="Times New Roman"/>
          <w:color w:val="000000" w:themeColor="text1"/>
          <w:sz w:val="24"/>
          <w:szCs w:val="24"/>
        </w:rPr>
        <w:t xml:space="preserve">peptidoglycan. A recent study in </w:t>
      </w:r>
      <w:r w:rsidRPr="00B50382">
        <w:rPr>
          <w:rFonts w:ascii="Times New Roman" w:hAnsi="Times New Roman" w:cs="Times New Roman"/>
          <w:i/>
          <w:color w:val="000000" w:themeColor="text1"/>
          <w:sz w:val="24"/>
          <w:szCs w:val="24"/>
        </w:rPr>
        <w:t>S. aureus</w:t>
      </w:r>
      <w:r w:rsidRPr="00B50382">
        <w:rPr>
          <w:rFonts w:ascii="Times New Roman" w:hAnsi="Times New Roman" w:cs="Times New Roman"/>
          <w:color w:val="000000" w:themeColor="text1"/>
          <w:sz w:val="24"/>
          <w:szCs w:val="24"/>
        </w:rPr>
        <w:t xml:space="preserve"> used a xylose inducible mCherry construct with Sec and LPXTG motifs for transport and sortase anchoring to the peptidoglycan </w:t>
      </w:r>
      <w:r w:rsidRPr="00B50382">
        <w:rPr>
          <w:rFonts w:ascii="Times New Roman" w:hAnsi="Times New Roman" w:cs="Times New Roman"/>
          <w:color w:val="000000" w:themeColor="text1"/>
          <w:sz w:val="24"/>
          <w:szCs w:val="24"/>
        </w:rPr>
        <w:fldChar w:fldCharType="begin"/>
      </w:r>
      <w:r w:rsidRPr="00B50382">
        <w:rPr>
          <w:rFonts w:ascii="Times New Roman" w:hAnsi="Times New Roman" w:cs="Times New Roman"/>
          <w:color w:val="000000" w:themeColor="text1"/>
          <w:sz w:val="24"/>
          <w:szCs w:val="24"/>
        </w:rPr>
        <w:instrText xml:space="preserve"> ADDIN ZOTERO_ITEM CSL_CITATION {"citationID":"he2akm1g9","properties":{"formattedCitation":"(DeDent et al., 2008)","plainCitation":"(DeDent et al., 2008)"},"citationItems":[{"id":657,"uris":["http://zotero.org/users/944474/items/8KE4KFCD"],"uri":["http://zotero.org/users/944474/items/8KE4KFCD"],"itemData":{"id":657,"type":"article-journal","title":"Signal peptides direct surface proteins to two distinct envelope locations of Staphylococcus aureus","container-title":"The EMBO journal","page":"2656-2668","volume":"27","issue":"20","abstract":"Surface proteins of Gram-positive bacteria are covalently linked to the cell wall envelope by a mechanism requiring an N-terminal signal peptide and a C-terminal LPXTG motif sorting signal. We show here that surface proteins of Staphylococcus aureus arrive at two distinct destinations in the bacterial envelope, either distributed as a ring surrounding each cell or as discrete assembly sites. Proteins with ring-like distribution (clumping factor A (ClfA), Spa, fibronectin-binding protein B (FnbpB), serine-aspartate repeat protein C (SdrC) and SdrD) harbour signal peptides with a YSIRK/GS motif, whereas proteins directed to discrete assembly sites (S. aureus surface protein A (SasA), SasD, SasF and SasK) do not. Reciprocal exchange of signal peptides between surface proteins with (ClfA) or without the YSIRK/GS motif (SasF) directed recombinant products to the alternate destination, whereas mutations that altered only the YSIRK sequence had no effect. Our observations suggest that S. aureus distinguishes between signal peptides to address proteins to either the cell pole (signal peptides without YSIRK/GS) or the cross wall, the peptidoglycan layer that forms during cell division to separate new daughter cells (signal peptides with YISRK/GS motif).","DOI":"10.1038/emboj.2008.185","note":"PMID: 18800056","journalAbbreviation":"EMBO J.","author":[{"family":"DeDent","given":"Andrea"},{"family":"Bae","given":"Taeok"},{"family":"Missiakas","given":"Dominique M"},{"family":"Schneewind","given":"Olaf"}],"issued":{"year":2008,"month":10,"day":22},"accessed":{"year":2012,"month":7,"day":6},"page-first":"2656"}}],"schema":"https://github.com/citation-style-language/schema/raw/master/csl-citation.json"} </w:instrText>
      </w:r>
      <w:r w:rsidRPr="00B50382">
        <w:rPr>
          <w:rFonts w:ascii="Times New Roman" w:hAnsi="Times New Roman" w:cs="Times New Roman"/>
          <w:color w:val="000000" w:themeColor="text1"/>
          <w:sz w:val="24"/>
          <w:szCs w:val="24"/>
        </w:rPr>
        <w:fldChar w:fldCharType="separate"/>
      </w:r>
      <w:r w:rsidRPr="00B50382">
        <w:rPr>
          <w:rFonts w:ascii="Times New Roman" w:hAnsi="Times New Roman" w:cs="Times New Roman"/>
          <w:color w:val="000000" w:themeColor="text1"/>
          <w:sz w:val="24"/>
        </w:rPr>
        <w:t xml:space="preserve">(DeDent </w:t>
      </w:r>
      <w:r w:rsidRPr="0011411F">
        <w:rPr>
          <w:rFonts w:ascii="Times New Roman" w:hAnsi="Times New Roman" w:cs="Times New Roman"/>
          <w:i/>
          <w:color w:val="000000" w:themeColor="text1"/>
          <w:sz w:val="24"/>
        </w:rPr>
        <w:t>et al</w:t>
      </w:r>
      <w:r w:rsidRPr="00B50382">
        <w:rPr>
          <w:rFonts w:ascii="Times New Roman" w:hAnsi="Times New Roman" w:cs="Times New Roman"/>
          <w:color w:val="000000" w:themeColor="text1"/>
          <w:sz w:val="24"/>
        </w:rPr>
        <w:t>., 2008)</w:t>
      </w:r>
      <w:r w:rsidRPr="00B50382">
        <w:rPr>
          <w:rFonts w:ascii="Times New Roman" w:hAnsi="Times New Roman" w:cs="Times New Roman"/>
          <w:color w:val="000000" w:themeColor="text1"/>
          <w:sz w:val="24"/>
          <w:szCs w:val="24"/>
        </w:rPr>
        <w:fldChar w:fldCharType="end"/>
      </w:r>
      <w:r w:rsidRPr="00B50382">
        <w:rPr>
          <w:rFonts w:ascii="Times New Roman" w:hAnsi="Times New Roman" w:cs="Times New Roman"/>
          <w:color w:val="000000" w:themeColor="text1"/>
          <w:sz w:val="24"/>
          <w:szCs w:val="24"/>
        </w:rPr>
        <w:t xml:space="preserve">. The construct could be targeted to the cross-wall or peripheral wall by inclusion or exclusion of </w:t>
      </w:r>
      <w:proofErr w:type="gramStart"/>
      <w:r w:rsidRPr="00B50382">
        <w:rPr>
          <w:rFonts w:ascii="Times New Roman" w:hAnsi="Times New Roman" w:cs="Times New Roman"/>
          <w:color w:val="000000" w:themeColor="text1"/>
          <w:sz w:val="24"/>
          <w:szCs w:val="24"/>
        </w:rPr>
        <w:t>a</w:t>
      </w:r>
      <w:proofErr w:type="gramEnd"/>
      <w:r>
        <w:rPr>
          <w:rFonts w:ascii="Times New Roman" w:hAnsi="Times New Roman" w:cs="Times New Roman"/>
          <w:color w:val="000000" w:themeColor="text1"/>
          <w:sz w:val="24"/>
          <w:szCs w:val="24"/>
        </w:rPr>
        <w:t xml:space="preserve"> </w:t>
      </w:r>
      <w:r w:rsidRPr="00B50382">
        <w:rPr>
          <w:rFonts w:ascii="Times New Roman" w:hAnsi="Times New Roman" w:cs="Times New Roman"/>
          <w:color w:val="000000" w:themeColor="text1"/>
          <w:sz w:val="24"/>
          <w:szCs w:val="24"/>
        </w:rPr>
        <w:t xml:space="preserve">YSIRK/GS motif. Covalent attachment of recombinant fluorophores to the peptidoglycan via the endogenous secretion and sortase anchoring systems would provide a robust </w:t>
      </w:r>
      <w:r w:rsidRPr="00B50382">
        <w:rPr>
          <w:rFonts w:ascii="Times New Roman" w:hAnsi="Times New Roman" w:cs="Times New Roman"/>
          <w:i/>
          <w:color w:val="000000" w:themeColor="text1"/>
          <w:sz w:val="24"/>
          <w:szCs w:val="24"/>
        </w:rPr>
        <w:t xml:space="preserve">in vivo </w:t>
      </w:r>
      <w:r w:rsidRPr="00B50382">
        <w:rPr>
          <w:rFonts w:ascii="Times New Roman" w:hAnsi="Times New Roman" w:cs="Times New Roman"/>
          <w:color w:val="000000" w:themeColor="text1"/>
          <w:sz w:val="24"/>
          <w:szCs w:val="24"/>
        </w:rPr>
        <w:t>approach for observing peptidoglycan inheritance over multiple generations.</w:t>
      </w:r>
      <w:r w:rsidRPr="00B50382">
        <w:rPr>
          <w:rFonts w:ascii="Times New Roman" w:hAnsi="Times New Roman" w:cs="Times New Roman"/>
          <w:i/>
          <w:color w:val="000000" w:themeColor="text1"/>
          <w:sz w:val="24"/>
          <w:szCs w:val="24"/>
        </w:rPr>
        <w:t xml:space="preserve"> </w:t>
      </w:r>
      <w:r w:rsidRPr="00B50382">
        <w:rPr>
          <w:rFonts w:ascii="Times New Roman" w:hAnsi="Times New Roman" w:cs="Times New Roman"/>
          <w:color w:val="000000" w:themeColor="text1"/>
          <w:sz w:val="24"/>
          <w:szCs w:val="24"/>
        </w:rPr>
        <w:t xml:space="preserve">The use of non-covalent binding domains such as choline binding domains, LysM domains, </w:t>
      </w:r>
      <w:r w:rsidRPr="00B50382">
        <w:rPr>
          <w:rFonts w:ascii="Times New Roman" w:hAnsi="Times New Roman" w:cs="Times New Roman"/>
          <w:i/>
          <w:color w:val="000000" w:themeColor="text1"/>
          <w:sz w:val="24"/>
          <w:szCs w:val="24"/>
        </w:rPr>
        <w:t xml:space="preserve">S. aureus </w:t>
      </w:r>
      <w:r w:rsidRPr="00B50382">
        <w:rPr>
          <w:rFonts w:ascii="Times New Roman" w:hAnsi="Times New Roman" w:cs="Times New Roman"/>
          <w:color w:val="000000" w:themeColor="text1"/>
          <w:sz w:val="24"/>
          <w:szCs w:val="24"/>
        </w:rPr>
        <w:t xml:space="preserve">Atl repeat sequences and GW domains </w:t>
      </w:r>
      <w:r w:rsidRPr="00B50382">
        <w:rPr>
          <w:rFonts w:ascii="Times New Roman" w:hAnsi="Times New Roman" w:cs="Times New Roman"/>
          <w:color w:val="000000" w:themeColor="text1"/>
          <w:sz w:val="24"/>
          <w:szCs w:val="24"/>
        </w:rPr>
        <w:fldChar w:fldCharType="begin"/>
      </w:r>
      <w:r w:rsidRPr="00B50382">
        <w:rPr>
          <w:rFonts w:ascii="Times New Roman" w:hAnsi="Times New Roman" w:cs="Times New Roman"/>
          <w:color w:val="000000" w:themeColor="text1"/>
          <w:sz w:val="24"/>
          <w:szCs w:val="24"/>
        </w:rPr>
        <w:instrText xml:space="preserve"> ADDIN ZOTERO_ITEM CSL_CITATION {"citationID":"460atl6rf","properties":{"formattedCitation":"(Desvaux et al., 2006)","plainCitation":"(Desvaux et al., 2006)"},"citationItems":[{"id":685,"uris":["http://zotero.org/users/944474/items/ZQ7ATHB5"],"uri":["http://zotero.org/users/944474/items/ZQ7ATHB5"],"itemData":{"id":685,"type":"article-journal","title":"Protein cell surface display in Gram-positive bacteria: from single protein to macromolecular protein structure","container-title":"FEMS Microbiology Letters","page":"1–15","volume":"256","issue":"1","abstract":"In the course of evolution, Gram-positive bacteria, defined here as prokaryotes from the domain Bacteria with a cell envelope composed of one biological membrane (monodermita) and a cell wall composed at least of peptidoglycan and covalently linked teichoic acids, have developed several mechanisms permitting to a cytoplasmic synthesized protein to be present on the bacterial cell surface. Four major types of cell surface displayed proteins are currently recognized: (i) transmembrane proteins, (ii) lipoproteins, (iii) LPXTG-like proteins and (iv) cell wall binding proteins. The subset of proteins exposed on the bacterial cell surface, and thus interacting with extracellular milieu, constitutes the surfaceome. Here, we review exhaustively the current molecular mechanisms involved in protein attachment within the cell envelope of Gram-positive bacteria, from single protein to macromolecular protein structure.","DOI":"10.1111/j.1574-6968.2006.00122.x","shortTitle":"Protein cell surface display in Gram-positive bacteria","language":"en","author":[{"family":"Desvaux","given":"Mickaël"},{"family":"Dumas","given":"Emilie"},{"family":"Chafsey","given":"Ingrid"},{"family":"Hébraud","given":"Michel"}],"issued":{"year":2006},"accessed":{"year":2012,"month":7,"day":9},"page-first":"1–15"}}],"schema":"https://github.com/citation-style-language/schema/raw/master/csl-citation.json"} </w:instrText>
      </w:r>
      <w:r w:rsidRPr="00B50382">
        <w:rPr>
          <w:rFonts w:ascii="Times New Roman" w:hAnsi="Times New Roman" w:cs="Times New Roman"/>
          <w:color w:val="000000" w:themeColor="text1"/>
          <w:sz w:val="24"/>
          <w:szCs w:val="24"/>
        </w:rPr>
        <w:fldChar w:fldCharType="separate"/>
      </w:r>
      <w:r w:rsidRPr="00B50382">
        <w:rPr>
          <w:rFonts w:ascii="Times New Roman" w:hAnsi="Times New Roman" w:cs="Times New Roman"/>
          <w:color w:val="000000" w:themeColor="text1"/>
          <w:sz w:val="24"/>
        </w:rPr>
        <w:t xml:space="preserve">(Desvaux </w:t>
      </w:r>
      <w:r w:rsidRPr="0011411F">
        <w:rPr>
          <w:rFonts w:ascii="Times New Roman" w:hAnsi="Times New Roman" w:cs="Times New Roman"/>
          <w:i/>
          <w:color w:val="000000" w:themeColor="text1"/>
          <w:sz w:val="24"/>
        </w:rPr>
        <w:t>et al</w:t>
      </w:r>
      <w:r w:rsidRPr="00B50382">
        <w:rPr>
          <w:rFonts w:ascii="Times New Roman" w:hAnsi="Times New Roman" w:cs="Times New Roman"/>
          <w:color w:val="000000" w:themeColor="text1"/>
          <w:sz w:val="24"/>
        </w:rPr>
        <w:t>., 2006)</w:t>
      </w:r>
      <w:r w:rsidRPr="00B50382">
        <w:rPr>
          <w:rFonts w:ascii="Times New Roman" w:hAnsi="Times New Roman" w:cs="Times New Roman"/>
          <w:color w:val="000000" w:themeColor="text1"/>
          <w:sz w:val="24"/>
          <w:szCs w:val="24"/>
        </w:rPr>
        <w:fldChar w:fldCharType="end"/>
      </w:r>
      <w:r w:rsidRPr="00B50382">
        <w:rPr>
          <w:rFonts w:ascii="Times New Roman" w:hAnsi="Times New Roman" w:cs="Times New Roman"/>
          <w:color w:val="000000" w:themeColor="text1"/>
          <w:sz w:val="24"/>
          <w:szCs w:val="24"/>
        </w:rPr>
        <w:t xml:space="preserve"> could also greatly expand the repertoire of </w:t>
      </w:r>
      <w:r w:rsidRPr="00B50382">
        <w:rPr>
          <w:rFonts w:ascii="Times New Roman" w:hAnsi="Times New Roman" w:cs="Times New Roman"/>
          <w:i/>
          <w:color w:val="000000" w:themeColor="text1"/>
          <w:sz w:val="24"/>
          <w:szCs w:val="24"/>
        </w:rPr>
        <w:t>in vivo</w:t>
      </w:r>
      <w:r w:rsidRPr="00B50382">
        <w:rPr>
          <w:rFonts w:ascii="Times New Roman" w:hAnsi="Times New Roman" w:cs="Times New Roman"/>
          <w:color w:val="000000" w:themeColor="text1"/>
          <w:sz w:val="24"/>
          <w:szCs w:val="24"/>
        </w:rPr>
        <w:t xml:space="preserve"> cell wall labelling methods which could be applied in a broad range of organisms.</w:t>
      </w:r>
      <w:r>
        <w:rPr>
          <w:rFonts w:ascii="Times New Roman" w:hAnsi="Times New Roman" w:cs="Times New Roman"/>
          <w:sz w:val="24"/>
          <w:szCs w:val="24"/>
        </w:rPr>
        <w:tab/>
      </w:r>
      <w:r>
        <w:rPr>
          <w:rFonts w:ascii="Times New Roman" w:hAnsi="Times New Roman" w:cs="Times New Roman"/>
          <w:sz w:val="24"/>
          <w:szCs w:val="24"/>
        </w:rPr>
        <w:br w:type="page"/>
      </w:r>
    </w:p>
    <w:p w:rsidR="00FE29E6" w:rsidRDefault="00FE29E6" w:rsidP="00FE29E6">
      <w:pPr>
        <w:spacing w:line="480" w:lineRule="auto"/>
        <w:jc w:val="both"/>
        <w:rPr>
          <w:rFonts w:ascii="Times New Roman" w:hAnsi="Times New Roman" w:cs="Times New Roman"/>
          <w:sz w:val="28"/>
          <w:szCs w:val="28"/>
        </w:rPr>
      </w:pPr>
      <w:r>
        <w:rPr>
          <w:rFonts w:ascii="Times New Roman" w:hAnsi="Times New Roman" w:cs="Times New Roman"/>
          <w:sz w:val="28"/>
          <w:szCs w:val="28"/>
        </w:rPr>
        <w:lastRenderedPageBreak/>
        <w:t>6.4</w:t>
      </w:r>
      <w:r>
        <w:rPr>
          <w:rFonts w:ascii="Times New Roman" w:hAnsi="Times New Roman" w:cs="Times New Roman"/>
          <w:sz w:val="28"/>
          <w:szCs w:val="28"/>
        </w:rPr>
        <w:tab/>
      </w:r>
      <w:r>
        <w:rPr>
          <w:rFonts w:ascii="Times New Roman" w:hAnsi="Times New Roman" w:cs="Times New Roman"/>
          <w:sz w:val="28"/>
          <w:szCs w:val="28"/>
        </w:rPr>
        <w:tab/>
      </w:r>
      <w:r w:rsidRPr="00843B22">
        <w:rPr>
          <w:rFonts w:ascii="Times New Roman" w:hAnsi="Times New Roman" w:cs="Times New Roman"/>
          <w:sz w:val="28"/>
          <w:szCs w:val="28"/>
        </w:rPr>
        <w:t>Future perspectives</w:t>
      </w:r>
    </w:p>
    <w:p w:rsidR="00FE29E6" w:rsidRDefault="00FE29E6" w:rsidP="00FE29E6">
      <w:pPr>
        <w:spacing w:line="480" w:lineRule="auto"/>
        <w:jc w:val="both"/>
        <w:rPr>
          <w:rFonts w:ascii="Times New Roman" w:hAnsi="Times New Roman" w:cs="Times New Roman"/>
          <w:sz w:val="24"/>
          <w:szCs w:val="24"/>
        </w:rPr>
      </w:pPr>
      <w:r>
        <w:rPr>
          <w:rFonts w:ascii="Times New Roman" w:hAnsi="Times New Roman" w:cs="Times New Roman"/>
          <w:sz w:val="24"/>
          <w:szCs w:val="24"/>
        </w:rPr>
        <w:t>Early attempts to characterise the architecture of the peptidoglycan network were hampered due to the limitations of the available technology, leading to the general view of the peptidoglycan sacculus as a simplistic, homogenous network.</w:t>
      </w:r>
      <w:r w:rsidRPr="00C204BF">
        <w:rPr>
          <w:rFonts w:ascii="Times New Roman" w:hAnsi="Times New Roman" w:cs="Times New Roman"/>
          <w:sz w:val="24"/>
          <w:szCs w:val="24"/>
        </w:rPr>
        <w:t xml:space="preserve"> </w:t>
      </w:r>
      <w:r>
        <w:rPr>
          <w:rFonts w:ascii="Times New Roman" w:hAnsi="Times New Roman" w:cs="Times New Roman"/>
          <w:sz w:val="24"/>
          <w:szCs w:val="24"/>
        </w:rPr>
        <w:t>However, thanks to the development and application of nanometre resolution imaging technologies it is finally possible to overcome this barrier, leading to rapid developments in the field.</w:t>
      </w:r>
      <w:r w:rsidRPr="00E41889">
        <w:rPr>
          <w:rFonts w:ascii="Times New Roman" w:hAnsi="Times New Roman" w:cs="Times New Roman"/>
          <w:sz w:val="24"/>
          <w:szCs w:val="24"/>
        </w:rPr>
        <w:t xml:space="preserve"> </w:t>
      </w:r>
    </w:p>
    <w:p w:rsidR="00FE29E6" w:rsidRDefault="00FE29E6" w:rsidP="00FE29E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 work presented in this study contributes to the growing evidence for an elegant peptidoglycan architecture which is both complex and dynamic. Such studies have revealed unexpectedly varied peptidoglycan architectures, challenging old models and leading to the development of new models that take into account not just the structural requirements of the cell, but also the dynamics of peptidoglycan synthesis, maturation and turnover. By combining super resolution microscopy with biochemical analyses and chemical probes, it will finally be possible to observe, </w:t>
      </w:r>
      <w:r>
        <w:rPr>
          <w:rFonts w:ascii="Times New Roman" w:hAnsi="Times New Roman" w:cs="Times New Roman"/>
          <w:i/>
          <w:sz w:val="24"/>
          <w:szCs w:val="24"/>
        </w:rPr>
        <w:t>in situ</w:t>
      </w:r>
      <w:r w:rsidRPr="00E62FEC">
        <w:rPr>
          <w:rFonts w:ascii="Times New Roman" w:hAnsi="Times New Roman" w:cs="Times New Roman"/>
          <w:sz w:val="24"/>
          <w:szCs w:val="24"/>
        </w:rPr>
        <w:t>,</w:t>
      </w:r>
      <w:r>
        <w:rPr>
          <w:rFonts w:ascii="Times New Roman" w:hAnsi="Times New Roman" w:cs="Times New Roman"/>
          <w:sz w:val="24"/>
          <w:szCs w:val="24"/>
        </w:rPr>
        <w:t xml:space="preserve"> the relationship between the biochemistry of the peptidoglycan and the 3D peptidoglycan architecture that provides strength and shape to the cell, whilst accommodating and perhaps even coordinating the dynamic processes of growth and division.</w:t>
      </w:r>
    </w:p>
    <w:p w:rsidR="00FE29E6" w:rsidRDefault="00FE29E6" w:rsidP="00FE29E6">
      <w:pPr>
        <w:spacing w:line="480" w:lineRule="auto"/>
        <w:jc w:val="both"/>
        <w:rPr>
          <w:rFonts w:ascii="Times New Roman" w:hAnsi="Times New Roman" w:cs="Times New Roman"/>
          <w:sz w:val="24"/>
          <w:szCs w:val="24"/>
        </w:rPr>
      </w:pPr>
      <w:r>
        <w:rPr>
          <w:rFonts w:ascii="Times New Roman" w:hAnsi="Times New Roman" w:cs="Times New Roman"/>
          <w:sz w:val="24"/>
          <w:szCs w:val="24"/>
        </w:rPr>
        <w:t>Overall, my work provides further insight regarding how peptidoglycan architecture is adapted to solve bioengineering problems faced by bacteria with different morphologies, and mechanics of growth and division. Such studies contribute not only to our knowledge of the fundamental biological processes that permit bacteria to exhibit varied and dynamic life-styles, but also to our understanding of peptidoglycan as a clinically significant target, unique to prokaryotes.</w:t>
      </w:r>
    </w:p>
    <w:p w:rsidR="009831BC" w:rsidRDefault="009831BC">
      <w:pPr>
        <w:rPr>
          <w:rFonts w:ascii="Times New Roman" w:hAnsi="Times New Roman" w:cs="Times New Roman"/>
          <w:sz w:val="24"/>
          <w:szCs w:val="24"/>
        </w:rPr>
      </w:pPr>
      <w:r>
        <w:rPr>
          <w:rFonts w:ascii="Times New Roman" w:hAnsi="Times New Roman" w:cs="Times New Roman"/>
          <w:sz w:val="24"/>
          <w:szCs w:val="24"/>
        </w:rPr>
        <w:br w:type="page"/>
      </w:r>
    </w:p>
    <w:p w:rsidR="009831BC" w:rsidRPr="002C66A9" w:rsidRDefault="009831BC" w:rsidP="009831BC">
      <w:pPr>
        <w:pStyle w:val="Bibliography"/>
        <w:spacing w:after="120"/>
        <w:ind w:left="284" w:hanging="284"/>
        <w:jc w:val="center"/>
        <w:rPr>
          <w:rFonts w:ascii="Times New Roman" w:hAnsi="Times New Roman" w:cs="Times New Roman"/>
          <w:sz w:val="28"/>
          <w:szCs w:val="28"/>
        </w:rPr>
      </w:pPr>
      <w:r w:rsidRPr="002C66A9">
        <w:rPr>
          <w:rFonts w:ascii="Times New Roman" w:hAnsi="Times New Roman" w:cs="Times New Roman"/>
          <w:sz w:val="28"/>
          <w:szCs w:val="28"/>
        </w:rPr>
        <w:lastRenderedPageBreak/>
        <w:t>References</w:t>
      </w:r>
    </w:p>
    <w:p w:rsidR="009831BC" w:rsidRPr="002C66A9" w:rsidRDefault="009831BC" w:rsidP="009831BC">
      <w:pPr>
        <w:pStyle w:val="Bibliography"/>
        <w:spacing w:after="120"/>
        <w:ind w:left="284" w:hanging="284"/>
        <w:jc w:val="both"/>
        <w:rPr>
          <w:rFonts w:ascii="Times New Roman" w:hAnsi="Times New Roman" w:cs="Times New Roman"/>
        </w:rPr>
      </w:pP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rPr>
        <w:fldChar w:fldCharType="begin"/>
      </w:r>
      <w:r w:rsidRPr="002C66A9">
        <w:rPr>
          <w:rFonts w:ascii="Times New Roman" w:hAnsi="Times New Roman" w:cs="Times New Roman"/>
        </w:rPr>
        <w:instrText xml:space="preserve"> ADDIN ZOTERO_BIBL {"custom":[]} CSL_BIBLIOGRAPHY </w:instrText>
      </w:r>
      <w:r w:rsidRPr="002C66A9">
        <w:rPr>
          <w:rFonts w:ascii="Times New Roman" w:hAnsi="Times New Roman" w:cs="Times New Roman"/>
        </w:rPr>
        <w:fldChar w:fldCharType="separate"/>
      </w:r>
      <w:r w:rsidRPr="002C66A9">
        <w:rPr>
          <w:rFonts w:ascii="Times New Roman" w:hAnsi="Times New Roman" w:cs="Times New Roman"/>
          <w:b/>
        </w:rPr>
        <w:t>Aaron, M., Charbon, G., Lam, H., Schwarz, H., Vollmer, W., Jacobs-Wagner, C., 2007</w:t>
      </w:r>
      <w:r w:rsidRPr="002C66A9">
        <w:rPr>
          <w:rFonts w:ascii="Times New Roman" w:hAnsi="Times New Roman" w:cs="Times New Roman"/>
        </w:rPr>
        <w:t xml:space="preserve">. The tubulin homologue FtsZ contributes to cell elongation by guiding cell wall precursor synthesis in </w:t>
      </w:r>
      <w:r w:rsidRPr="002C66A9">
        <w:rPr>
          <w:rFonts w:ascii="Times New Roman" w:hAnsi="Times New Roman" w:cs="Times New Roman"/>
          <w:i/>
        </w:rPr>
        <w:t>Caulobacter crescentus</w:t>
      </w:r>
      <w:r w:rsidRPr="002C66A9">
        <w:rPr>
          <w:rFonts w:ascii="Times New Roman" w:hAnsi="Times New Roman" w:cs="Times New Roman"/>
        </w:rPr>
        <w:t xml:space="preserve">. </w:t>
      </w:r>
      <w:r w:rsidRPr="002C66A9">
        <w:rPr>
          <w:rFonts w:ascii="Times New Roman" w:hAnsi="Times New Roman" w:cs="Times New Roman"/>
          <w:i/>
        </w:rPr>
        <w:t>Mol. Microbiol</w:t>
      </w:r>
      <w:r w:rsidRPr="002C66A9">
        <w:rPr>
          <w:rFonts w:ascii="Times New Roman" w:hAnsi="Times New Roman" w:cs="Times New Roman"/>
        </w:rPr>
        <w:t>. 64, 938–952.</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Ackermann, M., Stearns, S.C., Jenal, U., 2003.</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Senescence in a bacterium with asymmetric division.</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Science</w:t>
      </w:r>
      <w:r w:rsidRPr="002C66A9">
        <w:rPr>
          <w:rFonts w:ascii="Times New Roman" w:hAnsi="Times New Roman" w:cs="Times New Roman"/>
        </w:rPr>
        <w:t>.</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300, 1920.</w:t>
      </w:r>
      <w:proofErr w:type="gramEnd"/>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Adam, M., Murali, B., Glenn, N.O., Potter, S.S., 2008.</w:t>
      </w:r>
      <w:proofErr w:type="gramEnd"/>
      <w:r w:rsidRPr="002C66A9">
        <w:rPr>
          <w:rFonts w:ascii="Times New Roman" w:hAnsi="Times New Roman" w:cs="Times New Roman"/>
        </w:rPr>
        <w:t xml:space="preserve"> Epigenetic inheritance based evolution of antibiotic resistance in bacteria. </w:t>
      </w:r>
      <w:proofErr w:type="gramStart"/>
      <w:r w:rsidRPr="002C66A9">
        <w:rPr>
          <w:rFonts w:ascii="Times New Roman" w:hAnsi="Times New Roman" w:cs="Times New Roman"/>
          <w:i/>
        </w:rPr>
        <w:t>BMC Evol.</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Biol.</w:t>
      </w:r>
      <w:r w:rsidRPr="002C66A9">
        <w:rPr>
          <w:rFonts w:ascii="Times New Roman" w:hAnsi="Times New Roman" w:cs="Times New Roman"/>
        </w:rPr>
        <w:t xml:space="preserve"> 8, 52.</w:t>
      </w:r>
      <w:proofErr w:type="gramEnd"/>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Ahn, S.-J., Burne, R.A., 2006.</w:t>
      </w:r>
      <w:proofErr w:type="gramEnd"/>
      <w:r w:rsidRPr="002C66A9">
        <w:rPr>
          <w:rFonts w:ascii="Times New Roman" w:hAnsi="Times New Roman" w:cs="Times New Roman"/>
        </w:rPr>
        <w:t xml:space="preserve"> The </w:t>
      </w:r>
      <w:r w:rsidRPr="002C66A9">
        <w:rPr>
          <w:rFonts w:ascii="Times New Roman" w:hAnsi="Times New Roman" w:cs="Times New Roman"/>
          <w:i/>
        </w:rPr>
        <w:t>atlA</w:t>
      </w:r>
      <w:r w:rsidRPr="002C66A9">
        <w:rPr>
          <w:rFonts w:ascii="Times New Roman" w:hAnsi="Times New Roman" w:cs="Times New Roman"/>
        </w:rPr>
        <w:t xml:space="preserve"> operon of </w:t>
      </w:r>
      <w:r w:rsidRPr="002C66A9">
        <w:rPr>
          <w:rFonts w:ascii="Times New Roman" w:hAnsi="Times New Roman" w:cs="Times New Roman"/>
          <w:i/>
        </w:rPr>
        <w:t>Streptococcus mutans</w:t>
      </w:r>
      <w:r w:rsidRPr="002C66A9">
        <w:rPr>
          <w:rFonts w:ascii="Times New Roman" w:hAnsi="Times New Roman" w:cs="Times New Roman"/>
        </w:rPr>
        <w:t xml:space="preserve">: role in autolysin maturation and cell surface biogenesis. </w:t>
      </w:r>
      <w:r w:rsidRPr="002C66A9">
        <w:rPr>
          <w:rFonts w:ascii="Times New Roman" w:hAnsi="Times New Roman" w:cs="Times New Roman"/>
          <w:i/>
        </w:rPr>
        <w:t>J. Bacteriol.</w:t>
      </w:r>
      <w:r w:rsidRPr="002C66A9">
        <w:rPr>
          <w:rFonts w:ascii="Times New Roman" w:hAnsi="Times New Roman" w:cs="Times New Roman"/>
        </w:rPr>
        <w:t xml:space="preserve"> 188, 6877–6888.</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Amako, K., Umeda, A., 1978</w:t>
      </w:r>
      <w:r w:rsidRPr="002C66A9">
        <w:rPr>
          <w:rFonts w:ascii="Times New Roman" w:hAnsi="Times New Roman" w:cs="Times New Roman"/>
        </w:rPr>
        <w:t xml:space="preserve">. </w:t>
      </w:r>
      <w:proofErr w:type="gramStart"/>
      <w:r w:rsidRPr="002C66A9">
        <w:rPr>
          <w:rFonts w:ascii="Times New Roman" w:hAnsi="Times New Roman" w:cs="Times New Roman"/>
        </w:rPr>
        <w:t xml:space="preserve">Concentric circular structure of the cell wall of </w:t>
      </w:r>
      <w:r w:rsidRPr="002C66A9">
        <w:rPr>
          <w:rFonts w:ascii="Times New Roman" w:hAnsi="Times New Roman" w:cs="Times New Roman"/>
          <w:i/>
        </w:rPr>
        <w:t>Staphylococcus epidermidis</w:t>
      </w:r>
      <w:r w:rsidRPr="002C66A9">
        <w:rPr>
          <w:rFonts w:ascii="Times New Roman" w:hAnsi="Times New Roman" w:cs="Times New Roman"/>
        </w:rPr>
        <w:t xml:space="preserve"> revealed by the scanning electron microscope.</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J Electron Microsc</w:t>
      </w:r>
      <w:r w:rsidRPr="002C66A9">
        <w:rPr>
          <w:rFonts w:ascii="Times New Roman" w:hAnsi="Times New Roman" w:cs="Times New Roman"/>
        </w:rPr>
        <w:t>.</w:t>
      </w:r>
      <w:proofErr w:type="gramEnd"/>
      <w:r w:rsidRPr="002C66A9">
        <w:rPr>
          <w:rFonts w:ascii="Times New Roman" w:hAnsi="Times New Roman" w:cs="Times New Roman"/>
        </w:rPr>
        <w:t xml:space="preserve"> 27, 147–148.</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Amako, K., Umeda, A., 1979. </w:t>
      </w:r>
      <w:proofErr w:type="gramStart"/>
      <w:r w:rsidRPr="002C66A9">
        <w:rPr>
          <w:rFonts w:ascii="Times New Roman" w:hAnsi="Times New Roman" w:cs="Times New Roman"/>
        </w:rPr>
        <w:t>Regular arrangement of wall polymers in staphylococci.</w:t>
      </w:r>
      <w:proofErr w:type="gramEnd"/>
      <w:r w:rsidRPr="002C66A9">
        <w:rPr>
          <w:rFonts w:ascii="Times New Roman" w:hAnsi="Times New Roman" w:cs="Times New Roman"/>
        </w:rPr>
        <w:t xml:space="preserve"> </w:t>
      </w:r>
      <w:r w:rsidRPr="002C66A9">
        <w:rPr>
          <w:rFonts w:ascii="Times New Roman" w:hAnsi="Times New Roman" w:cs="Times New Roman"/>
          <w:i/>
        </w:rPr>
        <w:t>J. Gen. Microbiol</w:t>
      </w:r>
      <w:r w:rsidRPr="002C66A9">
        <w:rPr>
          <w:rFonts w:ascii="Times New Roman" w:hAnsi="Times New Roman" w:cs="Times New Roman"/>
        </w:rPr>
        <w:t>. 113, 421–424.</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Amako, K., Umeda, A., Murata, K., 1982.</w:t>
      </w:r>
      <w:r w:rsidRPr="002C66A9">
        <w:rPr>
          <w:rFonts w:ascii="Times New Roman" w:hAnsi="Times New Roman" w:cs="Times New Roman"/>
        </w:rPr>
        <w:t xml:space="preserve"> </w:t>
      </w:r>
      <w:proofErr w:type="gramStart"/>
      <w:r w:rsidRPr="002C66A9">
        <w:rPr>
          <w:rFonts w:ascii="Times New Roman" w:hAnsi="Times New Roman" w:cs="Times New Roman"/>
        </w:rPr>
        <w:t xml:space="preserve">Arrangement of peptidoglycan in the cell wall of </w:t>
      </w:r>
      <w:r w:rsidRPr="002C66A9">
        <w:rPr>
          <w:rFonts w:ascii="Times New Roman" w:hAnsi="Times New Roman" w:cs="Times New Roman"/>
          <w:i/>
        </w:rPr>
        <w:t xml:space="preserve">Staphylococcus </w:t>
      </w:r>
      <w:r w:rsidRPr="002C66A9">
        <w:rPr>
          <w:rFonts w:ascii="Times New Roman" w:hAnsi="Times New Roman" w:cs="Times New Roman"/>
        </w:rPr>
        <w:t xml:space="preserve">spp. </w:t>
      </w:r>
      <w:r w:rsidRPr="002C66A9">
        <w:rPr>
          <w:rFonts w:ascii="Times New Roman" w:hAnsi="Times New Roman" w:cs="Times New Roman"/>
          <w:i/>
        </w:rPr>
        <w:t>J. Bacteriol</w:t>
      </w:r>
      <w:r w:rsidRPr="002C66A9">
        <w:rPr>
          <w:rFonts w:ascii="Times New Roman" w:hAnsi="Times New Roman" w:cs="Times New Roman"/>
        </w:rPr>
        <w:t>.</w:t>
      </w:r>
      <w:proofErr w:type="gramEnd"/>
      <w:r w:rsidRPr="002C66A9">
        <w:rPr>
          <w:rFonts w:ascii="Times New Roman" w:hAnsi="Times New Roman" w:cs="Times New Roman"/>
        </w:rPr>
        <w:t xml:space="preserve"> 150, 844–850.</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Amieva, M.R., El–Omar, E.M., 2008.</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 xml:space="preserve">Host-bacterial interactions in </w:t>
      </w:r>
      <w:r w:rsidRPr="002C66A9">
        <w:rPr>
          <w:rFonts w:ascii="Times New Roman" w:hAnsi="Times New Roman" w:cs="Times New Roman"/>
          <w:i/>
        </w:rPr>
        <w:t xml:space="preserve">Helicobacter pylori </w:t>
      </w:r>
      <w:r w:rsidRPr="002C66A9">
        <w:rPr>
          <w:rFonts w:ascii="Times New Roman" w:hAnsi="Times New Roman" w:cs="Times New Roman"/>
        </w:rPr>
        <w:t>infection.</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Gastroenterology</w:t>
      </w:r>
      <w:r w:rsidRPr="002C66A9">
        <w:rPr>
          <w:rFonts w:ascii="Times New Roman" w:hAnsi="Times New Roman" w:cs="Times New Roman"/>
        </w:rPr>
        <w:t>.</w:t>
      </w:r>
      <w:proofErr w:type="gramEnd"/>
      <w:r w:rsidRPr="002C66A9">
        <w:rPr>
          <w:rFonts w:ascii="Times New Roman" w:hAnsi="Times New Roman" w:cs="Times New Roman"/>
        </w:rPr>
        <w:t xml:space="preserve"> 134, 306–323.</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Andre, G., Deghorain, M., Bron, P.A., van Swam, I.I., Kleerebezem, M., Hols, P., Dufrene, Y.F., 2011. </w:t>
      </w:r>
      <w:proofErr w:type="gramStart"/>
      <w:r w:rsidRPr="002C66A9">
        <w:rPr>
          <w:rFonts w:ascii="Times New Roman" w:hAnsi="Times New Roman" w:cs="Times New Roman"/>
        </w:rPr>
        <w:t xml:space="preserve">Fluorescence and atomic force microscopy imaging of wall teichoic acids in </w:t>
      </w:r>
      <w:r w:rsidRPr="002C66A9">
        <w:rPr>
          <w:rFonts w:ascii="Times New Roman" w:hAnsi="Times New Roman" w:cs="Times New Roman"/>
          <w:i/>
        </w:rPr>
        <w:t>Lactobacillus plantarum</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ACS Chem. Biol.</w:t>
      </w:r>
      <w:r w:rsidRPr="002C66A9">
        <w:rPr>
          <w:rFonts w:ascii="Times New Roman" w:hAnsi="Times New Roman" w:cs="Times New Roman"/>
        </w:rPr>
        <w:t xml:space="preserve"> 6, 366–376.</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Andre, G., Kulakauskas, S., Chapot-Chartier, M.-P., Navet, B., Deghorain, M., Bernard, E., Hols, P., Dufrêne, Y.F., 2010.</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 xml:space="preserve">Imaging the nanoscale organization of peptidoglycan in living </w:t>
      </w:r>
      <w:r w:rsidRPr="002C66A9">
        <w:rPr>
          <w:rFonts w:ascii="Times New Roman" w:hAnsi="Times New Roman" w:cs="Times New Roman"/>
          <w:i/>
        </w:rPr>
        <w:t>Lactococcus lactis</w:t>
      </w:r>
      <w:r w:rsidRPr="002C66A9">
        <w:rPr>
          <w:rFonts w:ascii="Times New Roman" w:hAnsi="Times New Roman" w:cs="Times New Roman"/>
        </w:rPr>
        <w:t xml:space="preserve"> cells.</w:t>
      </w:r>
      <w:proofErr w:type="gramEnd"/>
      <w:r w:rsidRPr="002C66A9">
        <w:rPr>
          <w:rFonts w:ascii="Times New Roman" w:hAnsi="Times New Roman" w:cs="Times New Roman"/>
        </w:rPr>
        <w:t xml:space="preserve"> </w:t>
      </w:r>
      <w:r w:rsidRPr="002C66A9">
        <w:rPr>
          <w:rFonts w:ascii="Times New Roman" w:hAnsi="Times New Roman" w:cs="Times New Roman"/>
          <w:i/>
        </w:rPr>
        <w:t>Nat Commun</w:t>
      </w:r>
      <w:r w:rsidRPr="002C66A9">
        <w:rPr>
          <w:rFonts w:ascii="Times New Roman" w:hAnsi="Times New Roman" w:cs="Times New Roman"/>
        </w:rPr>
        <w:t>.</w:t>
      </w:r>
      <w:r w:rsidRPr="002C66A9">
        <w:rPr>
          <w:rFonts w:ascii="Times New Roman" w:hAnsi="Times New Roman" w:cs="Times New Roman"/>
          <w:i/>
        </w:rPr>
        <w:t xml:space="preserve"> </w:t>
      </w:r>
      <w:proofErr w:type="gramStart"/>
      <w:r w:rsidRPr="002C66A9">
        <w:rPr>
          <w:rFonts w:ascii="Times New Roman" w:hAnsi="Times New Roman" w:cs="Times New Roman"/>
        </w:rPr>
        <w:t>1, 27.</w:t>
      </w:r>
      <w:proofErr w:type="gramEnd"/>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Antonny, B., 2011.</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Mechanisms of membrane curvature sensing.</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Annu.</w:t>
      </w:r>
      <w:proofErr w:type="gramEnd"/>
      <w:r w:rsidRPr="002C66A9">
        <w:rPr>
          <w:rFonts w:ascii="Times New Roman" w:hAnsi="Times New Roman" w:cs="Times New Roman"/>
          <w:i/>
        </w:rPr>
        <w:t xml:space="preserve"> Rev. Biochem.</w:t>
      </w:r>
      <w:r w:rsidRPr="002C66A9">
        <w:rPr>
          <w:rFonts w:ascii="Times New Roman" w:hAnsi="Times New Roman" w:cs="Times New Roman"/>
        </w:rPr>
        <w:t xml:space="preserve"> 80, 101–123.</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Archibald, A.R., Hancock, I.C., Harwood, C.R., 1993.</w:t>
      </w:r>
      <w:r w:rsidRPr="002C66A9">
        <w:rPr>
          <w:rFonts w:ascii="Times New Roman" w:hAnsi="Times New Roman" w:cs="Times New Roman"/>
        </w:rPr>
        <w:t xml:space="preserve"> </w:t>
      </w:r>
      <w:proofErr w:type="gramStart"/>
      <w:r w:rsidRPr="002C66A9">
        <w:rPr>
          <w:rFonts w:ascii="Times New Roman" w:hAnsi="Times New Roman" w:cs="Times New Roman"/>
        </w:rPr>
        <w:t>Cell wall structure, synthesis and turnover.</w:t>
      </w:r>
      <w:proofErr w:type="gramEnd"/>
      <w:r w:rsidRPr="002C66A9">
        <w:rPr>
          <w:rFonts w:ascii="Times New Roman" w:hAnsi="Times New Roman" w:cs="Times New Roman"/>
        </w:rPr>
        <w:t xml:space="preserve"> In: Bacillus subtilis</w:t>
      </w:r>
      <w:r w:rsidRPr="002C66A9">
        <w:rPr>
          <w:rFonts w:ascii="Times New Roman" w:hAnsi="Times New Roman" w:cs="Times New Roman"/>
          <w:i/>
        </w:rPr>
        <w:t xml:space="preserve"> and other Gram-positive bacteria : biochemistry, physiology, and molecular genetics.</w:t>
      </w:r>
      <w:r w:rsidRPr="002C66A9">
        <w:rPr>
          <w:rFonts w:ascii="Times New Roman" w:hAnsi="Times New Roman" w:cs="Times New Roman"/>
        </w:rPr>
        <w:t xml:space="preserve"> pp. 381–410. Edited by Sonenshein, A.L., Hoch, J.A., Losick, R., </w:t>
      </w:r>
      <w:proofErr w:type="gramStart"/>
      <w:r w:rsidRPr="002C66A9">
        <w:rPr>
          <w:rFonts w:ascii="Times New Roman" w:hAnsi="Times New Roman" w:cs="Times New Roman"/>
        </w:rPr>
        <w:t>American</w:t>
      </w:r>
      <w:proofErr w:type="gramEnd"/>
      <w:r w:rsidRPr="002C66A9">
        <w:rPr>
          <w:rFonts w:ascii="Times New Roman" w:hAnsi="Times New Roman" w:cs="Times New Roman"/>
        </w:rPr>
        <w:t xml:space="preserve"> Society for Microbiology, Washington, D.C.</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Atilano, M.L., Pereira, P.M., Yates, J., Reed, P., Veiga, H., Pinho, M.G., Filipe, S.R., 2010.</w:t>
      </w:r>
      <w:proofErr w:type="gramEnd"/>
      <w:r w:rsidRPr="002C66A9">
        <w:rPr>
          <w:rFonts w:ascii="Times New Roman" w:hAnsi="Times New Roman" w:cs="Times New Roman"/>
          <w:b/>
        </w:rPr>
        <w:t xml:space="preserve"> </w:t>
      </w:r>
      <w:r w:rsidRPr="002C66A9">
        <w:rPr>
          <w:rFonts w:ascii="Times New Roman" w:hAnsi="Times New Roman" w:cs="Times New Roman"/>
        </w:rPr>
        <w:t xml:space="preserve">Teichoic acids are temporal and spatial regulators of peptidoglycan cross-linking in </w:t>
      </w:r>
      <w:r w:rsidRPr="002C66A9">
        <w:rPr>
          <w:rFonts w:ascii="Times New Roman" w:hAnsi="Times New Roman" w:cs="Times New Roman"/>
          <w:i/>
        </w:rPr>
        <w:t>Staphylococcus aureus</w:t>
      </w:r>
      <w:r w:rsidRPr="002C66A9">
        <w:rPr>
          <w:rFonts w:ascii="Times New Roman" w:hAnsi="Times New Roman" w:cs="Times New Roman"/>
        </w:rPr>
        <w:t xml:space="preserve">. </w:t>
      </w:r>
      <w:r w:rsidRPr="002C66A9">
        <w:rPr>
          <w:rFonts w:ascii="Times New Roman" w:hAnsi="Times New Roman" w:cs="Times New Roman"/>
          <w:i/>
        </w:rPr>
        <w:t>Proc. Natl. Acad. Sci. U.S.A.</w:t>
      </w:r>
      <w:r w:rsidRPr="002C66A9">
        <w:rPr>
          <w:rFonts w:ascii="Times New Roman" w:hAnsi="Times New Roman" w:cs="Times New Roman"/>
        </w:rPr>
        <w:t xml:space="preserve"> 107, 18991–18996.</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Atrih, A., Bacher, G., Allmaier, G., Williamson, M.P., Foster, S.J., 1999.</w:t>
      </w:r>
      <w:r w:rsidRPr="002C66A9">
        <w:rPr>
          <w:rFonts w:ascii="Times New Roman" w:hAnsi="Times New Roman" w:cs="Times New Roman"/>
        </w:rPr>
        <w:t xml:space="preserve"> </w:t>
      </w:r>
      <w:proofErr w:type="gramStart"/>
      <w:r w:rsidRPr="002C66A9">
        <w:rPr>
          <w:rFonts w:ascii="Times New Roman" w:hAnsi="Times New Roman" w:cs="Times New Roman"/>
        </w:rPr>
        <w:t xml:space="preserve">Analysis of peptidoglycan structure from vegetative cells of </w:t>
      </w:r>
      <w:r w:rsidRPr="002C66A9">
        <w:rPr>
          <w:rFonts w:ascii="Times New Roman" w:hAnsi="Times New Roman" w:cs="Times New Roman"/>
          <w:i/>
        </w:rPr>
        <w:t>Bacillus subtilis</w:t>
      </w:r>
      <w:r w:rsidRPr="002C66A9">
        <w:rPr>
          <w:rFonts w:ascii="Times New Roman" w:hAnsi="Times New Roman" w:cs="Times New Roman"/>
        </w:rPr>
        <w:t xml:space="preserve"> 168 and role of PBP 5 in peptidoglycan maturation.</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181, 3956–3966.</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Atrih, A., Zöllner, P., Allmaier, G., Foster, S.J., 1996.</w:t>
      </w:r>
      <w:r w:rsidRPr="002C66A9">
        <w:rPr>
          <w:rFonts w:ascii="Times New Roman" w:hAnsi="Times New Roman" w:cs="Times New Roman"/>
        </w:rPr>
        <w:t xml:space="preserve"> </w:t>
      </w:r>
      <w:proofErr w:type="gramStart"/>
      <w:r w:rsidRPr="002C66A9">
        <w:rPr>
          <w:rFonts w:ascii="Times New Roman" w:hAnsi="Times New Roman" w:cs="Times New Roman"/>
        </w:rPr>
        <w:t xml:space="preserve">Structural analysis of </w:t>
      </w:r>
      <w:r w:rsidRPr="002C66A9">
        <w:rPr>
          <w:rFonts w:ascii="Times New Roman" w:hAnsi="Times New Roman" w:cs="Times New Roman"/>
          <w:i/>
        </w:rPr>
        <w:t>Bacillus subtilis</w:t>
      </w:r>
      <w:r w:rsidRPr="002C66A9">
        <w:rPr>
          <w:rFonts w:ascii="Times New Roman" w:hAnsi="Times New Roman" w:cs="Times New Roman"/>
        </w:rPr>
        <w:t xml:space="preserve"> 168 endospore peptidoglycan and its role during differentiation.</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178, 6173–6183.</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Azuma, I., Thomas, D.W., Adam, A., Ghuysen, J.M., Bonaly, R., Petit, J.F., Lederer, E., 1970.</w:t>
      </w:r>
      <w:proofErr w:type="gramEnd"/>
      <w:r w:rsidRPr="002C66A9">
        <w:rPr>
          <w:rFonts w:ascii="Times New Roman" w:hAnsi="Times New Roman" w:cs="Times New Roman"/>
          <w:b/>
        </w:rPr>
        <w:t xml:space="preserve"> </w:t>
      </w:r>
      <w:proofErr w:type="gramStart"/>
      <w:r w:rsidRPr="002C66A9">
        <w:rPr>
          <w:rFonts w:ascii="Times New Roman" w:hAnsi="Times New Roman" w:cs="Times New Roman"/>
        </w:rPr>
        <w:t xml:space="preserve">Occurrence of </w:t>
      </w:r>
      <w:r w:rsidRPr="002C66A9">
        <w:rPr>
          <w:rFonts w:ascii="Times New Roman" w:hAnsi="Times New Roman" w:cs="Times New Roman"/>
          <w:i/>
        </w:rPr>
        <w:t>N</w:t>
      </w:r>
      <w:r w:rsidRPr="002C66A9">
        <w:rPr>
          <w:rFonts w:ascii="Times New Roman" w:hAnsi="Times New Roman" w:cs="Times New Roman"/>
        </w:rPr>
        <w:t>-glycolylmuramic acid in bacterial cell walls.</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A preliminary survey.</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Biochim.</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Biophys.</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Acta</w:t>
      </w:r>
      <w:r w:rsidRPr="002C66A9">
        <w:rPr>
          <w:rFonts w:ascii="Times New Roman" w:hAnsi="Times New Roman" w:cs="Times New Roman"/>
        </w:rPr>
        <w:t>.</w:t>
      </w:r>
      <w:proofErr w:type="gramEnd"/>
      <w:r w:rsidRPr="002C66A9">
        <w:rPr>
          <w:rFonts w:ascii="Times New Roman" w:hAnsi="Times New Roman" w:cs="Times New Roman"/>
        </w:rPr>
        <w:t xml:space="preserve"> 208, 444–451.</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Baba, T., Schneewind, O., 1998.</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 xml:space="preserve">Targeting of muralytic enzymes to the cell division site of Gram-positive bacteria: repeat domains direct autolysin to the equatorial surface ring of </w:t>
      </w:r>
      <w:r w:rsidRPr="002C66A9">
        <w:rPr>
          <w:rFonts w:ascii="Times New Roman" w:hAnsi="Times New Roman" w:cs="Times New Roman"/>
          <w:i/>
        </w:rPr>
        <w:t>Staphylococcus aureus</w:t>
      </w:r>
      <w:r w:rsidRPr="002C66A9">
        <w:rPr>
          <w:rFonts w:ascii="Times New Roman" w:hAnsi="Times New Roman" w:cs="Times New Roman"/>
        </w:rPr>
        <w:t>.</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EMBO J</w:t>
      </w:r>
      <w:r w:rsidRPr="002C66A9">
        <w:rPr>
          <w:rFonts w:ascii="Times New Roman" w:hAnsi="Times New Roman" w:cs="Times New Roman"/>
        </w:rPr>
        <w:t>. 17, 4639–4646.</w:t>
      </w:r>
      <w:proofErr w:type="gramEnd"/>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lastRenderedPageBreak/>
        <w:t>Banks, P.R., Paquette, D.M., 1995.</w:t>
      </w:r>
      <w:r w:rsidRPr="002C66A9">
        <w:rPr>
          <w:rFonts w:ascii="Times New Roman" w:hAnsi="Times New Roman" w:cs="Times New Roman"/>
        </w:rPr>
        <w:t xml:space="preserve"> </w:t>
      </w:r>
      <w:proofErr w:type="gramStart"/>
      <w:r w:rsidRPr="002C66A9">
        <w:rPr>
          <w:rFonts w:ascii="Times New Roman" w:hAnsi="Times New Roman" w:cs="Times New Roman"/>
        </w:rPr>
        <w:t>Comparison of three common amine reactive fluorescent probes used for conjugation to biomolecules by capillary zone electrophoresis.</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Bioconjug.</w:t>
      </w:r>
      <w:proofErr w:type="gramEnd"/>
      <w:r w:rsidRPr="002C66A9">
        <w:rPr>
          <w:rFonts w:ascii="Times New Roman" w:hAnsi="Times New Roman" w:cs="Times New Roman"/>
          <w:i/>
        </w:rPr>
        <w:t xml:space="preserve"> Chem</w:t>
      </w:r>
      <w:r w:rsidRPr="002C66A9">
        <w:rPr>
          <w:rFonts w:ascii="Times New Roman" w:hAnsi="Times New Roman" w:cs="Times New Roman"/>
        </w:rPr>
        <w:t>. 6, 447–458.</w:t>
      </w:r>
    </w:p>
    <w:p w:rsidR="009831BC" w:rsidRPr="002C66A9" w:rsidRDefault="009831BC" w:rsidP="009831BC">
      <w:pPr>
        <w:pStyle w:val="Bibliography"/>
        <w:spacing w:after="100"/>
        <w:ind w:left="284" w:hanging="284"/>
        <w:jc w:val="both"/>
        <w:rPr>
          <w:rFonts w:ascii="Times New Roman" w:hAnsi="Times New Roman" w:cs="Times New Roman"/>
          <w:lang w:val="de-DE"/>
        </w:rPr>
      </w:pPr>
      <w:proofErr w:type="gramStart"/>
      <w:r w:rsidRPr="002C66A9">
        <w:rPr>
          <w:rFonts w:ascii="Times New Roman" w:hAnsi="Times New Roman" w:cs="Times New Roman"/>
          <w:b/>
        </w:rPr>
        <w:t>Bateman, A., Rawlings, N.D., 2003.</w:t>
      </w:r>
      <w:proofErr w:type="gramEnd"/>
      <w:r w:rsidRPr="002C66A9">
        <w:rPr>
          <w:rFonts w:ascii="Times New Roman" w:hAnsi="Times New Roman" w:cs="Times New Roman"/>
          <w:b/>
        </w:rPr>
        <w:t xml:space="preserve"> </w:t>
      </w:r>
      <w:r w:rsidRPr="002C66A9">
        <w:rPr>
          <w:rFonts w:ascii="Times New Roman" w:hAnsi="Times New Roman" w:cs="Times New Roman"/>
        </w:rPr>
        <w:t xml:space="preserve">The CHAP domain: a large family of amidases including GSP amidase and peptidoglycan hydrolases. </w:t>
      </w:r>
      <w:r w:rsidRPr="002C66A9">
        <w:rPr>
          <w:rFonts w:ascii="Times New Roman" w:hAnsi="Times New Roman" w:cs="Times New Roman"/>
          <w:i/>
          <w:lang w:val="de-DE"/>
        </w:rPr>
        <w:t>Trends Biochem. Sci</w:t>
      </w:r>
      <w:r w:rsidRPr="002C66A9">
        <w:rPr>
          <w:rFonts w:ascii="Times New Roman" w:hAnsi="Times New Roman" w:cs="Times New Roman"/>
          <w:lang w:val="de-DE"/>
        </w:rPr>
        <w:t>. 28, 234–237.</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lang w:val="de-DE"/>
        </w:rPr>
        <w:t xml:space="preserve">Bates, D., Epstein, J., Boye, E., Fahrner, K., Berg, H., Kleckner, N., 2005. </w:t>
      </w:r>
      <w:r w:rsidRPr="002C66A9">
        <w:rPr>
          <w:rFonts w:ascii="Times New Roman" w:hAnsi="Times New Roman" w:cs="Times New Roman"/>
        </w:rPr>
        <w:t xml:space="preserve">The </w:t>
      </w:r>
      <w:r w:rsidRPr="002C66A9">
        <w:rPr>
          <w:rFonts w:ascii="Times New Roman" w:hAnsi="Times New Roman" w:cs="Times New Roman"/>
          <w:i/>
        </w:rPr>
        <w:t>Escherichia coli</w:t>
      </w:r>
      <w:r w:rsidRPr="002C66A9">
        <w:rPr>
          <w:rFonts w:ascii="Times New Roman" w:hAnsi="Times New Roman" w:cs="Times New Roman"/>
        </w:rPr>
        <w:t xml:space="preserve"> baby cell column: a novel cell synchronization method provides new insight into the bacterial cell cycle. </w:t>
      </w:r>
      <w:proofErr w:type="gramStart"/>
      <w:r w:rsidRPr="002C66A9">
        <w:rPr>
          <w:rFonts w:ascii="Times New Roman" w:hAnsi="Times New Roman" w:cs="Times New Roman"/>
          <w:i/>
        </w:rPr>
        <w:t>Mol Microbiol</w:t>
      </w:r>
      <w:r w:rsidRPr="002C66A9">
        <w:rPr>
          <w:rFonts w:ascii="Times New Roman" w:hAnsi="Times New Roman" w:cs="Times New Roman"/>
        </w:rPr>
        <w:t>.</w:t>
      </w:r>
      <w:proofErr w:type="gramEnd"/>
      <w:r w:rsidRPr="002C66A9">
        <w:rPr>
          <w:rFonts w:ascii="Times New Roman" w:hAnsi="Times New Roman" w:cs="Times New Roman"/>
        </w:rPr>
        <w:t xml:space="preserve"> 57, 380–391.</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Bates, M., Dempsey, G.T., Chen, K.H., Zhuang, X., 2012.</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Multicolor super-resolution fluorescence imaging via multi-parameter fluorophore detection.</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Chemphyschem</w:t>
      </w:r>
      <w:r w:rsidRPr="002C66A9">
        <w:rPr>
          <w:rFonts w:ascii="Times New Roman" w:hAnsi="Times New Roman" w:cs="Times New Roman"/>
        </w:rPr>
        <w:t>.</w:t>
      </w:r>
      <w:proofErr w:type="gramEnd"/>
      <w:r w:rsidRPr="002C66A9">
        <w:rPr>
          <w:rFonts w:ascii="Times New Roman" w:hAnsi="Times New Roman" w:cs="Times New Roman"/>
        </w:rPr>
        <w:t xml:space="preserve"> 13, 99–107.</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Bernander, R., Ettema, T.J., 2010.</w:t>
      </w:r>
      <w:r w:rsidRPr="002C66A9">
        <w:rPr>
          <w:rFonts w:ascii="Times New Roman" w:hAnsi="Times New Roman" w:cs="Times New Roman"/>
        </w:rPr>
        <w:t xml:space="preserve"> </w:t>
      </w:r>
      <w:proofErr w:type="gramStart"/>
      <w:r w:rsidRPr="002C66A9">
        <w:rPr>
          <w:rFonts w:ascii="Times New Roman" w:hAnsi="Times New Roman" w:cs="Times New Roman"/>
        </w:rPr>
        <w:t>FtsZ-less cell division in archaea and bacteria.</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Curr.</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Opin.</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Microbiol</w:t>
      </w:r>
      <w:r w:rsidRPr="002C66A9">
        <w:rPr>
          <w:rFonts w:ascii="Times New Roman" w:hAnsi="Times New Roman" w:cs="Times New Roman"/>
        </w:rPr>
        <w:t>.</w:t>
      </w:r>
      <w:proofErr w:type="gramEnd"/>
      <w:r w:rsidRPr="002C66A9">
        <w:rPr>
          <w:rFonts w:ascii="Times New Roman" w:hAnsi="Times New Roman" w:cs="Times New Roman"/>
        </w:rPr>
        <w:t xml:space="preserve"> 13, 747–752.</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Bernhardt, T.G., de Boer, P.A.J., 2005.</w:t>
      </w:r>
      <w:r w:rsidRPr="002C66A9">
        <w:rPr>
          <w:rFonts w:ascii="Times New Roman" w:hAnsi="Times New Roman" w:cs="Times New Roman"/>
        </w:rPr>
        <w:t xml:space="preserve"> SlmA, a nucleoid-associated, FtsZ binding protein required for blocking septal ring assembly over chromosomes in </w:t>
      </w:r>
      <w:r w:rsidRPr="002C66A9">
        <w:rPr>
          <w:rFonts w:ascii="Times New Roman" w:hAnsi="Times New Roman" w:cs="Times New Roman"/>
          <w:i/>
        </w:rPr>
        <w:t>E. coli</w:t>
      </w:r>
      <w:r w:rsidRPr="002C66A9">
        <w:rPr>
          <w:rFonts w:ascii="Times New Roman" w:hAnsi="Times New Roman" w:cs="Times New Roman"/>
        </w:rPr>
        <w:t xml:space="preserve">. </w:t>
      </w:r>
      <w:r w:rsidRPr="002C66A9">
        <w:rPr>
          <w:rFonts w:ascii="Times New Roman" w:hAnsi="Times New Roman" w:cs="Times New Roman"/>
          <w:i/>
        </w:rPr>
        <w:t>Mol. Cell</w:t>
      </w:r>
      <w:r w:rsidRPr="002C66A9">
        <w:rPr>
          <w:rFonts w:ascii="Times New Roman" w:hAnsi="Times New Roman" w:cs="Times New Roman"/>
        </w:rPr>
        <w:t>. 18, 555–564.</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Betzig, E., Patterson, G.H., Sougrat, R., Lindwasser, O.W., Olenych, S., Bonifacino, J.S., Davidson, M.W., Lippincott-Schwartz, J., Hess, H.F., 2006.</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Imaging intracellular fluorescent proteins at nanometer resolution.</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Science</w:t>
      </w:r>
      <w:r w:rsidRPr="002C66A9">
        <w:rPr>
          <w:rFonts w:ascii="Times New Roman" w:hAnsi="Times New Roman" w:cs="Times New Roman"/>
        </w:rPr>
        <w:t>.</w:t>
      </w:r>
      <w:proofErr w:type="gramEnd"/>
      <w:r w:rsidRPr="002C66A9">
        <w:rPr>
          <w:rFonts w:ascii="Times New Roman" w:hAnsi="Times New Roman" w:cs="Times New Roman"/>
        </w:rPr>
        <w:t xml:space="preserve"> 313, 1642–1645.</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Beveridge, T.J., Graham, L.L., 1991.</w:t>
      </w:r>
      <w:r w:rsidRPr="002C66A9">
        <w:rPr>
          <w:rFonts w:ascii="Times New Roman" w:hAnsi="Times New Roman" w:cs="Times New Roman"/>
        </w:rPr>
        <w:t xml:space="preserve"> Surface layers of bacteria. </w:t>
      </w:r>
      <w:proofErr w:type="gramStart"/>
      <w:r w:rsidRPr="002C66A9">
        <w:rPr>
          <w:rFonts w:ascii="Times New Roman" w:hAnsi="Times New Roman" w:cs="Times New Roman"/>
          <w:i/>
        </w:rPr>
        <w:t>Microbiol.</w:t>
      </w:r>
      <w:proofErr w:type="gramEnd"/>
      <w:r w:rsidRPr="002C66A9">
        <w:rPr>
          <w:rFonts w:ascii="Times New Roman" w:hAnsi="Times New Roman" w:cs="Times New Roman"/>
          <w:i/>
        </w:rPr>
        <w:t xml:space="preserve"> Rev</w:t>
      </w:r>
      <w:r w:rsidRPr="002C66A9">
        <w:rPr>
          <w:rFonts w:ascii="Times New Roman" w:hAnsi="Times New Roman" w:cs="Times New Roman"/>
        </w:rPr>
        <w:t>. 55, 684–705.</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Binnig, </w:t>
      </w:r>
      <w:r>
        <w:rPr>
          <w:rFonts w:ascii="Times New Roman" w:hAnsi="Times New Roman" w:cs="Times New Roman"/>
          <w:b/>
        </w:rPr>
        <w:t xml:space="preserve">G., </w:t>
      </w:r>
      <w:r w:rsidRPr="002C66A9">
        <w:rPr>
          <w:rFonts w:ascii="Times New Roman" w:hAnsi="Times New Roman" w:cs="Times New Roman"/>
          <w:b/>
        </w:rPr>
        <w:t xml:space="preserve">Quate, </w:t>
      </w:r>
      <w:r>
        <w:rPr>
          <w:rFonts w:ascii="Times New Roman" w:hAnsi="Times New Roman" w:cs="Times New Roman"/>
          <w:b/>
        </w:rPr>
        <w:t xml:space="preserve">C. F., </w:t>
      </w:r>
      <w:r w:rsidRPr="002C66A9">
        <w:rPr>
          <w:rFonts w:ascii="Times New Roman" w:hAnsi="Times New Roman" w:cs="Times New Roman"/>
          <w:b/>
        </w:rPr>
        <w:t xml:space="preserve">Gerber, </w:t>
      </w:r>
      <w:r>
        <w:rPr>
          <w:rFonts w:ascii="Times New Roman" w:hAnsi="Times New Roman" w:cs="Times New Roman"/>
          <w:b/>
        </w:rPr>
        <w:t xml:space="preserve">C., </w:t>
      </w:r>
      <w:r w:rsidRPr="002C66A9">
        <w:rPr>
          <w:rFonts w:ascii="Times New Roman" w:hAnsi="Times New Roman" w:cs="Times New Roman"/>
          <w:b/>
        </w:rPr>
        <w:t>1986.</w:t>
      </w:r>
      <w:r w:rsidRPr="002C66A9">
        <w:rPr>
          <w:rFonts w:ascii="Times New Roman" w:hAnsi="Times New Roman" w:cs="Times New Roman"/>
        </w:rPr>
        <w:t xml:space="preserve"> </w:t>
      </w:r>
      <w:proofErr w:type="gramStart"/>
      <w:r w:rsidRPr="002C66A9">
        <w:rPr>
          <w:rFonts w:ascii="Times New Roman" w:hAnsi="Times New Roman" w:cs="Times New Roman"/>
        </w:rPr>
        <w:t>Atomic force microscope.</w:t>
      </w:r>
      <w:proofErr w:type="gramEnd"/>
      <w:r w:rsidRPr="002C66A9">
        <w:rPr>
          <w:rFonts w:ascii="Times New Roman" w:hAnsi="Times New Roman" w:cs="Times New Roman"/>
        </w:rPr>
        <w:t xml:space="preserve"> </w:t>
      </w:r>
      <w:r w:rsidRPr="002C66A9">
        <w:rPr>
          <w:rFonts w:ascii="Times New Roman" w:hAnsi="Times New Roman" w:cs="Times New Roman"/>
          <w:i/>
        </w:rPr>
        <w:t>Phys. Rev. Lett</w:t>
      </w:r>
      <w:r w:rsidRPr="002C66A9">
        <w:rPr>
          <w:rFonts w:ascii="Times New Roman" w:hAnsi="Times New Roman" w:cs="Times New Roman"/>
        </w:rPr>
        <w:t>. 56, 930–933.</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Bisicchia, P., Noone, D., Lioliou, E., Howell, A., Quigley, S., Jensen, T., Jarmer, H., Devine, K.M., 2007.</w:t>
      </w:r>
      <w:r w:rsidRPr="002C66A9">
        <w:rPr>
          <w:rFonts w:ascii="Times New Roman" w:hAnsi="Times New Roman" w:cs="Times New Roman"/>
        </w:rPr>
        <w:t xml:space="preserve"> The essential YycFG two-component system controls cell wall metabolism in </w:t>
      </w:r>
      <w:r w:rsidRPr="002C66A9">
        <w:rPr>
          <w:rFonts w:ascii="Times New Roman" w:hAnsi="Times New Roman" w:cs="Times New Roman"/>
          <w:i/>
        </w:rPr>
        <w:t>Bacillus subtilis</w:t>
      </w:r>
      <w:r w:rsidRPr="002C66A9">
        <w:rPr>
          <w:rFonts w:ascii="Times New Roman" w:hAnsi="Times New Roman" w:cs="Times New Roman"/>
        </w:rPr>
        <w:t xml:space="preserve">. </w:t>
      </w:r>
      <w:r w:rsidRPr="002C66A9">
        <w:rPr>
          <w:rFonts w:ascii="Times New Roman" w:hAnsi="Times New Roman" w:cs="Times New Roman"/>
          <w:i/>
        </w:rPr>
        <w:t>Mol. Microbiol</w:t>
      </w:r>
      <w:r w:rsidRPr="002C66A9">
        <w:rPr>
          <w:rFonts w:ascii="Times New Roman" w:hAnsi="Times New Roman" w:cs="Times New Roman"/>
        </w:rPr>
        <w:t>. 65, 180–200.</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Blackman, S.A., Smith, T.J., Foster, S.J., 1998.</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 xml:space="preserve">The role of autolysins during vegetative growth of </w:t>
      </w:r>
      <w:r w:rsidRPr="002C66A9">
        <w:rPr>
          <w:rFonts w:ascii="Times New Roman" w:hAnsi="Times New Roman" w:cs="Times New Roman"/>
          <w:i/>
        </w:rPr>
        <w:t>Bacillus subtilis</w:t>
      </w:r>
      <w:r w:rsidRPr="002C66A9">
        <w:rPr>
          <w:rFonts w:ascii="Times New Roman" w:hAnsi="Times New Roman" w:cs="Times New Roman"/>
        </w:rPr>
        <w:t xml:space="preserve"> 168.</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Microbiology</w:t>
      </w:r>
      <w:r w:rsidRPr="002C66A9">
        <w:rPr>
          <w:rFonts w:ascii="Times New Roman" w:hAnsi="Times New Roman" w:cs="Times New Roman"/>
        </w:rPr>
        <w:t>.</w:t>
      </w:r>
      <w:proofErr w:type="gramEnd"/>
      <w:r w:rsidRPr="002C66A9">
        <w:rPr>
          <w:rFonts w:ascii="Times New Roman" w:hAnsi="Times New Roman" w:cs="Times New Roman"/>
        </w:rPr>
        <w:t xml:space="preserve"> 144, 73–82.</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Boneca, I.G., Huang, Z.H., Gage, D.A., Tomasz, A., 2000.</w:t>
      </w:r>
      <w:r w:rsidRPr="002C66A9">
        <w:rPr>
          <w:rFonts w:ascii="Times New Roman" w:hAnsi="Times New Roman" w:cs="Times New Roman"/>
        </w:rPr>
        <w:t xml:space="preserve"> Characterization of </w:t>
      </w:r>
      <w:r w:rsidRPr="002C66A9">
        <w:rPr>
          <w:rFonts w:ascii="Times New Roman" w:hAnsi="Times New Roman" w:cs="Times New Roman"/>
          <w:i/>
        </w:rPr>
        <w:t>Staphylococcus aureus</w:t>
      </w:r>
      <w:r w:rsidRPr="002C66A9">
        <w:rPr>
          <w:rFonts w:ascii="Times New Roman" w:hAnsi="Times New Roman" w:cs="Times New Roman"/>
        </w:rPr>
        <w:t xml:space="preserve"> cell wall glycan strands, evidence for a new beta-</w:t>
      </w:r>
      <w:r w:rsidRPr="002C66A9">
        <w:rPr>
          <w:rFonts w:ascii="Times New Roman" w:hAnsi="Times New Roman" w:cs="Times New Roman"/>
          <w:i/>
        </w:rPr>
        <w:t>N</w:t>
      </w:r>
      <w:r w:rsidRPr="002C66A9">
        <w:rPr>
          <w:rFonts w:ascii="Times New Roman" w:hAnsi="Times New Roman" w:cs="Times New Roman"/>
        </w:rPr>
        <w:t xml:space="preserve">-acetylglucosaminidase activity. </w:t>
      </w:r>
      <w:proofErr w:type="gramStart"/>
      <w:r w:rsidRPr="002C66A9">
        <w:rPr>
          <w:rFonts w:ascii="Times New Roman" w:hAnsi="Times New Roman" w:cs="Times New Roman"/>
          <w:i/>
        </w:rPr>
        <w:t>J. Biol. Chem</w:t>
      </w:r>
      <w:r w:rsidRPr="002C66A9">
        <w:rPr>
          <w:rFonts w:ascii="Times New Roman" w:hAnsi="Times New Roman" w:cs="Times New Roman"/>
        </w:rPr>
        <w:t>. 275, 9910–9918.</w:t>
      </w:r>
      <w:proofErr w:type="gramEnd"/>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Bowler, L.D., Spratt, B.G., 1989.</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 xml:space="preserve">Membrane topology of penicillin-binding protein 3 of </w:t>
      </w:r>
      <w:r w:rsidRPr="002C66A9">
        <w:rPr>
          <w:rFonts w:ascii="Times New Roman" w:hAnsi="Times New Roman" w:cs="Times New Roman"/>
          <w:i/>
        </w:rPr>
        <w:t>Escherichia coli</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Mol. Microbiol</w:t>
      </w:r>
      <w:r w:rsidRPr="002C66A9">
        <w:rPr>
          <w:rFonts w:ascii="Times New Roman" w:hAnsi="Times New Roman" w:cs="Times New Roman"/>
        </w:rPr>
        <w:t>. 3, 1277–1286.</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Bowman, G.R., Comolli, L.R., Gaietta, G.M., Fero, M., Hong, S.-H., Jones, Y., Lee, J.H., Downing, K.H., Ellisman, M.H., McAdams, H.H., Shapiro, L., 2010.</w:t>
      </w:r>
      <w:proofErr w:type="gramEnd"/>
      <w:r w:rsidRPr="002C66A9">
        <w:rPr>
          <w:rFonts w:ascii="Times New Roman" w:hAnsi="Times New Roman" w:cs="Times New Roman"/>
        </w:rPr>
        <w:t xml:space="preserve"> </w:t>
      </w:r>
      <w:r w:rsidRPr="002C66A9">
        <w:rPr>
          <w:rFonts w:ascii="Times New Roman" w:hAnsi="Times New Roman" w:cs="Times New Roman"/>
          <w:i/>
        </w:rPr>
        <w:t>Caulobacter</w:t>
      </w:r>
      <w:r w:rsidRPr="002C66A9">
        <w:rPr>
          <w:rFonts w:ascii="Times New Roman" w:hAnsi="Times New Roman" w:cs="Times New Roman"/>
        </w:rPr>
        <w:t xml:space="preserve"> PopZ forms a polar subdomain dictating sequential changes in pole composition and function. </w:t>
      </w:r>
      <w:r w:rsidRPr="002C66A9">
        <w:rPr>
          <w:rFonts w:ascii="Times New Roman" w:hAnsi="Times New Roman" w:cs="Times New Roman"/>
          <w:i/>
        </w:rPr>
        <w:t>Mol. Microbiol</w:t>
      </w:r>
      <w:r w:rsidRPr="002C66A9">
        <w:rPr>
          <w:rFonts w:ascii="Times New Roman" w:hAnsi="Times New Roman" w:cs="Times New Roman"/>
        </w:rPr>
        <w:t>. 76, 173–189.</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Bramhill, D., 1997.</w:t>
      </w:r>
      <w:r w:rsidRPr="002C66A9">
        <w:rPr>
          <w:rFonts w:ascii="Times New Roman" w:hAnsi="Times New Roman" w:cs="Times New Roman"/>
        </w:rPr>
        <w:t xml:space="preserve"> </w:t>
      </w:r>
      <w:proofErr w:type="gramStart"/>
      <w:r w:rsidRPr="002C66A9">
        <w:rPr>
          <w:rFonts w:ascii="Times New Roman" w:hAnsi="Times New Roman" w:cs="Times New Roman"/>
        </w:rPr>
        <w:t>Bacterial cell division.</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Annu.</w:t>
      </w:r>
      <w:proofErr w:type="gramEnd"/>
      <w:r w:rsidRPr="002C66A9">
        <w:rPr>
          <w:rFonts w:ascii="Times New Roman" w:hAnsi="Times New Roman" w:cs="Times New Roman"/>
          <w:i/>
        </w:rPr>
        <w:t xml:space="preserve"> Rev. Cell Dev. Biol</w:t>
      </w:r>
      <w:r w:rsidRPr="002C66A9">
        <w:rPr>
          <w:rFonts w:ascii="Times New Roman" w:hAnsi="Times New Roman" w:cs="Times New Roman"/>
        </w:rPr>
        <w:t>, 13, 395–424.</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Briles, E.B., Tomasz, A., 1970.</w:t>
      </w:r>
      <w:r w:rsidRPr="002C66A9">
        <w:rPr>
          <w:rFonts w:ascii="Times New Roman" w:hAnsi="Times New Roman" w:cs="Times New Roman"/>
        </w:rPr>
        <w:t xml:space="preserve"> </w:t>
      </w:r>
      <w:proofErr w:type="gramStart"/>
      <w:r w:rsidRPr="002C66A9">
        <w:rPr>
          <w:rFonts w:ascii="Times New Roman" w:hAnsi="Times New Roman" w:cs="Times New Roman"/>
        </w:rPr>
        <w:t>Radioautographic evidence for equatorial wall growth in a Gram-positive bacterium.</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Segregation of choline-3H-labeled teichoic acid.</w:t>
      </w:r>
      <w:proofErr w:type="gramEnd"/>
      <w:r w:rsidRPr="002C66A9">
        <w:rPr>
          <w:rFonts w:ascii="Times New Roman" w:hAnsi="Times New Roman" w:cs="Times New Roman"/>
        </w:rPr>
        <w:t xml:space="preserve"> </w:t>
      </w:r>
      <w:r w:rsidRPr="002C66A9">
        <w:rPr>
          <w:rFonts w:ascii="Times New Roman" w:hAnsi="Times New Roman" w:cs="Times New Roman"/>
          <w:i/>
        </w:rPr>
        <w:t>J. Cell Biol</w:t>
      </w:r>
      <w:r w:rsidRPr="002C66A9">
        <w:rPr>
          <w:rFonts w:ascii="Times New Roman" w:hAnsi="Times New Roman" w:cs="Times New Roman"/>
        </w:rPr>
        <w:t>. 47, 786–790.</w:t>
      </w:r>
    </w:p>
    <w:p w:rsidR="009831BC" w:rsidRPr="002C66A9" w:rsidRDefault="009831BC" w:rsidP="009831BC">
      <w:pPr>
        <w:pStyle w:val="Bibliography"/>
        <w:spacing w:after="100"/>
        <w:ind w:left="284" w:hanging="284"/>
        <w:jc w:val="both"/>
        <w:rPr>
          <w:rFonts w:ascii="Times New Roman" w:hAnsi="Times New Roman" w:cs="Times New Roman"/>
          <w:lang w:val="de-DE"/>
        </w:rPr>
      </w:pPr>
      <w:r w:rsidRPr="002C66A9">
        <w:rPr>
          <w:rFonts w:ascii="Times New Roman" w:hAnsi="Times New Roman" w:cs="Times New Roman"/>
          <w:b/>
          <w:lang w:val="de-DE"/>
        </w:rPr>
        <w:t>Brunskill, E.W., Bayles, K.W., 1996.</w:t>
      </w:r>
      <w:r w:rsidRPr="002C66A9">
        <w:rPr>
          <w:rFonts w:ascii="Times New Roman" w:hAnsi="Times New Roman" w:cs="Times New Roman"/>
          <w:lang w:val="de-DE"/>
        </w:rPr>
        <w:t xml:space="preserve"> </w:t>
      </w:r>
      <w:proofErr w:type="gramStart"/>
      <w:r w:rsidRPr="002C66A9">
        <w:rPr>
          <w:rFonts w:ascii="Times New Roman" w:hAnsi="Times New Roman" w:cs="Times New Roman"/>
        </w:rPr>
        <w:t xml:space="preserve">Identification and molecular characterization of a putative regulatory locus that affects autolysis in </w:t>
      </w:r>
      <w:r w:rsidRPr="002C66A9">
        <w:rPr>
          <w:rFonts w:ascii="Times New Roman" w:hAnsi="Times New Roman" w:cs="Times New Roman"/>
          <w:i/>
        </w:rPr>
        <w:t>Staphylococcus aureus</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lang w:val="de-DE"/>
        </w:rPr>
        <w:t>J. Bacteriol</w:t>
      </w:r>
      <w:r w:rsidRPr="002C66A9">
        <w:rPr>
          <w:rFonts w:ascii="Times New Roman" w:hAnsi="Times New Roman" w:cs="Times New Roman"/>
          <w:lang w:val="de-DE"/>
        </w:rPr>
        <w:t>. 178, 611–618.</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lang w:val="de-DE"/>
        </w:rPr>
        <w:t>Bublitz, M., Polle, L., Holland, C., Heinz, D.W., Nimtz, M., Schubert, W.-D., 2009.</w:t>
      </w:r>
      <w:r w:rsidRPr="002C66A9">
        <w:rPr>
          <w:rFonts w:ascii="Times New Roman" w:hAnsi="Times New Roman" w:cs="Times New Roman"/>
          <w:lang w:val="de-DE"/>
        </w:rPr>
        <w:t xml:space="preserve"> </w:t>
      </w:r>
      <w:proofErr w:type="gramStart"/>
      <w:r w:rsidRPr="002C66A9">
        <w:rPr>
          <w:rFonts w:ascii="Times New Roman" w:hAnsi="Times New Roman" w:cs="Times New Roman"/>
        </w:rPr>
        <w:t xml:space="preserve">Structural basis for autoinhibition and activation of Auto, a virulence-associated peptidoglycan hydrolase of </w:t>
      </w:r>
      <w:r w:rsidRPr="002C66A9">
        <w:rPr>
          <w:rFonts w:ascii="Times New Roman" w:hAnsi="Times New Roman" w:cs="Times New Roman"/>
          <w:i/>
        </w:rPr>
        <w:t>Listeria monocytogenes</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Mol. Microbiol</w:t>
      </w:r>
      <w:r w:rsidRPr="002C66A9">
        <w:rPr>
          <w:rFonts w:ascii="Times New Roman" w:hAnsi="Times New Roman" w:cs="Times New Roman"/>
        </w:rPr>
        <w:t>. 71, 1509–1522.</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Buist, G., Kok, J., Leenhouts, K.J., Dabrowska, M., Venema, G., Haandrikman, A.J., 1995.</w:t>
      </w:r>
      <w:proofErr w:type="gramEnd"/>
      <w:r w:rsidRPr="002C66A9">
        <w:rPr>
          <w:rFonts w:ascii="Times New Roman" w:hAnsi="Times New Roman" w:cs="Times New Roman"/>
          <w:b/>
        </w:rPr>
        <w:t xml:space="preserve"> </w:t>
      </w:r>
      <w:r w:rsidRPr="002C66A9">
        <w:rPr>
          <w:rFonts w:ascii="Times New Roman" w:hAnsi="Times New Roman" w:cs="Times New Roman"/>
        </w:rPr>
        <w:t xml:space="preserve">Molecular cloning and nucleotide sequence of the gene encoding the major </w:t>
      </w:r>
      <w:r w:rsidRPr="002C66A9">
        <w:rPr>
          <w:rFonts w:ascii="Times New Roman" w:hAnsi="Times New Roman" w:cs="Times New Roman"/>
        </w:rPr>
        <w:lastRenderedPageBreak/>
        <w:t xml:space="preserve">peptidoglycan hydrolase of </w:t>
      </w:r>
      <w:r w:rsidRPr="002C66A9">
        <w:rPr>
          <w:rFonts w:ascii="Times New Roman" w:hAnsi="Times New Roman" w:cs="Times New Roman"/>
          <w:i/>
        </w:rPr>
        <w:t>Lactococcus lactis</w:t>
      </w:r>
      <w:r w:rsidRPr="002C66A9">
        <w:rPr>
          <w:rFonts w:ascii="Times New Roman" w:hAnsi="Times New Roman" w:cs="Times New Roman"/>
        </w:rPr>
        <w:t xml:space="preserve">, a muramidase needed for cell separation. </w:t>
      </w:r>
      <w:r w:rsidRPr="002C66A9">
        <w:rPr>
          <w:rFonts w:ascii="Times New Roman" w:hAnsi="Times New Roman" w:cs="Times New Roman"/>
          <w:i/>
        </w:rPr>
        <w:t>J. Bacteriol</w:t>
      </w:r>
      <w:r w:rsidRPr="002C66A9">
        <w:rPr>
          <w:rFonts w:ascii="Times New Roman" w:hAnsi="Times New Roman" w:cs="Times New Roman"/>
        </w:rPr>
        <w:t>. 177, 1554–1563.</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Burger, M.M., Glaser, L., 1964.</w:t>
      </w:r>
      <w:r w:rsidRPr="002C66A9">
        <w:rPr>
          <w:rFonts w:ascii="Times New Roman" w:hAnsi="Times New Roman" w:cs="Times New Roman"/>
        </w:rPr>
        <w:t xml:space="preserve"> </w:t>
      </w:r>
      <w:proofErr w:type="gramStart"/>
      <w:r w:rsidRPr="002C66A9">
        <w:rPr>
          <w:rFonts w:ascii="Times New Roman" w:hAnsi="Times New Roman" w:cs="Times New Roman"/>
        </w:rPr>
        <w:t>The synthesis of teichoic acids.</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I. polyglycerophosphate.</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J. Biol. Chem</w:t>
      </w:r>
      <w:r w:rsidRPr="002C66A9">
        <w:rPr>
          <w:rFonts w:ascii="Times New Roman" w:hAnsi="Times New Roman" w:cs="Times New Roman"/>
        </w:rPr>
        <w:t>. 239, 3168–3177.</w:t>
      </w:r>
      <w:proofErr w:type="gramEnd"/>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Burnette, D.T., Sengupta, P., Dai, Y., Lippincott-Schwartz, J., Kachar, B., 2011.</w:t>
      </w:r>
      <w:proofErr w:type="gramEnd"/>
      <w:r w:rsidRPr="002C66A9">
        <w:rPr>
          <w:rFonts w:ascii="Times New Roman" w:hAnsi="Times New Roman" w:cs="Times New Roman"/>
          <w:b/>
        </w:rPr>
        <w:t xml:space="preserve"> </w:t>
      </w:r>
      <w:r w:rsidRPr="002C66A9">
        <w:rPr>
          <w:rFonts w:ascii="Times New Roman" w:hAnsi="Times New Roman" w:cs="Times New Roman"/>
        </w:rPr>
        <w:t xml:space="preserve">Bleaching/blinking assisted localization microscopy for superresolution imaging using standard fluorescent molecules. </w:t>
      </w:r>
      <w:r w:rsidRPr="002C66A9">
        <w:rPr>
          <w:rFonts w:ascii="Times New Roman" w:hAnsi="Times New Roman" w:cs="Times New Roman"/>
          <w:i/>
        </w:rPr>
        <w:t>Proc. Natl. Acad. Sci. U.S.A</w:t>
      </w:r>
      <w:r w:rsidRPr="002C66A9">
        <w:rPr>
          <w:rFonts w:ascii="Times New Roman" w:hAnsi="Times New Roman" w:cs="Times New Roman"/>
        </w:rPr>
        <w:t>. 108, 21081–21086.</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Cabeen, M.T., Jacobs-Wagner, C., 2005.</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Bacterial cell shape.</w:t>
      </w:r>
      <w:proofErr w:type="gramEnd"/>
      <w:r w:rsidRPr="002C66A9">
        <w:rPr>
          <w:rFonts w:ascii="Times New Roman" w:hAnsi="Times New Roman" w:cs="Times New Roman"/>
        </w:rPr>
        <w:t xml:space="preserve"> </w:t>
      </w:r>
      <w:r w:rsidRPr="002C66A9">
        <w:rPr>
          <w:rFonts w:ascii="Times New Roman" w:hAnsi="Times New Roman" w:cs="Times New Roman"/>
          <w:i/>
        </w:rPr>
        <w:t>Nat. Rev. Microbiol</w:t>
      </w:r>
      <w:r w:rsidRPr="002C66A9">
        <w:rPr>
          <w:rFonts w:ascii="Times New Roman" w:hAnsi="Times New Roman" w:cs="Times New Roman"/>
        </w:rPr>
        <w:t>. 3, 601–610.</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Carballido-López, R., Formstone, A., Li, Y., Ehrlich, S.D., Noirot, P., Errington, J., 2006.</w:t>
      </w:r>
      <w:proofErr w:type="gramEnd"/>
      <w:r w:rsidRPr="002C66A9">
        <w:rPr>
          <w:rFonts w:ascii="Times New Roman" w:hAnsi="Times New Roman" w:cs="Times New Roman"/>
        </w:rPr>
        <w:t xml:space="preserve"> Actin homolog MreBH governs cell morphogenesis by localization of the cell wall hydrolase LytE. </w:t>
      </w:r>
      <w:r w:rsidRPr="002C66A9">
        <w:rPr>
          <w:rFonts w:ascii="Times New Roman" w:hAnsi="Times New Roman" w:cs="Times New Roman"/>
          <w:i/>
        </w:rPr>
        <w:t>Dev. Cell</w:t>
      </w:r>
      <w:r w:rsidRPr="002C66A9">
        <w:rPr>
          <w:rFonts w:ascii="Times New Roman" w:hAnsi="Times New Roman" w:cs="Times New Roman"/>
        </w:rPr>
        <w:t>. 11, 399–409.</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Chapot-Chartier, M.-P., Vinogradov, E., Sadovskaya, I., Andre, G., Mistou, M.-Y., Trieu-Cuot, P., Furlan, S., Bidnenko, E., Courtin, P., Péchoux, C., Hols, P., Dufrêne, Y.F., Kulakauskas, S., 2010.</w:t>
      </w:r>
      <w:proofErr w:type="gramEnd"/>
      <w:r w:rsidRPr="002C66A9">
        <w:rPr>
          <w:rFonts w:ascii="Times New Roman" w:hAnsi="Times New Roman" w:cs="Times New Roman"/>
        </w:rPr>
        <w:t xml:space="preserve"> Cell surface of </w:t>
      </w:r>
      <w:r w:rsidRPr="002C66A9">
        <w:rPr>
          <w:rFonts w:ascii="Times New Roman" w:hAnsi="Times New Roman" w:cs="Times New Roman"/>
          <w:i/>
        </w:rPr>
        <w:t>Lactococcus lactis</w:t>
      </w:r>
      <w:r w:rsidRPr="002C66A9">
        <w:rPr>
          <w:rFonts w:ascii="Times New Roman" w:hAnsi="Times New Roman" w:cs="Times New Roman"/>
        </w:rPr>
        <w:t xml:space="preserve"> is covered by a protective polysaccharide pellicle.</w:t>
      </w:r>
      <w:r w:rsidRPr="002C66A9">
        <w:rPr>
          <w:rFonts w:ascii="Times New Roman" w:hAnsi="Times New Roman" w:cs="Times New Roman"/>
          <w:i/>
        </w:rPr>
        <w:t xml:space="preserve"> J. Biol. Chem</w:t>
      </w:r>
      <w:r w:rsidRPr="002C66A9">
        <w:rPr>
          <w:rFonts w:ascii="Times New Roman" w:hAnsi="Times New Roman" w:cs="Times New Roman"/>
        </w:rPr>
        <w:t>. 285, 10464–10471.</w:t>
      </w:r>
    </w:p>
    <w:p w:rsidR="009831BC" w:rsidRPr="002C66A9" w:rsidRDefault="009831BC" w:rsidP="009831BC">
      <w:pPr>
        <w:autoSpaceDE w:val="0"/>
        <w:autoSpaceDN w:val="0"/>
        <w:adjustRightInd w:val="0"/>
        <w:spacing w:after="100" w:line="240" w:lineRule="auto"/>
        <w:ind w:left="284" w:hanging="284"/>
        <w:jc w:val="both"/>
        <w:rPr>
          <w:rFonts w:ascii="Times New Roman" w:eastAsia="Calibri" w:hAnsi="Times New Roman" w:cs="Times New Roman"/>
          <w:lang w:val="en-US"/>
        </w:rPr>
      </w:pPr>
      <w:proofErr w:type="gramStart"/>
      <w:r w:rsidRPr="002C66A9">
        <w:rPr>
          <w:rFonts w:ascii="Times New Roman" w:eastAsia="Calibri" w:hAnsi="Times New Roman" w:cs="Times New Roman"/>
          <w:b/>
          <w:bCs/>
          <w:lang w:val="en-US"/>
        </w:rPr>
        <w:t>Charpentier, E., Anton, A. I., Barry, P., Alfonso, B., Fang, Y. &amp; Novick, R. P. (2004).</w:t>
      </w:r>
      <w:proofErr w:type="gramEnd"/>
      <w:r w:rsidRPr="002C66A9">
        <w:rPr>
          <w:rFonts w:ascii="Times New Roman" w:eastAsia="Calibri" w:hAnsi="Times New Roman" w:cs="Times New Roman"/>
          <w:lang w:val="en-US"/>
        </w:rPr>
        <w:t xml:space="preserve"> </w:t>
      </w:r>
      <w:proofErr w:type="gramStart"/>
      <w:r w:rsidRPr="002C66A9">
        <w:rPr>
          <w:rFonts w:ascii="Times New Roman" w:eastAsia="Calibri" w:hAnsi="Times New Roman" w:cs="Times New Roman"/>
          <w:lang w:val="en-US"/>
        </w:rPr>
        <w:t>Novel cassette-based shuttle vector system for Gram-positive bacteria.</w:t>
      </w:r>
      <w:proofErr w:type="gramEnd"/>
      <w:r w:rsidRPr="002C66A9">
        <w:rPr>
          <w:rFonts w:ascii="Times New Roman" w:eastAsia="Calibri" w:hAnsi="Times New Roman" w:cs="Times New Roman"/>
          <w:lang w:val="en-US"/>
        </w:rPr>
        <w:t xml:space="preserve"> </w:t>
      </w:r>
      <w:r w:rsidRPr="002C66A9">
        <w:rPr>
          <w:rFonts w:ascii="Times New Roman" w:eastAsia="Calibri" w:hAnsi="Times New Roman" w:cs="Times New Roman"/>
          <w:i/>
          <w:iCs/>
          <w:lang w:val="en-US"/>
        </w:rPr>
        <w:t>Appl Environ Microbiol.</w:t>
      </w:r>
      <w:r w:rsidRPr="002C66A9">
        <w:rPr>
          <w:rFonts w:ascii="Times New Roman" w:eastAsia="Calibri" w:hAnsi="Times New Roman" w:cs="Times New Roman"/>
          <w:lang w:val="en-US"/>
        </w:rPr>
        <w:t xml:space="preserve"> </w:t>
      </w:r>
      <w:r w:rsidRPr="002C66A9">
        <w:rPr>
          <w:rFonts w:ascii="Times New Roman" w:eastAsia="Calibri" w:hAnsi="Times New Roman" w:cs="Times New Roman"/>
          <w:bCs/>
          <w:lang w:val="en-US"/>
        </w:rPr>
        <w:t>70</w:t>
      </w:r>
      <w:r w:rsidRPr="002C66A9">
        <w:rPr>
          <w:rFonts w:ascii="Times New Roman" w:eastAsia="Calibri" w:hAnsi="Times New Roman" w:cs="Times New Roman"/>
          <w:lang w:val="en-US"/>
        </w:rPr>
        <w:t>, 6076-6085.</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Clarke, S.R., Brummell, K.J., Horsburgh, M.J., McDowell, P.W., Mohamad, S.A.S., Stapleton, M.R., Acevedo, J., Read, R.C., Day, N.P.J., Peacock, S.J., Mond, J.J., Kokai-Kun, J.F., Foster, S.J., 2006.</w:t>
      </w:r>
      <w:r w:rsidRPr="002C66A9">
        <w:rPr>
          <w:rFonts w:ascii="Times New Roman" w:hAnsi="Times New Roman" w:cs="Times New Roman"/>
        </w:rPr>
        <w:t xml:space="preserve"> </w:t>
      </w:r>
      <w:proofErr w:type="gramStart"/>
      <w:r w:rsidRPr="002C66A9">
        <w:rPr>
          <w:rFonts w:ascii="Times New Roman" w:hAnsi="Times New Roman" w:cs="Times New Roman"/>
        </w:rPr>
        <w:t xml:space="preserve">Identification of in vivo-expressed antigens of </w:t>
      </w:r>
      <w:r w:rsidRPr="002C66A9">
        <w:rPr>
          <w:rFonts w:ascii="Times New Roman" w:hAnsi="Times New Roman" w:cs="Times New Roman"/>
          <w:i/>
        </w:rPr>
        <w:t>Staphylococcus aureus</w:t>
      </w:r>
      <w:r w:rsidRPr="002C66A9">
        <w:rPr>
          <w:rFonts w:ascii="Times New Roman" w:hAnsi="Times New Roman" w:cs="Times New Roman"/>
        </w:rPr>
        <w:t xml:space="preserve"> and their use in vaccinations for protection against nasal carriage.</w:t>
      </w:r>
      <w:proofErr w:type="gramEnd"/>
      <w:r w:rsidRPr="002C66A9">
        <w:rPr>
          <w:rFonts w:ascii="Times New Roman" w:hAnsi="Times New Roman" w:cs="Times New Roman"/>
        </w:rPr>
        <w:t xml:space="preserve"> </w:t>
      </w:r>
      <w:r w:rsidRPr="002C66A9">
        <w:rPr>
          <w:rFonts w:ascii="Times New Roman" w:hAnsi="Times New Roman" w:cs="Times New Roman"/>
          <w:i/>
        </w:rPr>
        <w:t xml:space="preserve">J. Infect. Dis. </w:t>
      </w:r>
      <w:r w:rsidRPr="002C66A9">
        <w:rPr>
          <w:rFonts w:ascii="Times New Roman" w:hAnsi="Times New Roman" w:cs="Times New Roman"/>
        </w:rPr>
        <w:t>193, 1098–1108.</w:t>
      </w:r>
    </w:p>
    <w:p w:rsidR="009831BC" w:rsidRPr="002C66A9" w:rsidRDefault="009831BC" w:rsidP="009831BC">
      <w:pPr>
        <w:pStyle w:val="Bibliography"/>
        <w:spacing w:after="100"/>
        <w:ind w:left="284" w:hanging="284"/>
        <w:rPr>
          <w:rFonts w:ascii="Times New Roman" w:hAnsi="Times New Roman" w:cs="Times New Roman"/>
        </w:rPr>
      </w:pPr>
      <w:r w:rsidRPr="002C66A9">
        <w:rPr>
          <w:rFonts w:ascii="Times New Roman" w:hAnsi="Times New Roman" w:cs="Times New Roman"/>
          <w:b/>
        </w:rPr>
        <w:t>Cole, R.M., 1965.</w:t>
      </w:r>
      <w:r w:rsidRPr="002C66A9">
        <w:rPr>
          <w:rFonts w:ascii="Times New Roman" w:hAnsi="Times New Roman" w:cs="Times New Roman"/>
        </w:rPr>
        <w:t xml:space="preserve"> </w:t>
      </w:r>
      <w:proofErr w:type="gramStart"/>
      <w:r w:rsidRPr="002C66A9">
        <w:rPr>
          <w:rFonts w:ascii="Times New Roman" w:hAnsi="Times New Roman" w:cs="Times New Roman"/>
        </w:rPr>
        <w:t>Symposium on the fine structure and replication of bacteria and their parts.</w:t>
      </w:r>
      <w:proofErr w:type="gramEnd"/>
      <w:r w:rsidRPr="002C66A9">
        <w:rPr>
          <w:rFonts w:ascii="Times New Roman" w:hAnsi="Times New Roman" w:cs="Times New Roman"/>
        </w:rPr>
        <w:t xml:space="preserve"> 3. Bacterial cell-wall replication followed by immunofluorescence. </w:t>
      </w:r>
      <w:r w:rsidRPr="002C66A9">
        <w:rPr>
          <w:rFonts w:ascii="Times New Roman" w:hAnsi="Times New Roman" w:cs="Times New Roman"/>
          <w:i/>
        </w:rPr>
        <w:t>Bacteriol Rev</w:t>
      </w:r>
      <w:r w:rsidRPr="002C66A9">
        <w:rPr>
          <w:rFonts w:ascii="Times New Roman" w:hAnsi="Times New Roman" w:cs="Times New Roman"/>
        </w:rPr>
        <w:t>. 29, 326–344.</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Cooper, E.L., García-Lara, J., Foster, S.J., 2009.</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 xml:space="preserve">YsxC, an essential protein in </w:t>
      </w:r>
      <w:r w:rsidRPr="002C66A9">
        <w:rPr>
          <w:rFonts w:ascii="Times New Roman" w:hAnsi="Times New Roman" w:cs="Times New Roman"/>
          <w:i/>
        </w:rPr>
        <w:t>Staphylococcus aureus</w:t>
      </w:r>
      <w:r w:rsidRPr="002C66A9">
        <w:rPr>
          <w:rFonts w:ascii="Times New Roman" w:hAnsi="Times New Roman" w:cs="Times New Roman"/>
        </w:rPr>
        <w:t xml:space="preserve"> crucial for ribosome assembly/stability.</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BMC Microbiol</w:t>
      </w:r>
      <w:r w:rsidRPr="002C66A9">
        <w:rPr>
          <w:rFonts w:ascii="Times New Roman" w:hAnsi="Times New Roman" w:cs="Times New Roman"/>
        </w:rPr>
        <w:t>, 9, 266.</w:t>
      </w:r>
      <w:proofErr w:type="gramEnd"/>
    </w:p>
    <w:p w:rsidR="009831BC" w:rsidRPr="002C66A9" w:rsidRDefault="009831BC" w:rsidP="009831BC">
      <w:pPr>
        <w:pStyle w:val="Bibliography"/>
        <w:spacing w:after="100"/>
        <w:ind w:left="284" w:hanging="284"/>
        <w:rPr>
          <w:rFonts w:ascii="Times New Roman" w:hAnsi="Times New Roman" w:cs="Times New Roman"/>
        </w:rPr>
      </w:pPr>
      <w:r w:rsidRPr="002C66A9">
        <w:rPr>
          <w:rFonts w:ascii="Times New Roman" w:hAnsi="Times New Roman" w:cs="Times New Roman"/>
          <w:b/>
        </w:rPr>
        <w:t>Courvalin, P., 2006.</w:t>
      </w:r>
      <w:r w:rsidRPr="002C66A9">
        <w:rPr>
          <w:rFonts w:ascii="Times New Roman" w:hAnsi="Times New Roman" w:cs="Times New Roman"/>
        </w:rPr>
        <w:t xml:space="preserve"> </w:t>
      </w:r>
      <w:proofErr w:type="gramStart"/>
      <w:r w:rsidRPr="002C66A9">
        <w:rPr>
          <w:rFonts w:ascii="Times New Roman" w:hAnsi="Times New Roman" w:cs="Times New Roman"/>
        </w:rPr>
        <w:t>Vancomycin resistance in Gram-positive cocci.</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Clin.</w:t>
      </w:r>
      <w:proofErr w:type="gramEnd"/>
      <w:r w:rsidRPr="002C66A9">
        <w:rPr>
          <w:rFonts w:ascii="Times New Roman" w:hAnsi="Times New Roman" w:cs="Times New Roman"/>
          <w:i/>
        </w:rPr>
        <w:t xml:space="preserve"> Infect. </w:t>
      </w:r>
      <w:proofErr w:type="gramStart"/>
      <w:r w:rsidRPr="002C66A9">
        <w:rPr>
          <w:rFonts w:ascii="Times New Roman" w:hAnsi="Times New Roman" w:cs="Times New Roman"/>
          <w:i/>
        </w:rPr>
        <w:t>Dis.</w:t>
      </w:r>
      <w:r w:rsidRPr="002C66A9">
        <w:rPr>
          <w:rFonts w:ascii="Times New Roman" w:hAnsi="Times New Roman" w:cs="Times New Roman"/>
        </w:rPr>
        <w:t xml:space="preserve"> 42, S25–34.</w:t>
      </w:r>
      <w:proofErr w:type="gramEnd"/>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D’Elia, M.A., Millar, K.E., Beveridge, T.J., Brown, E.D., 2006a.</w:t>
      </w:r>
      <w:r w:rsidRPr="002C66A9">
        <w:rPr>
          <w:rFonts w:ascii="Times New Roman" w:hAnsi="Times New Roman" w:cs="Times New Roman"/>
        </w:rPr>
        <w:t xml:space="preserve"> Wall teichoic acid polymers are dispensable for cell viability in </w:t>
      </w:r>
      <w:r w:rsidRPr="002C66A9">
        <w:rPr>
          <w:rFonts w:ascii="Times New Roman" w:hAnsi="Times New Roman" w:cs="Times New Roman"/>
          <w:i/>
        </w:rPr>
        <w:t>Bacillus subtilis</w:t>
      </w:r>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188, 8313–8316.</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D’Elia, M.A., Pereira, M.P., Chung, Y.S., Zhao, W., Chau, A., Kenney, T.J., Sulavik, M.C., Black, T.A., Brown, E.D., 2006b.</w:t>
      </w:r>
      <w:r w:rsidRPr="002C66A9">
        <w:rPr>
          <w:rFonts w:ascii="Times New Roman" w:hAnsi="Times New Roman" w:cs="Times New Roman"/>
        </w:rPr>
        <w:t xml:space="preserve"> Lesions in teichoic acid biosynthesis in </w:t>
      </w:r>
      <w:r w:rsidRPr="002C66A9">
        <w:rPr>
          <w:rFonts w:ascii="Times New Roman" w:hAnsi="Times New Roman" w:cs="Times New Roman"/>
          <w:i/>
        </w:rPr>
        <w:t>Staphylococcus aureus</w:t>
      </w:r>
      <w:r w:rsidRPr="002C66A9">
        <w:rPr>
          <w:rFonts w:ascii="Times New Roman" w:hAnsi="Times New Roman" w:cs="Times New Roman"/>
        </w:rPr>
        <w:t xml:space="preserve"> lead to a lethal gain of function in the otherwise dispensable pathway. </w:t>
      </w:r>
      <w:r w:rsidRPr="002C66A9">
        <w:rPr>
          <w:rFonts w:ascii="Times New Roman" w:hAnsi="Times New Roman" w:cs="Times New Roman"/>
          <w:i/>
        </w:rPr>
        <w:t>J. Bacteriol</w:t>
      </w:r>
      <w:r w:rsidRPr="002C66A9">
        <w:rPr>
          <w:rFonts w:ascii="Times New Roman" w:hAnsi="Times New Roman" w:cs="Times New Roman"/>
        </w:rPr>
        <w:t>. 188, 4183–4189.</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Daniel, R.A., Errington, J., 2003.</w:t>
      </w:r>
      <w:r w:rsidRPr="002C66A9">
        <w:rPr>
          <w:rFonts w:ascii="Times New Roman" w:hAnsi="Times New Roman" w:cs="Times New Roman"/>
        </w:rPr>
        <w:t xml:space="preserve"> Control of cell morphogenesis in bacteria: two distinct ways to make a rod-shaped cell.</w:t>
      </w:r>
      <w:r w:rsidRPr="002C66A9">
        <w:rPr>
          <w:rFonts w:ascii="Times New Roman" w:hAnsi="Times New Roman" w:cs="Times New Roman"/>
          <w:i/>
        </w:rPr>
        <w:t xml:space="preserve"> </w:t>
      </w:r>
      <w:proofErr w:type="gramStart"/>
      <w:r w:rsidRPr="002C66A9">
        <w:rPr>
          <w:rFonts w:ascii="Times New Roman" w:hAnsi="Times New Roman" w:cs="Times New Roman"/>
          <w:i/>
        </w:rPr>
        <w:t>Cell</w:t>
      </w:r>
      <w:r w:rsidRPr="002C66A9">
        <w:rPr>
          <w:rFonts w:ascii="Times New Roman" w:hAnsi="Times New Roman" w:cs="Times New Roman"/>
        </w:rPr>
        <w:t>.</w:t>
      </w:r>
      <w:proofErr w:type="gramEnd"/>
      <w:r w:rsidRPr="002C66A9">
        <w:rPr>
          <w:rFonts w:ascii="Times New Roman" w:hAnsi="Times New Roman" w:cs="Times New Roman"/>
        </w:rPr>
        <w:t xml:space="preserve"> 113, 767–776.</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de</w:t>
      </w:r>
      <w:proofErr w:type="gramEnd"/>
      <w:r w:rsidRPr="002C66A9">
        <w:rPr>
          <w:rFonts w:ascii="Times New Roman" w:hAnsi="Times New Roman" w:cs="Times New Roman"/>
          <w:b/>
        </w:rPr>
        <w:t xml:space="preserve"> Jonge, B.L., Chang, Y.S., Gage, D., Tomasz, A., 1992.</w:t>
      </w:r>
      <w:r w:rsidRPr="002C66A9">
        <w:rPr>
          <w:rFonts w:ascii="Times New Roman" w:hAnsi="Times New Roman" w:cs="Times New Roman"/>
        </w:rPr>
        <w:t xml:space="preserve"> </w:t>
      </w:r>
      <w:proofErr w:type="gramStart"/>
      <w:r w:rsidRPr="002C66A9">
        <w:rPr>
          <w:rFonts w:ascii="Times New Roman" w:hAnsi="Times New Roman" w:cs="Times New Roman"/>
        </w:rPr>
        <w:t>Peptidoglycan composition in heterogeneous Tn551 mutants of a methicillin-resistant</w:t>
      </w:r>
      <w:r w:rsidRPr="002C66A9">
        <w:rPr>
          <w:rFonts w:ascii="Times New Roman" w:hAnsi="Times New Roman" w:cs="Times New Roman"/>
          <w:i/>
        </w:rPr>
        <w:t xml:space="preserve"> Staphylococcus aureus</w:t>
      </w:r>
      <w:r w:rsidRPr="002C66A9">
        <w:rPr>
          <w:rFonts w:ascii="Times New Roman" w:hAnsi="Times New Roman" w:cs="Times New Roman"/>
        </w:rPr>
        <w:t xml:space="preserve"> strain.</w:t>
      </w:r>
      <w:proofErr w:type="gramEnd"/>
      <w:r w:rsidRPr="002C66A9">
        <w:rPr>
          <w:rFonts w:ascii="Times New Roman" w:hAnsi="Times New Roman" w:cs="Times New Roman"/>
        </w:rPr>
        <w:t xml:space="preserve"> </w:t>
      </w:r>
      <w:r w:rsidRPr="002C66A9">
        <w:rPr>
          <w:rFonts w:ascii="Times New Roman" w:hAnsi="Times New Roman" w:cs="Times New Roman"/>
          <w:i/>
        </w:rPr>
        <w:t>J. Biol. Chem</w:t>
      </w:r>
      <w:r w:rsidRPr="002C66A9">
        <w:rPr>
          <w:rFonts w:ascii="Times New Roman" w:hAnsi="Times New Roman" w:cs="Times New Roman"/>
        </w:rPr>
        <w:t>. 267, 11255–11259.</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De Las Rivas, B., García, J.L., López, R., García, P., 2002. </w:t>
      </w:r>
      <w:r w:rsidRPr="002C66A9">
        <w:rPr>
          <w:rFonts w:ascii="Times New Roman" w:hAnsi="Times New Roman" w:cs="Times New Roman"/>
        </w:rPr>
        <w:t>Purification and polar localization of pneumococcal LytB, a putative endo-beta-</w:t>
      </w:r>
      <w:r w:rsidRPr="002C66A9">
        <w:rPr>
          <w:rFonts w:ascii="Times New Roman" w:hAnsi="Times New Roman" w:cs="Times New Roman"/>
          <w:i/>
        </w:rPr>
        <w:t>N</w:t>
      </w:r>
      <w:r w:rsidRPr="002C66A9">
        <w:rPr>
          <w:rFonts w:ascii="Times New Roman" w:hAnsi="Times New Roman" w:cs="Times New Roman"/>
        </w:rPr>
        <w:t>-acetylglucosaminidase: the chain-dispersing murein hydrolase.</w:t>
      </w:r>
      <w:r w:rsidRPr="002C66A9">
        <w:rPr>
          <w:rFonts w:ascii="Times New Roman" w:hAnsi="Times New Roman" w:cs="Times New Roman"/>
          <w:i/>
        </w:rPr>
        <w:t xml:space="preserve"> J. Bacteriol</w:t>
      </w:r>
      <w:r w:rsidRPr="002C66A9">
        <w:rPr>
          <w:rFonts w:ascii="Times New Roman" w:hAnsi="Times New Roman" w:cs="Times New Roman"/>
        </w:rPr>
        <w:t>. 184, 4988–5000.</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de</w:t>
      </w:r>
      <w:proofErr w:type="gramEnd"/>
      <w:r w:rsidRPr="002C66A9">
        <w:rPr>
          <w:rFonts w:ascii="Times New Roman" w:hAnsi="Times New Roman" w:cs="Times New Roman"/>
          <w:b/>
        </w:rPr>
        <w:t xml:space="preserve"> Pedro, M.A., Quintela, J.C., Höltje, J.V., Schwarz, H., 1997.</w:t>
      </w:r>
      <w:r w:rsidRPr="002C66A9">
        <w:rPr>
          <w:rFonts w:ascii="Times New Roman" w:hAnsi="Times New Roman" w:cs="Times New Roman"/>
        </w:rPr>
        <w:t xml:space="preserve"> </w:t>
      </w:r>
      <w:proofErr w:type="gramStart"/>
      <w:r w:rsidRPr="002C66A9">
        <w:rPr>
          <w:rFonts w:ascii="Times New Roman" w:hAnsi="Times New Roman" w:cs="Times New Roman"/>
        </w:rPr>
        <w:t xml:space="preserve">Murein segregation in </w:t>
      </w:r>
      <w:r w:rsidRPr="002C66A9">
        <w:rPr>
          <w:rFonts w:ascii="Times New Roman" w:hAnsi="Times New Roman" w:cs="Times New Roman"/>
          <w:i/>
        </w:rPr>
        <w:t>Escherichia coli</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179, 2823–2834.</w:t>
      </w:r>
    </w:p>
    <w:p w:rsidR="009831BC" w:rsidRPr="002C66A9" w:rsidRDefault="009831BC" w:rsidP="009831BC">
      <w:pPr>
        <w:pStyle w:val="Bibliography"/>
        <w:spacing w:after="100"/>
        <w:ind w:left="284" w:hanging="284"/>
        <w:jc w:val="both"/>
        <w:rPr>
          <w:rFonts w:ascii="Times New Roman" w:hAnsi="Times New Roman" w:cs="Times New Roman"/>
        </w:rPr>
      </w:pPr>
      <w:r w:rsidRPr="009831BC">
        <w:rPr>
          <w:rFonts w:ascii="Times New Roman" w:hAnsi="Times New Roman" w:cs="Times New Roman"/>
          <w:b/>
          <w:lang w:val="de-DE"/>
        </w:rPr>
        <w:lastRenderedPageBreak/>
        <w:t>DeDent, A., Bae, T., Missiakas, D.M., Schneewind, O., 2008.</w:t>
      </w:r>
      <w:r w:rsidRPr="009831BC">
        <w:rPr>
          <w:rFonts w:ascii="Times New Roman" w:hAnsi="Times New Roman" w:cs="Times New Roman"/>
          <w:lang w:val="de-DE"/>
        </w:rPr>
        <w:t xml:space="preserve"> </w:t>
      </w:r>
      <w:r w:rsidRPr="002C66A9">
        <w:rPr>
          <w:rFonts w:ascii="Times New Roman" w:hAnsi="Times New Roman" w:cs="Times New Roman"/>
        </w:rPr>
        <w:t xml:space="preserve">Signal peptides direct surface proteins to two distinct envelope locations of </w:t>
      </w:r>
      <w:r w:rsidRPr="002C66A9">
        <w:rPr>
          <w:rFonts w:ascii="Times New Roman" w:hAnsi="Times New Roman" w:cs="Times New Roman"/>
          <w:i/>
        </w:rPr>
        <w:t>Staphylococcus aureus</w:t>
      </w:r>
      <w:r w:rsidRPr="002C66A9">
        <w:rPr>
          <w:rFonts w:ascii="Times New Roman" w:hAnsi="Times New Roman" w:cs="Times New Roman"/>
        </w:rPr>
        <w:t xml:space="preserve">. </w:t>
      </w:r>
      <w:proofErr w:type="gramStart"/>
      <w:r w:rsidRPr="002C66A9">
        <w:rPr>
          <w:rFonts w:ascii="Times New Roman" w:hAnsi="Times New Roman" w:cs="Times New Roman"/>
          <w:i/>
        </w:rPr>
        <w:t>EMBO J</w:t>
      </w:r>
      <w:r w:rsidRPr="002C66A9">
        <w:rPr>
          <w:rFonts w:ascii="Times New Roman" w:hAnsi="Times New Roman" w:cs="Times New Roman"/>
        </w:rPr>
        <w:t>. 27, 2656–2668.</w:t>
      </w:r>
      <w:proofErr w:type="gramEnd"/>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Demchick, P., Koch, A.L., 1996.</w:t>
      </w:r>
      <w:r w:rsidRPr="002C66A9">
        <w:rPr>
          <w:rFonts w:ascii="Times New Roman" w:hAnsi="Times New Roman" w:cs="Times New Roman"/>
        </w:rPr>
        <w:t xml:space="preserve"> </w:t>
      </w:r>
      <w:proofErr w:type="gramStart"/>
      <w:r w:rsidRPr="002C66A9">
        <w:rPr>
          <w:rFonts w:ascii="Times New Roman" w:hAnsi="Times New Roman" w:cs="Times New Roman"/>
        </w:rPr>
        <w:t xml:space="preserve">The permeability of the wall fabric of </w:t>
      </w:r>
      <w:r w:rsidRPr="002C66A9">
        <w:rPr>
          <w:rFonts w:ascii="Times New Roman" w:hAnsi="Times New Roman" w:cs="Times New Roman"/>
          <w:i/>
        </w:rPr>
        <w:t>Escherichia coli</w:t>
      </w:r>
      <w:r w:rsidRPr="002C66A9">
        <w:rPr>
          <w:rFonts w:ascii="Times New Roman" w:hAnsi="Times New Roman" w:cs="Times New Roman"/>
        </w:rPr>
        <w:t xml:space="preserve"> and </w:t>
      </w:r>
      <w:r w:rsidRPr="002C66A9">
        <w:rPr>
          <w:rFonts w:ascii="Times New Roman" w:hAnsi="Times New Roman" w:cs="Times New Roman"/>
          <w:i/>
        </w:rPr>
        <w:t>Bacillus subtilis</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178, 768–773.</w:t>
      </w:r>
    </w:p>
    <w:p w:rsidR="009831BC" w:rsidRPr="002C66A9" w:rsidRDefault="009831BC" w:rsidP="009831BC">
      <w:pPr>
        <w:pStyle w:val="Bibliography"/>
        <w:spacing w:after="100"/>
        <w:ind w:left="284" w:hanging="284"/>
        <w:jc w:val="both"/>
        <w:rPr>
          <w:rFonts w:ascii="Times New Roman" w:hAnsi="Times New Roman" w:cs="Times New Roman"/>
          <w:lang w:val="de-DE"/>
        </w:rPr>
      </w:pPr>
      <w:proofErr w:type="gramStart"/>
      <w:r w:rsidRPr="002C66A9">
        <w:rPr>
          <w:rFonts w:ascii="Times New Roman" w:hAnsi="Times New Roman" w:cs="Times New Roman"/>
          <w:b/>
        </w:rPr>
        <w:t>Dempwolff, F., Reimold, C., Reth, M., Graumann, P.L., 2011.</w:t>
      </w:r>
      <w:proofErr w:type="gramEnd"/>
      <w:r w:rsidRPr="002C66A9">
        <w:rPr>
          <w:rFonts w:ascii="Times New Roman" w:hAnsi="Times New Roman" w:cs="Times New Roman"/>
        </w:rPr>
        <w:t xml:space="preserve"> </w:t>
      </w:r>
      <w:r w:rsidRPr="002C66A9">
        <w:rPr>
          <w:rFonts w:ascii="Times New Roman" w:hAnsi="Times New Roman" w:cs="Times New Roman"/>
          <w:i/>
        </w:rPr>
        <w:t>Bacillus subtilis</w:t>
      </w:r>
      <w:r w:rsidRPr="002C66A9">
        <w:rPr>
          <w:rFonts w:ascii="Times New Roman" w:hAnsi="Times New Roman" w:cs="Times New Roman"/>
        </w:rPr>
        <w:t xml:space="preserve"> MreB orthologs self-organize into filamentous structures underneath the cell membrane in a heterologous cell system. </w:t>
      </w:r>
      <w:r w:rsidRPr="002C66A9">
        <w:rPr>
          <w:rFonts w:ascii="Times New Roman" w:hAnsi="Times New Roman" w:cs="Times New Roman"/>
          <w:i/>
          <w:lang w:val="de-DE"/>
        </w:rPr>
        <w:t>PLoS One</w:t>
      </w:r>
      <w:r w:rsidRPr="002C66A9">
        <w:rPr>
          <w:rFonts w:ascii="Times New Roman" w:hAnsi="Times New Roman" w:cs="Times New Roman"/>
          <w:lang w:val="de-DE"/>
        </w:rPr>
        <w:t>, 6, e27035.</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lang w:val="de-DE"/>
        </w:rPr>
        <w:t>den Blaauwen, T., de Pedro, M.A., Nguyen-Distèche, M., Ayala, J.A., 2008.</w:t>
      </w:r>
      <w:r w:rsidRPr="002C66A9">
        <w:rPr>
          <w:rFonts w:ascii="Times New Roman" w:hAnsi="Times New Roman" w:cs="Times New Roman"/>
          <w:lang w:val="de-DE"/>
        </w:rPr>
        <w:t xml:space="preserve"> </w:t>
      </w:r>
      <w:proofErr w:type="gramStart"/>
      <w:r w:rsidRPr="002C66A9">
        <w:rPr>
          <w:rFonts w:ascii="Times New Roman" w:hAnsi="Times New Roman" w:cs="Times New Roman"/>
        </w:rPr>
        <w:t>Morphogenesis of rod-shaped sacculi.</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FEMS Microbiol.</w:t>
      </w:r>
      <w:proofErr w:type="gramEnd"/>
      <w:r w:rsidRPr="002C66A9">
        <w:rPr>
          <w:rFonts w:ascii="Times New Roman" w:hAnsi="Times New Roman" w:cs="Times New Roman"/>
          <w:i/>
        </w:rPr>
        <w:t xml:space="preserve"> Rev</w:t>
      </w:r>
      <w:r w:rsidRPr="002C66A9">
        <w:rPr>
          <w:rFonts w:ascii="Times New Roman" w:hAnsi="Times New Roman" w:cs="Times New Roman"/>
        </w:rPr>
        <w:t>. 32, 321–344.</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Denome, S.A., Elf, P.K., Henderson, T.A., Nelson, D.E., Young, K.D., 1999.</w:t>
      </w:r>
      <w:r w:rsidRPr="002C66A9">
        <w:rPr>
          <w:rFonts w:ascii="Times New Roman" w:hAnsi="Times New Roman" w:cs="Times New Roman"/>
        </w:rPr>
        <w:t xml:space="preserve"> </w:t>
      </w:r>
      <w:r w:rsidRPr="002C66A9">
        <w:rPr>
          <w:rFonts w:ascii="Times New Roman" w:hAnsi="Times New Roman" w:cs="Times New Roman"/>
          <w:i/>
        </w:rPr>
        <w:t>Escherichia coli</w:t>
      </w:r>
      <w:r w:rsidRPr="002C66A9">
        <w:rPr>
          <w:rFonts w:ascii="Times New Roman" w:hAnsi="Times New Roman" w:cs="Times New Roman"/>
        </w:rPr>
        <w:t xml:space="preserve"> mutants lacking all possible combinations of eight penicillin binding proteins: viability, characteristics, and implications for peptidoglycan synthesis. </w:t>
      </w:r>
      <w:r w:rsidRPr="002C66A9">
        <w:rPr>
          <w:rFonts w:ascii="Times New Roman" w:hAnsi="Times New Roman" w:cs="Times New Roman"/>
          <w:i/>
        </w:rPr>
        <w:t>J. Bacteriol</w:t>
      </w:r>
      <w:r w:rsidRPr="002C66A9">
        <w:rPr>
          <w:rFonts w:ascii="Times New Roman" w:hAnsi="Times New Roman" w:cs="Times New Roman"/>
        </w:rPr>
        <w:t>. 181, 3981–3993.</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Desvaux, M., Dumas, E., Chafsey, I., Hébraud, M., 2006.</w:t>
      </w:r>
      <w:proofErr w:type="gramEnd"/>
      <w:r w:rsidRPr="002C66A9">
        <w:rPr>
          <w:rFonts w:ascii="Times New Roman" w:hAnsi="Times New Roman" w:cs="Times New Roman"/>
        </w:rPr>
        <w:t xml:space="preserve"> Protein cell surface display in Gram-positive bacteria: from single protein to macromolecular protein structure. </w:t>
      </w:r>
      <w:proofErr w:type="gramStart"/>
      <w:r w:rsidRPr="002C66A9">
        <w:rPr>
          <w:rFonts w:ascii="Times New Roman" w:hAnsi="Times New Roman" w:cs="Times New Roman"/>
          <w:i/>
        </w:rPr>
        <w:t>FEMS Microbiol Lett</w:t>
      </w:r>
      <w:r w:rsidRPr="002C66A9">
        <w:rPr>
          <w:rFonts w:ascii="Times New Roman" w:hAnsi="Times New Roman" w:cs="Times New Roman"/>
        </w:rPr>
        <w:t>.</w:t>
      </w:r>
      <w:proofErr w:type="gramEnd"/>
      <w:r w:rsidRPr="002C66A9">
        <w:rPr>
          <w:rFonts w:ascii="Times New Roman" w:hAnsi="Times New Roman" w:cs="Times New Roman"/>
        </w:rPr>
        <w:t xml:space="preserve"> 256, 1–15.</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Dirksen, A., Dawson, P.E., 2008. </w:t>
      </w:r>
      <w:proofErr w:type="gramStart"/>
      <w:r w:rsidRPr="002C66A9">
        <w:rPr>
          <w:rFonts w:ascii="Times New Roman" w:hAnsi="Times New Roman" w:cs="Times New Roman"/>
        </w:rPr>
        <w:t>Rapid oxime and hydrazone ligations with aromatic aldehydes for biomolecular labeling.</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Bioconjug.</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Chem</w:t>
      </w:r>
      <w:r w:rsidRPr="002C66A9">
        <w:rPr>
          <w:rFonts w:ascii="Times New Roman" w:hAnsi="Times New Roman" w:cs="Times New Roman"/>
        </w:rPr>
        <w:t>. 19, 2543–2548.</w:t>
      </w:r>
      <w:proofErr w:type="gramEnd"/>
    </w:p>
    <w:p w:rsidR="009831BC" w:rsidRPr="000B02E4" w:rsidRDefault="009831BC" w:rsidP="009831BC">
      <w:pPr>
        <w:pStyle w:val="Bibliography"/>
        <w:spacing w:after="100"/>
        <w:ind w:left="284" w:hanging="284"/>
        <w:rPr>
          <w:rFonts w:ascii="Times New Roman" w:hAnsi="Times New Roman" w:cs="Times New Roman"/>
          <w:lang w:val="de-DE"/>
        </w:rPr>
      </w:pPr>
      <w:r w:rsidRPr="009831BC">
        <w:rPr>
          <w:rFonts w:ascii="Times New Roman" w:hAnsi="Times New Roman" w:cs="Times New Roman"/>
          <w:b/>
          <w:lang w:val="de-DE"/>
        </w:rPr>
        <w:t>Dmitriev, B., Toukach, F., Ehlers, S., 2005.</w:t>
      </w:r>
      <w:r w:rsidRPr="009831BC">
        <w:rPr>
          <w:rFonts w:ascii="Times New Roman" w:hAnsi="Times New Roman" w:cs="Times New Roman"/>
          <w:lang w:val="de-DE"/>
        </w:rPr>
        <w:t xml:space="preserve"> </w:t>
      </w:r>
      <w:proofErr w:type="gramStart"/>
      <w:r w:rsidRPr="002C66A9">
        <w:rPr>
          <w:rFonts w:ascii="Times New Roman" w:hAnsi="Times New Roman" w:cs="Times New Roman"/>
        </w:rPr>
        <w:t>Towards a comprehensive view of the bacterial cell wall.</w:t>
      </w:r>
      <w:proofErr w:type="gramEnd"/>
      <w:r w:rsidRPr="002C66A9">
        <w:rPr>
          <w:rFonts w:ascii="Times New Roman" w:hAnsi="Times New Roman" w:cs="Times New Roman"/>
        </w:rPr>
        <w:t xml:space="preserve"> </w:t>
      </w:r>
      <w:r w:rsidRPr="000B02E4">
        <w:rPr>
          <w:rFonts w:ascii="Times New Roman" w:hAnsi="Times New Roman" w:cs="Times New Roman"/>
          <w:i/>
          <w:lang w:val="de-DE"/>
        </w:rPr>
        <w:t>Trends Microbiol.</w:t>
      </w:r>
      <w:r w:rsidRPr="000B02E4">
        <w:rPr>
          <w:rFonts w:ascii="Times New Roman" w:hAnsi="Times New Roman" w:cs="Times New Roman"/>
          <w:lang w:val="de-DE"/>
        </w:rPr>
        <w:t xml:space="preserve"> 13, 569–574.</w:t>
      </w:r>
    </w:p>
    <w:p w:rsidR="009831BC" w:rsidRPr="002C66A9" w:rsidRDefault="009831BC" w:rsidP="009831BC">
      <w:pPr>
        <w:pStyle w:val="Bibliography"/>
        <w:spacing w:after="100"/>
        <w:ind w:left="284" w:hanging="284"/>
        <w:jc w:val="both"/>
        <w:rPr>
          <w:rFonts w:ascii="Times New Roman" w:hAnsi="Times New Roman" w:cs="Times New Roman"/>
          <w:lang w:val="de-DE"/>
        </w:rPr>
      </w:pPr>
      <w:r w:rsidRPr="002C66A9">
        <w:rPr>
          <w:rFonts w:ascii="Times New Roman" w:hAnsi="Times New Roman" w:cs="Times New Roman"/>
          <w:b/>
          <w:lang w:val="de-DE"/>
        </w:rPr>
        <w:t>Dmitriev, B.A., Toukach, F.V., Holst, O., Rietschel, E.T., Ehlers, S., 2004.</w:t>
      </w:r>
      <w:r w:rsidRPr="002C66A9">
        <w:rPr>
          <w:rFonts w:ascii="Times New Roman" w:hAnsi="Times New Roman" w:cs="Times New Roman"/>
          <w:lang w:val="de-DE"/>
        </w:rPr>
        <w:t xml:space="preserve"> </w:t>
      </w:r>
      <w:proofErr w:type="gramStart"/>
      <w:r w:rsidRPr="002C66A9">
        <w:rPr>
          <w:rFonts w:ascii="Times New Roman" w:hAnsi="Times New Roman" w:cs="Times New Roman"/>
        </w:rPr>
        <w:t xml:space="preserve">Tertiary structure of </w:t>
      </w:r>
      <w:r w:rsidRPr="002C66A9">
        <w:rPr>
          <w:rFonts w:ascii="Times New Roman" w:hAnsi="Times New Roman" w:cs="Times New Roman"/>
          <w:i/>
        </w:rPr>
        <w:t>Staphylococcus aureus</w:t>
      </w:r>
      <w:r w:rsidRPr="002C66A9">
        <w:rPr>
          <w:rFonts w:ascii="Times New Roman" w:hAnsi="Times New Roman" w:cs="Times New Roman"/>
        </w:rPr>
        <w:t xml:space="preserve"> cell wall murein.</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xml:space="preserve">. </w:t>
      </w:r>
      <w:r w:rsidRPr="002C66A9">
        <w:rPr>
          <w:rFonts w:ascii="Times New Roman" w:hAnsi="Times New Roman" w:cs="Times New Roman"/>
          <w:lang w:val="de-DE"/>
        </w:rPr>
        <w:t>186, 7141–7148.</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lang w:val="de-DE"/>
        </w:rPr>
        <w:t xml:space="preserve">Dmitriev, B.A., Toukach, F.V., Schaper, K.-J., Holst, O., Rietschel, E.T., Ehlers, S., 2003. </w:t>
      </w:r>
      <w:r w:rsidRPr="002C66A9">
        <w:rPr>
          <w:rFonts w:ascii="Times New Roman" w:hAnsi="Times New Roman" w:cs="Times New Roman"/>
        </w:rPr>
        <w:t xml:space="preserve">Tertiary structure of bacterial murein: the scaffold model. </w:t>
      </w:r>
      <w:r w:rsidRPr="002C66A9">
        <w:rPr>
          <w:rFonts w:ascii="Times New Roman" w:hAnsi="Times New Roman" w:cs="Times New Roman"/>
          <w:i/>
        </w:rPr>
        <w:t>J. Bacteriol</w:t>
      </w:r>
      <w:r w:rsidRPr="002C66A9">
        <w:rPr>
          <w:rFonts w:ascii="Times New Roman" w:hAnsi="Times New Roman" w:cs="Times New Roman"/>
        </w:rPr>
        <w:t>. 185, 3458–3468.</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Domenech, M., García, E., Moscoso, M., 2011.</w:t>
      </w:r>
      <w:proofErr w:type="gramEnd"/>
      <w:r w:rsidRPr="002C66A9">
        <w:rPr>
          <w:rFonts w:ascii="Times New Roman" w:hAnsi="Times New Roman" w:cs="Times New Roman"/>
          <w:b/>
        </w:rPr>
        <w:t xml:space="preserve"> </w:t>
      </w:r>
      <w:proofErr w:type="gramStart"/>
      <w:r w:rsidRPr="002C66A9">
        <w:rPr>
          <w:rFonts w:ascii="Times New Roman" w:hAnsi="Times New Roman" w:cs="Times New Roman"/>
        </w:rPr>
        <w:t xml:space="preserve">In vitro destruction of </w:t>
      </w:r>
      <w:r w:rsidRPr="002C66A9">
        <w:rPr>
          <w:rFonts w:ascii="Times New Roman" w:hAnsi="Times New Roman" w:cs="Times New Roman"/>
          <w:i/>
        </w:rPr>
        <w:t>Streptococcus pneumoniae</w:t>
      </w:r>
      <w:r w:rsidRPr="002C66A9">
        <w:rPr>
          <w:rFonts w:ascii="Times New Roman" w:hAnsi="Times New Roman" w:cs="Times New Roman"/>
        </w:rPr>
        <w:t xml:space="preserve"> biofilms with bacterial and phage peptidoglycan hydrolases.</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Antimicrob.</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Agents Chemother</w:t>
      </w:r>
      <w:r w:rsidRPr="002C66A9">
        <w:rPr>
          <w:rFonts w:ascii="Times New Roman" w:hAnsi="Times New Roman" w:cs="Times New Roman"/>
        </w:rPr>
        <w:t>.</w:t>
      </w:r>
      <w:proofErr w:type="gramEnd"/>
      <w:r w:rsidRPr="002C66A9">
        <w:rPr>
          <w:rFonts w:ascii="Times New Roman" w:hAnsi="Times New Roman" w:cs="Times New Roman"/>
        </w:rPr>
        <w:t xml:space="preserve"> 55, 4144–4148.</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Domínguez-Escobar, J., Chastanet, A., Crevenna, A.H., Fromion, V., Wedlich-Söldner, R., Carballido-López, R., 2011.</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Processive movement of MreB-associated cell wall biosynthetic complexes in bacteria.</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Science</w:t>
      </w:r>
      <w:r w:rsidRPr="002C66A9">
        <w:rPr>
          <w:rFonts w:ascii="Times New Roman" w:hAnsi="Times New Roman" w:cs="Times New Roman"/>
        </w:rPr>
        <w:t>.</w:t>
      </w:r>
      <w:proofErr w:type="gramEnd"/>
      <w:r w:rsidRPr="002C66A9">
        <w:rPr>
          <w:rFonts w:ascii="Times New Roman" w:hAnsi="Times New Roman" w:cs="Times New Roman"/>
        </w:rPr>
        <w:t xml:space="preserve"> 333, 225–228.</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Dorobantu, L.S., Gray, M.R., 2010. </w:t>
      </w:r>
      <w:proofErr w:type="gramStart"/>
      <w:r w:rsidRPr="002C66A9">
        <w:rPr>
          <w:rFonts w:ascii="Times New Roman" w:hAnsi="Times New Roman" w:cs="Times New Roman"/>
        </w:rPr>
        <w:t>Application of atomic force microscopy in bacterial research.</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Scanning</w:t>
      </w:r>
      <w:r w:rsidRPr="002C66A9">
        <w:rPr>
          <w:rFonts w:ascii="Times New Roman" w:hAnsi="Times New Roman" w:cs="Times New Roman"/>
        </w:rPr>
        <w:t>.</w:t>
      </w:r>
      <w:proofErr w:type="gramEnd"/>
      <w:r w:rsidRPr="002C66A9">
        <w:rPr>
          <w:rFonts w:ascii="Times New Roman" w:hAnsi="Times New Roman" w:cs="Times New Roman"/>
        </w:rPr>
        <w:t xml:space="preserve"> 32, 74–96.</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Dubrac, S., Bisicchia, P., Devine, K.M., Msadek, T., 2008.</w:t>
      </w:r>
      <w:r w:rsidRPr="002C66A9">
        <w:rPr>
          <w:rFonts w:ascii="Times New Roman" w:hAnsi="Times New Roman" w:cs="Times New Roman"/>
        </w:rPr>
        <w:t xml:space="preserve"> A matter of life and death: cell wall homeostasis and the WalKR (YycGF) essential signal transduction pathway. </w:t>
      </w:r>
      <w:r w:rsidRPr="002C66A9">
        <w:rPr>
          <w:rFonts w:ascii="Times New Roman" w:hAnsi="Times New Roman" w:cs="Times New Roman"/>
          <w:i/>
        </w:rPr>
        <w:t>Mol. Microbiol</w:t>
      </w:r>
      <w:r w:rsidRPr="002C66A9">
        <w:rPr>
          <w:rFonts w:ascii="Times New Roman" w:hAnsi="Times New Roman" w:cs="Times New Roman"/>
        </w:rPr>
        <w:t>. 70, 1307–1322.</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Dubrac, S., Boneca, I.G., Poupel, O., Msadek, T., 2007.</w:t>
      </w:r>
      <w:proofErr w:type="gramEnd"/>
      <w:r w:rsidRPr="002C66A9">
        <w:rPr>
          <w:rFonts w:ascii="Times New Roman" w:hAnsi="Times New Roman" w:cs="Times New Roman"/>
        </w:rPr>
        <w:t xml:space="preserve"> New insights into the WalK/WalR (YycG/YycF) essential signal transduction pathway reveal a major role in controlling cell wall metabolism and biofilm formation in </w:t>
      </w:r>
      <w:r w:rsidRPr="002C66A9">
        <w:rPr>
          <w:rFonts w:ascii="Times New Roman" w:hAnsi="Times New Roman" w:cs="Times New Roman"/>
          <w:i/>
        </w:rPr>
        <w:t>Staphylococcus aureus</w:t>
      </w:r>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189, 8257–8269.</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Dufrêne, Y.F., van der Wal, A., Norde, W., Rouxhet, P.G., 1997.</w:t>
      </w:r>
      <w:r w:rsidRPr="002C66A9">
        <w:rPr>
          <w:rFonts w:ascii="Times New Roman" w:hAnsi="Times New Roman" w:cs="Times New Roman"/>
        </w:rPr>
        <w:t xml:space="preserve"> X-ray photoelectron spectroscopy analysis of whole cells and isolated cell walls of Gram-positive bacteria: comparison with biochemical analysis. </w:t>
      </w:r>
      <w:r w:rsidRPr="002C66A9">
        <w:rPr>
          <w:rFonts w:ascii="Times New Roman" w:hAnsi="Times New Roman" w:cs="Times New Roman"/>
          <w:i/>
        </w:rPr>
        <w:t>J. Bacteriol</w:t>
      </w:r>
      <w:r w:rsidRPr="002C66A9">
        <w:rPr>
          <w:rFonts w:ascii="Times New Roman" w:hAnsi="Times New Roman" w:cs="Times New Roman"/>
        </w:rPr>
        <w:t>. 179, 1023–1028.</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Dupont, C., Clarke, A.J., 1991.</w:t>
      </w:r>
      <w:r w:rsidRPr="002C66A9">
        <w:rPr>
          <w:rFonts w:ascii="Times New Roman" w:hAnsi="Times New Roman" w:cs="Times New Roman"/>
        </w:rPr>
        <w:t xml:space="preserve"> </w:t>
      </w:r>
      <w:proofErr w:type="gramStart"/>
      <w:r w:rsidRPr="002C66A9">
        <w:rPr>
          <w:rFonts w:ascii="Times New Roman" w:hAnsi="Times New Roman" w:cs="Times New Roman"/>
        </w:rPr>
        <w:t xml:space="preserve">Dependence of lysozyme-catalysed solubilization of </w:t>
      </w:r>
      <w:r w:rsidRPr="002C66A9">
        <w:rPr>
          <w:rFonts w:ascii="Times New Roman" w:hAnsi="Times New Roman" w:cs="Times New Roman"/>
          <w:i/>
        </w:rPr>
        <w:t>Proteus mirabilis</w:t>
      </w:r>
      <w:r w:rsidRPr="002C66A9">
        <w:rPr>
          <w:rFonts w:ascii="Times New Roman" w:hAnsi="Times New Roman" w:cs="Times New Roman"/>
        </w:rPr>
        <w:t xml:space="preserve"> peptidoglycan on the extent of </w:t>
      </w:r>
      <w:r w:rsidRPr="002C66A9">
        <w:rPr>
          <w:rFonts w:ascii="Times New Roman" w:hAnsi="Times New Roman" w:cs="Times New Roman"/>
          <w:i/>
        </w:rPr>
        <w:t>O</w:t>
      </w:r>
      <w:r w:rsidRPr="002C66A9">
        <w:rPr>
          <w:rFonts w:ascii="Times New Roman" w:hAnsi="Times New Roman" w:cs="Times New Roman"/>
        </w:rPr>
        <w:t>-acetylation.</w:t>
      </w:r>
      <w:proofErr w:type="gramEnd"/>
      <w:r w:rsidRPr="002C66A9">
        <w:rPr>
          <w:rFonts w:ascii="Times New Roman" w:hAnsi="Times New Roman" w:cs="Times New Roman"/>
        </w:rPr>
        <w:t xml:space="preserve"> </w:t>
      </w:r>
      <w:r w:rsidRPr="002C66A9">
        <w:rPr>
          <w:rFonts w:ascii="Times New Roman" w:hAnsi="Times New Roman" w:cs="Times New Roman"/>
          <w:i/>
        </w:rPr>
        <w:t>Eur. J. Biochem.</w:t>
      </w:r>
      <w:r w:rsidRPr="002C66A9">
        <w:rPr>
          <w:rFonts w:ascii="Times New Roman" w:hAnsi="Times New Roman" w:cs="Times New Roman"/>
        </w:rPr>
        <w:t xml:space="preserve"> 195, 763–769.</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Dziarski, R., Gupta, D., 2005.</w:t>
      </w:r>
      <w:r w:rsidRPr="002C66A9">
        <w:rPr>
          <w:rFonts w:ascii="Times New Roman" w:hAnsi="Times New Roman" w:cs="Times New Roman"/>
        </w:rPr>
        <w:t xml:space="preserve"> </w:t>
      </w:r>
      <w:proofErr w:type="gramStart"/>
      <w:r w:rsidRPr="002C66A9">
        <w:rPr>
          <w:rFonts w:ascii="Times New Roman" w:hAnsi="Times New Roman" w:cs="Times New Roman"/>
        </w:rPr>
        <w:t>Peptidoglycan recognition in innate immunity.</w:t>
      </w:r>
      <w:proofErr w:type="gramEnd"/>
      <w:r w:rsidRPr="002C66A9">
        <w:rPr>
          <w:rFonts w:ascii="Times New Roman" w:hAnsi="Times New Roman" w:cs="Times New Roman"/>
        </w:rPr>
        <w:t xml:space="preserve"> </w:t>
      </w:r>
      <w:r w:rsidRPr="002C66A9">
        <w:rPr>
          <w:rFonts w:ascii="Times New Roman" w:hAnsi="Times New Roman" w:cs="Times New Roman"/>
          <w:i/>
        </w:rPr>
        <w:t>J. Endotoxin Res</w:t>
      </w:r>
      <w:r w:rsidRPr="002C66A9">
        <w:rPr>
          <w:rFonts w:ascii="Times New Roman" w:hAnsi="Times New Roman" w:cs="Times New Roman"/>
        </w:rPr>
        <w:t>. 11, 304–310.</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Dziarski, R., Gupta, D., 2010.</w:t>
      </w:r>
      <w:r w:rsidRPr="002C66A9">
        <w:rPr>
          <w:rFonts w:ascii="Times New Roman" w:hAnsi="Times New Roman" w:cs="Times New Roman"/>
        </w:rPr>
        <w:t xml:space="preserve"> </w:t>
      </w:r>
      <w:proofErr w:type="gramStart"/>
      <w:r w:rsidRPr="002C66A9">
        <w:rPr>
          <w:rFonts w:ascii="Times New Roman" w:hAnsi="Times New Roman" w:cs="Times New Roman"/>
        </w:rPr>
        <w:t>Mammalian peptidoglycan recognition proteins (PGRPs) in innate immunity.</w:t>
      </w:r>
      <w:proofErr w:type="gramEnd"/>
      <w:r w:rsidRPr="002C66A9">
        <w:rPr>
          <w:rFonts w:ascii="Times New Roman" w:hAnsi="Times New Roman" w:cs="Times New Roman"/>
        </w:rPr>
        <w:t xml:space="preserve"> </w:t>
      </w:r>
      <w:r w:rsidRPr="002C66A9">
        <w:rPr>
          <w:rFonts w:ascii="Times New Roman" w:hAnsi="Times New Roman" w:cs="Times New Roman"/>
          <w:i/>
        </w:rPr>
        <w:t>Innate Immun</w:t>
      </w:r>
      <w:r w:rsidRPr="002C66A9">
        <w:rPr>
          <w:rFonts w:ascii="Times New Roman" w:hAnsi="Times New Roman" w:cs="Times New Roman"/>
        </w:rPr>
        <w:t>.</w:t>
      </w:r>
      <w:r w:rsidRPr="002C66A9">
        <w:rPr>
          <w:rFonts w:ascii="Times New Roman" w:hAnsi="Times New Roman" w:cs="Times New Roman"/>
          <w:i/>
        </w:rPr>
        <w:t xml:space="preserve"> </w:t>
      </w:r>
      <w:r w:rsidRPr="002C66A9">
        <w:rPr>
          <w:rFonts w:ascii="Times New Roman" w:hAnsi="Times New Roman" w:cs="Times New Roman"/>
        </w:rPr>
        <w:t>16, 168–174.</w:t>
      </w:r>
    </w:p>
    <w:p w:rsidR="009831BC" w:rsidRPr="002C66A9" w:rsidRDefault="009831BC" w:rsidP="009831BC">
      <w:pPr>
        <w:pStyle w:val="Bibliography"/>
        <w:spacing w:after="100"/>
        <w:ind w:left="284" w:hanging="284"/>
        <w:jc w:val="both"/>
        <w:rPr>
          <w:rFonts w:ascii="Times New Roman" w:hAnsi="Times New Roman" w:cs="Times New Roman"/>
          <w:lang w:val="de-DE"/>
        </w:rPr>
      </w:pPr>
      <w:r w:rsidRPr="002C66A9">
        <w:rPr>
          <w:rFonts w:ascii="Times New Roman" w:hAnsi="Times New Roman" w:cs="Times New Roman"/>
          <w:b/>
        </w:rPr>
        <w:lastRenderedPageBreak/>
        <w:t>Edwards, D.H., Errington, J., 1997.</w:t>
      </w:r>
      <w:r w:rsidRPr="002C66A9">
        <w:rPr>
          <w:rFonts w:ascii="Times New Roman" w:hAnsi="Times New Roman" w:cs="Times New Roman"/>
        </w:rPr>
        <w:t xml:space="preserve"> The </w:t>
      </w:r>
      <w:r w:rsidRPr="002C66A9">
        <w:rPr>
          <w:rFonts w:ascii="Times New Roman" w:hAnsi="Times New Roman" w:cs="Times New Roman"/>
          <w:i/>
        </w:rPr>
        <w:t>Bacillus subtilis</w:t>
      </w:r>
      <w:r w:rsidRPr="002C66A9">
        <w:rPr>
          <w:rFonts w:ascii="Times New Roman" w:hAnsi="Times New Roman" w:cs="Times New Roman"/>
        </w:rPr>
        <w:t xml:space="preserve"> DivIVA protein targets to the division septum and controls the site specificity of cell division. </w:t>
      </w:r>
      <w:r w:rsidRPr="002C66A9">
        <w:rPr>
          <w:rFonts w:ascii="Times New Roman" w:hAnsi="Times New Roman" w:cs="Times New Roman"/>
          <w:i/>
          <w:lang w:val="de-DE"/>
        </w:rPr>
        <w:t>Mol. Microbiol</w:t>
      </w:r>
      <w:r w:rsidRPr="002C66A9">
        <w:rPr>
          <w:rFonts w:ascii="Times New Roman" w:hAnsi="Times New Roman" w:cs="Times New Roman"/>
          <w:lang w:val="de-DE"/>
        </w:rPr>
        <w:t>. 24, 905–915.</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lang w:val="de-DE"/>
        </w:rPr>
        <w:t>Ehlert, K., Höltje, J.V., Templin, M.F., 1995.</w:t>
      </w:r>
      <w:r w:rsidRPr="002C66A9">
        <w:rPr>
          <w:rFonts w:ascii="Times New Roman" w:hAnsi="Times New Roman" w:cs="Times New Roman"/>
          <w:lang w:val="de-DE"/>
        </w:rPr>
        <w:t xml:space="preserve"> </w:t>
      </w:r>
      <w:proofErr w:type="gramStart"/>
      <w:r w:rsidRPr="002C66A9">
        <w:rPr>
          <w:rFonts w:ascii="Times New Roman" w:hAnsi="Times New Roman" w:cs="Times New Roman"/>
        </w:rPr>
        <w:t xml:space="preserve">Cloning and expression of a murein hydrolase lipoprotein from </w:t>
      </w:r>
      <w:r w:rsidRPr="002C66A9">
        <w:rPr>
          <w:rFonts w:ascii="Times New Roman" w:hAnsi="Times New Roman" w:cs="Times New Roman"/>
          <w:i/>
        </w:rPr>
        <w:t>Escherichia coli</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Mol. Microbiol</w:t>
      </w:r>
      <w:r w:rsidRPr="002C66A9">
        <w:rPr>
          <w:rFonts w:ascii="Times New Roman" w:hAnsi="Times New Roman" w:cs="Times New Roman"/>
        </w:rPr>
        <w:t>. 16, 761–768.</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Eldholm, V., Johnsborg, O., Haugen, K., Ohnstad, H.S., Håvarstein, L.S., 2009.</w:t>
      </w:r>
      <w:proofErr w:type="gramEnd"/>
      <w:r w:rsidRPr="002C66A9">
        <w:rPr>
          <w:rFonts w:ascii="Times New Roman" w:hAnsi="Times New Roman" w:cs="Times New Roman"/>
        </w:rPr>
        <w:t xml:space="preserve"> Fratricide in </w:t>
      </w:r>
      <w:r w:rsidRPr="002C66A9">
        <w:rPr>
          <w:rFonts w:ascii="Times New Roman" w:hAnsi="Times New Roman" w:cs="Times New Roman"/>
          <w:i/>
        </w:rPr>
        <w:t>Streptococcus pneumoniae</w:t>
      </w:r>
      <w:r w:rsidRPr="002C66A9">
        <w:rPr>
          <w:rFonts w:ascii="Times New Roman" w:hAnsi="Times New Roman" w:cs="Times New Roman"/>
        </w:rPr>
        <w:t xml:space="preserve">: contributions and role of the cell wall hydrolases CbpD, LytA and LytC. </w:t>
      </w:r>
      <w:proofErr w:type="gramStart"/>
      <w:r w:rsidRPr="002C66A9">
        <w:rPr>
          <w:rFonts w:ascii="Times New Roman" w:hAnsi="Times New Roman" w:cs="Times New Roman"/>
          <w:i/>
        </w:rPr>
        <w:t>Microbiology.</w:t>
      </w:r>
      <w:proofErr w:type="gramEnd"/>
      <w:r w:rsidRPr="002C66A9">
        <w:rPr>
          <w:rFonts w:ascii="Times New Roman" w:hAnsi="Times New Roman" w:cs="Times New Roman"/>
        </w:rPr>
        <w:t xml:space="preserve"> 155, 2223–2234.</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Eldholm, V., Johnsborg, O., Straume, D., Ohnstad, H.S., Berg, K.H., Hermoso, J.A., Håvarstein, L.S., 2010.</w:t>
      </w:r>
      <w:proofErr w:type="gramEnd"/>
      <w:r w:rsidRPr="002C66A9">
        <w:rPr>
          <w:rFonts w:ascii="Times New Roman" w:hAnsi="Times New Roman" w:cs="Times New Roman"/>
        </w:rPr>
        <w:t xml:space="preserve"> Pneumococcal CbpD is a murein hydrolase that requires a dual cell envelope binding specificity to kill target cells during fratricide. </w:t>
      </w:r>
      <w:r w:rsidRPr="002C66A9">
        <w:rPr>
          <w:rFonts w:ascii="Times New Roman" w:hAnsi="Times New Roman" w:cs="Times New Roman"/>
          <w:i/>
        </w:rPr>
        <w:t>Mol. Microbiol</w:t>
      </w:r>
      <w:r w:rsidRPr="002C66A9">
        <w:rPr>
          <w:rFonts w:ascii="Times New Roman" w:hAnsi="Times New Roman" w:cs="Times New Roman"/>
        </w:rPr>
        <w:t>. 76, 905–917.</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Ellermeier, C.D., Hobbs, E.C., Gonzalez-Pastor, J.E., Losick, R., 2006.</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A three-protein signaling pathway governing immunity to a bacterial cannibalism toxin.</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Cell</w:t>
      </w:r>
      <w:r w:rsidRPr="002C66A9">
        <w:rPr>
          <w:rFonts w:ascii="Times New Roman" w:hAnsi="Times New Roman" w:cs="Times New Roman"/>
        </w:rPr>
        <w:t>.</w:t>
      </w:r>
      <w:proofErr w:type="gramEnd"/>
      <w:r w:rsidRPr="002C66A9">
        <w:rPr>
          <w:rFonts w:ascii="Times New Roman" w:hAnsi="Times New Roman" w:cs="Times New Roman"/>
        </w:rPr>
        <w:t xml:space="preserve"> 124, 549–559.</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Elliott, T.S., Ward, J.B., Wyrick, P.B., Rogers, H.J., 1975. </w:t>
      </w:r>
      <w:proofErr w:type="gramStart"/>
      <w:r w:rsidRPr="002C66A9">
        <w:rPr>
          <w:rFonts w:ascii="Times New Roman" w:hAnsi="Times New Roman" w:cs="Times New Roman"/>
        </w:rPr>
        <w:t xml:space="preserve">Ultrastructural study of the reversion of protoplasts of </w:t>
      </w:r>
      <w:r w:rsidRPr="002C66A9">
        <w:rPr>
          <w:rFonts w:ascii="Times New Roman" w:hAnsi="Times New Roman" w:cs="Times New Roman"/>
          <w:i/>
        </w:rPr>
        <w:t>Bacillus licheniformis</w:t>
      </w:r>
      <w:r w:rsidRPr="002C66A9">
        <w:rPr>
          <w:rFonts w:ascii="Times New Roman" w:hAnsi="Times New Roman" w:cs="Times New Roman"/>
        </w:rPr>
        <w:t xml:space="preserve"> to bacilli.</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124, 905–917.</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Engel, H., Smink, A.J., van Wijngaarden, L., Keck, W., 1992.</w:t>
      </w:r>
      <w:r w:rsidRPr="002C66A9">
        <w:rPr>
          <w:rFonts w:ascii="Times New Roman" w:hAnsi="Times New Roman" w:cs="Times New Roman"/>
        </w:rPr>
        <w:t xml:space="preserve"> Murein-metabolizing enzymes from </w:t>
      </w:r>
      <w:r w:rsidRPr="002C66A9">
        <w:rPr>
          <w:rFonts w:ascii="Times New Roman" w:hAnsi="Times New Roman" w:cs="Times New Roman"/>
          <w:i/>
        </w:rPr>
        <w:t>Escherichia coli</w:t>
      </w:r>
      <w:r w:rsidRPr="002C66A9">
        <w:rPr>
          <w:rFonts w:ascii="Times New Roman" w:hAnsi="Times New Roman" w:cs="Times New Roman"/>
        </w:rPr>
        <w:t xml:space="preserve">: existence of a second lytic transglycosylase. </w:t>
      </w:r>
      <w:r w:rsidRPr="002C66A9">
        <w:rPr>
          <w:rFonts w:ascii="Times New Roman" w:hAnsi="Times New Roman" w:cs="Times New Roman"/>
          <w:i/>
        </w:rPr>
        <w:t>J. Bacteriol</w:t>
      </w:r>
      <w:r w:rsidRPr="002C66A9">
        <w:rPr>
          <w:rFonts w:ascii="Times New Roman" w:hAnsi="Times New Roman" w:cs="Times New Roman"/>
        </w:rPr>
        <w:t>. 174, 6394–6403.</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Erickson, H.P., Anderson, D.E., Osawa, M., 2010.</w:t>
      </w:r>
      <w:proofErr w:type="gramEnd"/>
      <w:r w:rsidRPr="002C66A9">
        <w:rPr>
          <w:rFonts w:ascii="Times New Roman" w:hAnsi="Times New Roman" w:cs="Times New Roman"/>
        </w:rPr>
        <w:t xml:space="preserve"> FtsZ in bacterial cytokinesis: cytoskeleton and force generator all in one. </w:t>
      </w:r>
      <w:proofErr w:type="gramStart"/>
      <w:r w:rsidRPr="002C66A9">
        <w:rPr>
          <w:rFonts w:ascii="Times New Roman" w:hAnsi="Times New Roman" w:cs="Times New Roman"/>
          <w:i/>
        </w:rPr>
        <w:t>Microbiol.</w:t>
      </w:r>
      <w:proofErr w:type="gramEnd"/>
      <w:r w:rsidRPr="002C66A9">
        <w:rPr>
          <w:rFonts w:ascii="Times New Roman" w:hAnsi="Times New Roman" w:cs="Times New Roman"/>
          <w:i/>
        </w:rPr>
        <w:t xml:space="preserve"> Mol. Biol. Rev</w:t>
      </w:r>
      <w:r w:rsidRPr="002C66A9">
        <w:rPr>
          <w:rFonts w:ascii="Times New Roman" w:hAnsi="Times New Roman" w:cs="Times New Roman"/>
        </w:rPr>
        <w:t>. 74, 504–528.</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Errington, J., 2003. </w:t>
      </w:r>
      <w:proofErr w:type="gramStart"/>
      <w:r w:rsidRPr="002C66A9">
        <w:rPr>
          <w:rFonts w:ascii="Times New Roman" w:hAnsi="Times New Roman" w:cs="Times New Roman"/>
        </w:rPr>
        <w:t xml:space="preserve">Regulation of endospore formation in </w:t>
      </w:r>
      <w:r w:rsidRPr="002C66A9">
        <w:rPr>
          <w:rFonts w:ascii="Times New Roman" w:hAnsi="Times New Roman" w:cs="Times New Roman"/>
          <w:i/>
        </w:rPr>
        <w:t>Bacillus subtilis</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Nat. Rev. Microbiol</w:t>
      </w:r>
      <w:r w:rsidRPr="002C66A9">
        <w:rPr>
          <w:rFonts w:ascii="Times New Roman" w:hAnsi="Times New Roman" w:cs="Times New Roman"/>
        </w:rPr>
        <w:t>. 1, 117–126.</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Errington, J., Daniel, R.A., Scheffers, D.-J., 2003.</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Cytokinesis in bacteria.</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Microbiol.</w:t>
      </w:r>
      <w:proofErr w:type="gramEnd"/>
      <w:r w:rsidRPr="002C66A9">
        <w:rPr>
          <w:rFonts w:ascii="Times New Roman" w:hAnsi="Times New Roman" w:cs="Times New Roman"/>
          <w:i/>
        </w:rPr>
        <w:t xml:space="preserve"> Mol. Biol. Rev</w:t>
      </w:r>
      <w:r w:rsidRPr="002C66A9">
        <w:rPr>
          <w:rFonts w:ascii="Times New Roman" w:hAnsi="Times New Roman" w:cs="Times New Roman"/>
        </w:rPr>
        <w:t>. 67, 52–65.</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Fernández-Tornero, C., López, R., García, E., Giménez-Gallego, G., Romero, A., 2001.</w:t>
      </w:r>
      <w:proofErr w:type="gramEnd"/>
      <w:r w:rsidRPr="002C66A9">
        <w:rPr>
          <w:rFonts w:ascii="Times New Roman" w:hAnsi="Times New Roman" w:cs="Times New Roman"/>
        </w:rPr>
        <w:t xml:space="preserve"> A novel solenoid fold in the cell wall anchoring domain of the pneumococcal virulence factor LytA. Nat.</w:t>
      </w:r>
      <w:r w:rsidRPr="002C66A9">
        <w:rPr>
          <w:rFonts w:ascii="Times New Roman" w:hAnsi="Times New Roman" w:cs="Times New Roman"/>
          <w:i/>
        </w:rPr>
        <w:t xml:space="preserve"> Struct. Biol</w:t>
      </w:r>
      <w:r w:rsidRPr="002C66A9">
        <w:rPr>
          <w:rFonts w:ascii="Times New Roman" w:hAnsi="Times New Roman" w:cs="Times New Roman"/>
        </w:rPr>
        <w:t>. 8, 1020–1024.</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Feucht, A., Errington, J., 2005.</w:t>
      </w:r>
      <w:r w:rsidRPr="002C66A9">
        <w:rPr>
          <w:rFonts w:ascii="Times New Roman" w:hAnsi="Times New Roman" w:cs="Times New Roman"/>
        </w:rPr>
        <w:t xml:space="preserve"> </w:t>
      </w:r>
      <w:proofErr w:type="gramStart"/>
      <w:r w:rsidRPr="002C66A9">
        <w:rPr>
          <w:rFonts w:ascii="Times New Roman" w:hAnsi="Times New Roman" w:cs="Times New Roman"/>
          <w:i/>
        </w:rPr>
        <w:t>ftsZ</w:t>
      </w:r>
      <w:proofErr w:type="gramEnd"/>
      <w:r w:rsidRPr="002C66A9">
        <w:rPr>
          <w:rFonts w:ascii="Times New Roman" w:hAnsi="Times New Roman" w:cs="Times New Roman"/>
        </w:rPr>
        <w:t xml:space="preserve"> mutations affecting cell division frequency, placement and morphology in </w:t>
      </w:r>
      <w:r w:rsidRPr="002C66A9">
        <w:rPr>
          <w:rFonts w:ascii="Times New Roman" w:hAnsi="Times New Roman" w:cs="Times New Roman"/>
          <w:i/>
        </w:rPr>
        <w:t>Bacillus subtilis</w:t>
      </w:r>
      <w:r w:rsidRPr="002C66A9">
        <w:rPr>
          <w:rFonts w:ascii="Times New Roman" w:hAnsi="Times New Roman" w:cs="Times New Roman"/>
        </w:rPr>
        <w:t xml:space="preserve">. </w:t>
      </w:r>
      <w:proofErr w:type="gramStart"/>
      <w:r w:rsidRPr="002C66A9">
        <w:rPr>
          <w:rFonts w:ascii="Times New Roman" w:hAnsi="Times New Roman" w:cs="Times New Roman"/>
          <w:i/>
        </w:rPr>
        <w:t>Microbiology</w:t>
      </w:r>
      <w:r w:rsidRPr="002C66A9">
        <w:rPr>
          <w:rFonts w:ascii="Times New Roman" w:hAnsi="Times New Roman" w:cs="Times New Roman"/>
        </w:rPr>
        <w:t>.</w:t>
      </w:r>
      <w:proofErr w:type="gramEnd"/>
      <w:r w:rsidRPr="002C66A9">
        <w:rPr>
          <w:rFonts w:ascii="Times New Roman" w:hAnsi="Times New Roman" w:cs="Times New Roman"/>
        </w:rPr>
        <w:t xml:space="preserve"> 151, 2053–2064.</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Figge, R.M., Divakaruni, A.V., Gober, J.W., 2004.</w:t>
      </w:r>
      <w:r w:rsidRPr="002C66A9">
        <w:rPr>
          <w:rFonts w:ascii="Times New Roman" w:hAnsi="Times New Roman" w:cs="Times New Roman"/>
        </w:rPr>
        <w:t xml:space="preserve"> </w:t>
      </w:r>
      <w:proofErr w:type="gramStart"/>
      <w:r w:rsidRPr="002C66A9">
        <w:rPr>
          <w:rFonts w:ascii="Times New Roman" w:hAnsi="Times New Roman" w:cs="Times New Roman"/>
        </w:rPr>
        <w:t xml:space="preserve">MreB, the cell shape-determining bacterial actin homologue, co-ordinates cell wall morphogenesis in </w:t>
      </w:r>
      <w:r w:rsidRPr="002C66A9">
        <w:rPr>
          <w:rFonts w:ascii="Times New Roman" w:hAnsi="Times New Roman" w:cs="Times New Roman"/>
          <w:i/>
        </w:rPr>
        <w:t>Caulobacter crescentus</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Mol. Microbiol</w:t>
      </w:r>
      <w:r w:rsidRPr="002C66A9">
        <w:rPr>
          <w:rFonts w:ascii="Times New Roman" w:hAnsi="Times New Roman" w:cs="Times New Roman"/>
        </w:rPr>
        <w:t>. 51, 1321–1332.</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Firtel, M., Henderson, G., Sokolov, I., 2004.</w:t>
      </w:r>
      <w:proofErr w:type="gramEnd"/>
      <w:r w:rsidRPr="002C66A9">
        <w:rPr>
          <w:rFonts w:ascii="Times New Roman" w:hAnsi="Times New Roman" w:cs="Times New Roman"/>
          <w:b/>
        </w:rPr>
        <w:t xml:space="preserve"> </w:t>
      </w:r>
      <w:r w:rsidRPr="002C66A9">
        <w:rPr>
          <w:rFonts w:ascii="Times New Roman" w:hAnsi="Times New Roman" w:cs="Times New Roman"/>
        </w:rPr>
        <w:t xml:space="preserve">Nanosurgery: observation of peptidoglycan strands in </w:t>
      </w:r>
      <w:r w:rsidRPr="002C66A9">
        <w:rPr>
          <w:rFonts w:ascii="Times New Roman" w:hAnsi="Times New Roman" w:cs="Times New Roman"/>
          <w:i/>
        </w:rPr>
        <w:t>Lactobacillus helveticus</w:t>
      </w:r>
      <w:r w:rsidRPr="002C66A9">
        <w:rPr>
          <w:rFonts w:ascii="Times New Roman" w:hAnsi="Times New Roman" w:cs="Times New Roman"/>
        </w:rPr>
        <w:t xml:space="preserve"> cell walls. </w:t>
      </w:r>
      <w:proofErr w:type="gramStart"/>
      <w:r w:rsidRPr="002C66A9">
        <w:rPr>
          <w:rFonts w:ascii="Times New Roman" w:hAnsi="Times New Roman" w:cs="Times New Roman"/>
          <w:i/>
        </w:rPr>
        <w:t>Ultramicroscopy</w:t>
      </w:r>
      <w:r w:rsidRPr="002C66A9">
        <w:rPr>
          <w:rFonts w:ascii="Times New Roman" w:hAnsi="Times New Roman" w:cs="Times New Roman"/>
        </w:rPr>
        <w:t>.</w:t>
      </w:r>
      <w:proofErr w:type="gramEnd"/>
      <w:r w:rsidRPr="002C66A9">
        <w:rPr>
          <w:rFonts w:ascii="Times New Roman" w:hAnsi="Times New Roman" w:cs="Times New Roman"/>
        </w:rPr>
        <w:t xml:space="preserve"> 101, 105–109.</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Fischer, W., 2000.</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Pneumococcal lipoteichoic and teichoic acid.</w:t>
      </w:r>
      <w:proofErr w:type="gramEnd"/>
      <w:r w:rsidRPr="002C66A9">
        <w:rPr>
          <w:rFonts w:ascii="Times New Roman" w:hAnsi="Times New Roman" w:cs="Times New Roman"/>
        </w:rPr>
        <w:t xml:space="preserve"> In: Streptococcus pneumoniae: </w:t>
      </w:r>
      <w:r w:rsidRPr="002C66A9">
        <w:rPr>
          <w:rFonts w:ascii="Times New Roman" w:hAnsi="Times New Roman" w:cs="Times New Roman"/>
          <w:i/>
        </w:rPr>
        <w:t>molecular biology and mechanisms of disease</w:t>
      </w:r>
      <w:r w:rsidRPr="002C66A9">
        <w:rPr>
          <w:rFonts w:ascii="Times New Roman" w:hAnsi="Times New Roman" w:cs="Times New Roman"/>
        </w:rPr>
        <w:t xml:space="preserve">. pp. 155–177. Edited by Tomasz, A. Liebert, </w:t>
      </w:r>
      <w:proofErr w:type="gramStart"/>
      <w:r w:rsidRPr="002C66A9">
        <w:rPr>
          <w:rFonts w:ascii="Times New Roman" w:hAnsi="Times New Roman" w:cs="Times New Roman"/>
        </w:rPr>
        <w:t>New</w:t>
      </w:r>
      <w:proofErr w:type="gramEnd"/>
      <w:r w:rsidRPr="002C66A9">
        <w:rPr>
          <w:rFonts w:ascii="Times New Roman" w:hAnsi="Times New Roman" w:cs="Times New Roman"/>
        </w:rPr>
        <w:t xml:space="preserve"> York. </w:t>
      </w:r>
    </w:p>
    <w:p w:rsidR="009831BC" w:rsidRPr="009831BC" w:rsidRDefault="009831BC" w:rsidP="009831BC">
      <w:pPr>
        <w:pStyle w:val="Bibliography"/>
        <w:spacing w:after="100"/>
        <w:ind w:left="284" w:hanging="284"/>
        <w:jc w:val="both"/>
        <w:rPr>
          <w:rFonts w:ascii="Times New Roman" w:hAnsi="Times New Roman" w:cs="Times New Roman"/>
        </w:rPr>
      </w:pPr>
      <w:proofErr w:type="gramStart"/>
      <w:r w:rsidRPr="009831BC">
        <w:rPr>
          <w:rFonts w:ascii="Times New Roman" w:hAnsi="Times New Roman" w:cs="Times New Roman"/>
          <w:b/>
        </w:rPr>
        <w:t>Fischer, W., Behr, T., Hartmann, R., Peter-Katalinić, J., Egge, H., 1993.</w:t>
      </w:r>
      <w:proofErr w:type="gramEnd"/>
      <w:r w:rsidRPr="009831BC">
        <w:rPr>
          <w:rFonts w:ascii="Times New Roman" w:hAnsi="Times New Roman" w:cs="Times New Roman"/>
        </w:rPr>
        <w:t xml:space="preserve"> </w:t>
      </w:r>
      <w:r w:rsidRPr="002C66A9">
        <w:rPr>
          <w:rFonts w:ascii="Times New Roman" w:hAnsi="Times New Roman" w:cs="Times New Roman"/>
        </w:rPr>
        <w:t xml:space="preserve">Teichoic acid and lipoteichoic acid of </w:t>
      </w:r>
      <w:r w:rsidRPr="002C66A9">
        <w:rPr>
          <w:rFonts w:ascii="Times New Roman" w:hAnsi="Times New Roman" w:cs="Times New Roman"/>
          <w:i/>
        </w:rPr>
        <w:t>Streptococcus pneumoniae</w:t>
      </w:r>
      <w:r w:rsidRPr="002C66A9">
        <w:rPr>
          <w:rFonts w:ascii="Times New Roman" w:hAnsi="Times New Roman" w:cs="Times New Roman"/>
        </w:rPr>
        <w:t xml:space="preserve"> possess identical chain structures. </w:t>
      </w:r>
      <w:proofErr w:type="gramStart"/>
      <w:r w:rsidRPr="002C66A9">
        <w:rPr>
          <w:rFonts w:ascii="Times New Roman" w:hAnsi="Times New Roman" w:cs="Times New Roman"/>
        </w:rPr>
        <w:t>A reinvestigation of teichoid acid (C polysaccharide).</w:t>
      </w:r>
      <w:proofErr w:type="gramEnd"/>
      <w:r w:rsidRPr="002C66A9">
        <w:rPr>
          <w:rFonts w:ascii="Times New Roman" w:hAnsi="Times New Roman" w:cs="Times New Roman"/>
        </w:rPr>
        <w:t xml:space="preserve"> </w:t>
      </w:r>
      <w:r w:rsidRPr="002C66A9">
        <w:rPr>
          <w:rFonts w:ascii="Times New Roman" w:hAnsi="Times New Roman" w:cs="Times New Roman"/>
          <w:i/>
        </w:rPr>
        <w:t>Eur. J. Biochem</w:t>
      </w:r>
      <w:r w:rsidRPr="002C66A9">
        <w:rPr>
          <w:rFonts w:ascii="Times New Roman" w:hAnsi="Times New Roman" w:cs="Times New Roman"/>
        </w:rPr>
        <w:t xml:space="preserve">. </w:t>
      </w:r>
      <w:r w:rsidRPr="009831BC">
        <w:rPr>
          <w:rFonts w:ascii="Times New Roman" w:hAnsi="Times New Roman" w:cs="Times New Roman"/>
        </w:rPr>
        <w:t>215, 851–857.</w:t>
      </w:r>
    </w:p>
    <w:p w:rsidR="009831BC" w:rsidRPr="000426C0" w:rsidRDefault="009831BC" w:rsidP="009831BC">
      <w:pPr>
        <w:spacing w:after="100" w:line="240" w:lineRule="auto"/>
        <w:ind w:left="284" w:hanging="284"/>
        <w:rPr>
          <w:rFonts w:ascii="Times New Roman" w:hAnsi="Times New Roman" w:cs="Times New Roman"/>
        </w:rPr>
      </w:pPr>
      <w:r w:rsidRPr="000426C0">
        <w:rPr>
          <w:rFonts w:ascii="Times New Roman" w:hAnsi="Times New Roman" w:cs="Times New Roman"/>
          <w:b/>
        </w:rPr>
        <w:t>Fleck, J., Mock, M., Minc</w:t>
      </w:r>
      <w:r>
        <w:rPr>
          <w:rFonts w:ascii="Times New Roman" w:hAnsi="Times New Roman" w:cs="Times New Roman"/>
          <w:b/>
        </w:rPr>
        <w:t xml:space="preserve">k, R., Ghuysen, J.M., 1971. </w:t>
      </w:r>
      <w:proofErr w:type="gramStart"/>
      <w:r>
        <w:rPr>
          <w:rFonts w:ascii="Times New Roman" w:hAnsi="Times New Roman" w:cs="Times New Roman"/>
        </w:rPr>
        <w:t xml:space="preserve">The cell envelope in </w:t>
      </w:r>
      <w:r w:rsidRPr="000426C0">
        <w:rPr>
          <w:rFonts w:ascii="Times New Roman" w:hAnsi="Times New Roman" w:cs="Times New Roman"/>
          <w:i/>
        </w:rPr>
        <w:t>Proteus vulgaris</w:t>
      </w:r>
      <w:r>
        <w:rPr>
          <w:rFonts w:ascii="Times New Roman" w:hAnsi="Times New Roman" w:cs="Times New Roman"/>
        </w:rPr>
        <w:t xml:space="preserve"> P 18.</w:t>
      </w:r>
      <w:proofErr w:type="gramEnd"/>
      <w:r>
        <w:rPr>
          <w:rFonts w:ascii="Times New Roman" w:hAnsi="Times New Roman" w:cs="Times New Roman"/>
        </w:rPr>
        <w:t xml:space="preserve"> </w:t>
      </w:r>
      <w:proofErr w:type="gramStart"/>
      <w:r>
        <w:rPr>
          <w:rFonts w:ascii="Times New Roman" w:hAnsi="Times New Roman" w:cs="Times New Roman"/>
        </w:rPr>
        <w:t>Isolation and characterization of the peptidoglycan component.</w:t>
      </w:r>
      <w:proofErr w:type="gramEnd"/>
      <w:r>
        <w:rPr>
          <w:rFonts w:ascii="Times New Roman" w:hAnsi="Times New Roman" w:cs="Times New Roman"/>
        </w:rPr>
        <w:t xml:space="preserve"> </w:t>
      </w:r>
      <w:proofErr w:type="gramStart"/>
      <w:r w:rsidRPr="002C66A9">
        <w:rPr>
          <w:rFonts w:ascii="Times New Roman" w:hAnsi="Times New Roman" w:cs="Times New Roman"/>
          <w:i/>
        </w:rPr>
        <w:t>Biochim Biophys Acta</w:t>
      </w:r>
      <w:r w:rsidRPr="002C66A9">
        <w:rPr>
          <w:rFonts w:ascii="Times New Roman" w:hAnsi="Times New Roman" w:cs="Times New Roman"/>
        </w:rPr>
        <w:t>.</w:t>
      </w:r>
      <w:proofErr w:type="gramEnd"/>
      <w:r w:rsidRPr="002C66A9">
        <w:rPr>
          <w:rFonts w:ascii="Times New Roman" w:hAnsi="Times New Roman" w:cs="Times New Roman"/>
        </w:rPr>
        <w:t xml:space="preserve"> </w:t>
      </w:r>
      <w:r>
        <w:rPr>
          <w:rFonts w:ascii="Times New Roman" w:hAnsi="Times New Roman" w:cs="Times New Roman"/>
        </w:rPr>
        <w:t>233</w:t>
      </w:r>
      <w:r w:rsidRPr="002C66A9">
        <w:rPr>
          <w:rFonts w:ascii="Times New Roman" w:hAnsi="Times New Roman" w:cs="Times New Roman"/>
        </w:rPr>
        <w:t xml:space="preserve">, </w:t>
      </w:r>
      <w:r>
        <w:rPr>
          <w:rFonts w:ascii="Times New Roman" w:hAnsi="Times New Roman" w:cs="Times New Roman"/>
        </w:rPr>
        <w:t>489</w:t>
      </w:r>
      <w:r w:rsidRPr="002C66A9">
        <w:rPr>
          <w:rFonts w:ascii="Times New Roman" w:hAnsi="Times New Roman" w:cs="Times New Roman"/>
        </w:rPr>
        <w:t>–</w:t>
      </w:r>
      <w:r>
        <w:rPr>
          <w:rFonts w:ascii="Times New Roman" w:hAnsi="Times New Roman" w:cs="Times New Roman"/>
        </w:rPr>
        <w:t>503</w:t>
      </w:r>
      <w:r w:rsidRPr="002C66A9">
        <w:rPr>
          <w:rFonts w:ascii="Times New Roman" w:hAnsi="Times New Roman" w:cs="Times New Roman"/>
        </w:rPr>
        <w:t>.</w:t>
      </w:r>
    </w:p>
    <w:p w:rsidR="009831BC" w:rsidRPr="002C66A9" w:rsidRDefault="009831BC" w:rsidP="009831BC">
      <w:pPr>
        <w:pStyle w:val="Bibliography"/>
        <w:spacing w:after="100"/>
        <w:ind w:left="284" w:hanging="284"/>
        <w:jc w:val="both"/>
        <w:rPr>
          <w:rFonts w:ascii="Times New Roman" w:hAnsi="Times New Roman" w:cs="Times New Roman"/>
        </w:rPr>
      </w:pPr>
      <w:r w:rsidRPr="009831BC">
        <w:rPr>
          <w:rFonts w:ascii="Times New Roman" w:hAnsi="Times New Roman" w:cs="Times New Roman"/>
          <w:b/>
          <w:lang w:val="de-DE"/>
        </w:rPr>
        <w:t>Fonzé, E., Vermeire, M., Nguyen-Distèche, M., Brasseur, R., Charlier, P., 1999.</w:t>
      </w:r>
      <w:r w:rsidRPr="009831BC">
        <w:rPr>
          <w:rFonts w:ascii="Times New Roman" w:hAnsi="Times New Roman" w:cs="Times New Roman"/>
          <w:lang w:val="de-DE"/>
        </w:rPr>
        <w:t xml:space="preserve"> </w:t>
      </w:r>
      <w:proofErr w:type="gramStart"/>
      <w:r w:rsidRPr="002C66A9">
        <w:rPr>
          <w:rFonts w:ascii="Times New Roman" w:hAnsi="Times New Roman" w:cs="Times New Roman"/>
        </w:rPr>
        <w:t>The crystal structure of a penicilloyl-serine transferase of intermediate penicillin sensitivity.</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 xml:space="preserve">The </w:t>
      </w:r>
      <w:r w:rsidRPr="002C66A9">
        <w:rPr>
          <w:rFonts w:ascii="Times New Roman" w:hAnsi="Times New Roman" w:cs="Times New Roman"/>
          <w:sz w:val="16"/>
          <w:szCs w:val="16"/>
        </w:rPr>
        <w:t>DD</w:t>
      </w:r>
      <w:r w:rsidRPr="002C66A9">
        <w:rPr>
          <w:rFonts w:ascii="Times New Roman" w:hAnsi="Times New Roman" w:cs="Times New Roman"/>
        </w:rPr>
        <w:t xml:space="preserve">-transpeptidase of </w:t>
      </w:r>
      <w:r w:rsidRPr="002C66A9">
        <w:rPr>
          <w:rFonts w:ascii="Times New Roman" w:hAnsi="Times New Roman" w:cs="Times New Roman"/>
          <w:i/>
        </w:rPr>
        <w:t>Streptomyces</w:t>
      </w:r>
      <w:r w:rsidRPr="002C66A9">
        <w:rPr>
          <w:rFonts w:ascii="Times New Roman" w:hAnsi="Times New Roman" w:cs="Times New Roman"/>
        </w:rPr>
        <w:t xml:space="preserve"> K15.</w:t>
      </w:r>
      <w:proofErr w:type="gramEnd"/>
      <w:r w:rsidRPr="002C66A9">
        <w:rPr>
          <w:rFonts w:ascii="Times New Roman" w:hAnsi="Times New Roman" w:cs="Times New Roman"/>
        </w:rPr>
        <w:t xml:space="preserve"> </w:t>
      </w:r>
      <w:r w:rsidRPr="002C66A9">
        <w:rPr>
          <w:rFonts w:ascii="Times New Roman" w:hAnsi="Times New Roman" w:cs="Times New Roman"/>
          <w:i/>
        </w:rPr>
        <w:t>J. Biol. Chem</w:t>
      </w:r>
      <w:r w:rsidRPr="002C66A9">
        <w:rPr>
          <w:rFonts w:ascii="Times New Roman" w:hAnsi="Times New Roman" w:cs="Times New Roman"/>
        </w:rPr>
        <w:t>. 274, 21853–21860.</w:t>
      </w:r>
    </w:p>
    <w:p w:rsidR="009831BC" w:rsidRPr="002C66A9" w:rsidRDefault="009831BC" w:rsidP="009831BC">
      <w:pPr>
        <w:autoSpaceDE w:val="0"/>
        <w:autoSpaceDN w:val="0"/>
        <w:adjustRightInd w:val="0"/>
        <w:spacing w:after="100"/>
        <w:ind w:left="284" w:hanging="284"/>
        <w:jc w:val="both"/>
      </w:pPr>
      <w:r w:rsidRPr="002C66A9">
        <w:rPr>
          <w:rFonts w:ascii="Times New Roman" w:eastAsia="Calibri" w:hAnsi="Times New Roman" w:cs="Times New Roman"/>
          <w:b/>
          <w:bCs/>
          <w:lang w:val="en-US"/>
        </w:rPr>
        <w:lastRenderedPageBreak/>
        <w:t>Foster, S.J., (1992).</w:t>
      </w:r>
      <w:r w:rsidRPr="002C66A9">
        <w:rPr>
          <w:rFonts w:ascii="Times New Roman" w:eastAsia="Calibri" w:hAnsi="Times New Roman" w:cs="Times New Roman"/>
          <w:lang w:val="en-US"/>
        </w:rPr>
        <w:t xml:space="preserve"> </w:t>
      </w:r>
      <w:proofErr w:type="gramStart"/>
      <w:r w:rsidRPr="002C66A9">
        <w:rPr>
          <w:rFonts w:ascii="Times New Roman" w:eastAsia="Calibri" w:hAnsi="Times New Roman" w:cs="Times New Roman"/>
          <w:lang w:val="en-US"/>
        </w:rPr>
        <w:t xml:space="preserve">Analysis of the autolysins of </w:t>
      </w:r>
      <w:r w:rsidRPr="002C66A9">
        <w:rPr>
          <w:rFonts w:ascii="Times New Roman" w:eastAsia="Calibri" w:hAnsi="Times New Roman" w:cs="Times New Roman"/>
          <w:i/>
          <w:iCs/>
          <w:lang w:val="en-US"/>
        </w:rPr>
        <w:t xml:space="preserve">Bacillus subtilis </w:t>
      </w:r>
      <w:r w:rsidRPr="002C66A9">
        <w:rPr>
          <w:rFonts w:ascii="Times New Roman" w:eastAsia="Calibri" w:hAnsi="Times New Roman" w:cs="Times New Roman"/>
          <w:lang w:val="en-US"/>
        </w:rPr>
        <w:t>168 during vegetative growth and differentiation by using renaturing polyacrylamide gel electrophoresis.</w:t>
      </w:r>
      <w:proofErr w:type="gramEnd"/>
      <w:r w:rsidRPr="002C66A9">
        <w:rPr>
          <w:rFonts w:ascii="Times New Roman" w:eastAsia="Calibri" w:hAnsi="Times New Roman" w:cs="Times New Roman"/>
          <w:lang w:val="en-US"/>
        </w:rPr>
        <w:t xml:space="preserve"> </w:t>
      </w:r>
      <w:proofErr w:type="gramStart"/>
      <w:r w:rsidRPr="002C66A9">
        <w:rPr>
          <w:rFonts w:ascii="Times New Roman" w:eastAsia="Calibri" w:hAnsi="Times New Roman" w:cs="Times New Roman"/>
          <w:i/>
          <w:iCs/>
          <w:lang w:val="en-US"/>
        </w:rPr>
        <w:t>J Bacteriol.</w:t>
      </w:r>
      <w:proofErr w:type="gramEnd"/>
      <w:r w:rsidRPr="002C66A9">
        <w:rPr>
          <w:rFonts w:ascii="Times New Roman" w:eastAsia="Calibri" w:hAnsi="Times New Roman" w:cs="Times New Roman"/>
          <w:lang w:val="en-US"/>
        </w:rPr>
        <w:t xml:space="preserve"> </w:t>
      </w:r>
      <w:r w:rsidRPr="002C66A9">
        <w:rPr>
          <w:rFonts w:ascii="Times New Roman" w:eastAsia="Calibri" w:hAnsi="Times New Roman" w:cs="Times New Roman"/>
          <w:bCs/>
          <w:color w:val="000000" w:themeColor="text1"/>
          <w:lang w:val="en-US"/>
        </w:rPr>
        <w:t>174</w:t>
      </w:r>
      <w:r w:rsidRPr="002C66A9">
        <w:rPr>
          <w:rFonts w:ascii="Times New Roman" w:eastAsia="Calibri" w:hAnsi="Times New Roman" w:cs="Times New Roman"/>
          <w:color w:val="000000" w:themeColor="text1"/>
          <w:lang w:val="en-US"/>
        </w:rPr>
        <w:t>,</w:t>
      </w:r>
      <w:r w:rsidRPr="002C66A9">
        <w:rPr>
          <w:rFonts w:ascii="Times New Roman" w:eastAsia="Calibri" w:hAnsi="Times New Roman" w:cs="Times New Roman"/>
          <w:lang w:val="en-US"/>
        </w:rPr>
        <w:t xml:space="preserve"> 464-470.</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Foster, S.J., 1995. </w:t>
      </w:r>
      <w:proofErr w:type="gramStart"/>
      <w:r w:rsidRPr="002C66A9">
        <w:rPr>
          <w:rFonts w:ascii="Times New Roman" w:hAnsi="Times New Roman" w:cs="Times New Roman"/>
        </w:rPr>
        <w:t xml:space="preserve">Molecular characterization and functional analysis of the major autolysin of </w:t>
      </w:r>
      <w:r w:rsidRPr="002C66A9">
        <w:rPr>
          <w:rFonts w:ascii="Times New Roman" w:hAnsi="Times New Roman" w:cs="Times New Roman"/>
          <w:i/>
        </w:rPr>
        <w:t>Staphylococcus aureus</w:t>
      </w:r>
      <w:r w:rsidRPr="002C66A9">
        <w:rPr>
          <w:rFonts w:ascii="Times New Roman" w:hAnsi="Times New Roman" w:cs="Times New Roman"/>
        </w:rPr>
        <w:t xml:space="preserve"> 8325/4.</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177, 5723–5725.</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Foster, S.J., Johnstone, K., 1987.</w:t>
      </w:r>
      <w:r w:rsidRPr="002C66A9">
        <w:rPr>
          <w:rFonts w:ascii="Times New Roman" w:hAnsi="Times New Roman" w:cs="Times New Roman"/>
        </w:rPr>
        <w:t xml:space="preserve"> </w:t>
      </w:r>
      <w:proofErr w:type="gramStart"/>
      <w:r w:rsidRPr="002C66A9">
        <w:rPr>
          <w:rFonts w:ascii="Times New Roman" w:hAnsi="Times New Roman" w:cs="Times New Roman"/>
        </w:rPr>
        <w:t xml:space="preserve">Purification and properties of a germination-specific cortex-lytic enzyme from spores of </w:t>
      </w:r>
      <w:r w:rsidRPr="002C66A9">
        <w:rPr>
          <w:rFonts w:ascii="Times New Roman" w:hAnsi="Times New Roman" w:cs="Times New Roman"/>
          <w:i/>
        </w:rPr>
        <w:t>Bacillus megaterium</w:t>
      </w:r>
      <w:r w:rsidRPr="002C66A9">
        <w:rPr>
          <w:rFonts w:ascii="Times New Roman" w:hAnsi="Times New Roman" w:cs="Times New Roman"/>
        </w:rPr>
        <w:t xml:space="preserve"> KM. </w:t>
      </w:r>
      <w:r w:rsidRPr="002C66A9">
        <w:rPr>
          <w:rFonts w:ascii="Times New Roman" w:hAnsi="Times New Roman" w:cs="Times New Roman"/>
          <w:i/>
        </w:rPr>
        <w:t>Biochem.</w:t>
      </w:r>
      <w:proofErr w:type="gramEnd"/>
      <w:r w:rsidRPr="002C66A9">
        <w:rPr>
          <w:rFonts w:ascii="Times New Roman" w:hAnsi="Times New Roman" w:cs="Times New Roman"/>
          <w:i/>
        </w:rPr>
        <w:t xml:space="preserve"> J</w:t>
      </w:r>
      <w:r w:rsidRPr="002C66A9">
        <w:rPr>
          <w:rFonts w:ascii="Times New Roman" w:hAnsi="Times New Roman" w:cs="Times New Roman"/>
        </w:rPr>
        <w:t>, 242, 573–579.</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Foster, S.J., Johnstone, K., 1988. </w:t>
      </w:r>
      <w:r w:rsidRPr="002C66A9">
        <w:rPr>
          <w:rFonts w:ascii="Times New Roman" w:hAnsi="Times New Roman" w:cs="Times New Roman"/>
        </w:rPr>
        <w:t xml:space="preserve">Germination-specific cortex-lytic enzyme is activated during triggering of </w:t>
      </w:r>
      <w:r w:rsidRPr="002C66A9">
        <w:rPr>
          <w:rFonts w:ascii="Times New Roman" w:hAnsi="Times New Roman" w:cs="Times New Roman"/>
          <w:i/>
        </w:rPr>
        <w:t>Bacillus megaterium</w:t>
      </w:r>
      <w:r w:rsidRPr="002C66A9">
        <w:rPr>
          <w:rFonts w:ascii="Times New Roman" w:hAnsi="Times New Roman" w:cs="Times New Roman"/>
        </w:rPr>
        <w:t xml:space="preserve"> KM spore germination. </w:t>
      </w:r>
      <w:r w:rsidRPr="002C66A9">
        <w:rPr>
          <w:rFonts w:ascii="Times New Roman" w:hAnsi="Times New Roman" w:cs="Times New Roman"/>
          <w:i/>
        </w:rPr>
        <w:t>Mol. Microbiol</w:t>
      </w:r>
      <w:r w:rsidRPr="002C66A9">
        <w:rPr>
          <w:rFonts w:ascii="Times New Roman" w:hAnsi="Times New Roman" w:cs="Times New Roman"/>
        </w:rPr>
        <w:t>. 2, 727–733.</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Foster, S.J., Popham, D.L., 2002.</w:t>
      </w:r>
      <w:r w:rsidRPr="002C66A9">
        <w:rPr>
          <w:rFonts w:ascii="Times New Roman" w:hAnsi="Times New Roman" w:cs="Times New Roman"/>
        </w:rPr>
        <w:t xml:space="preserve"> </w:t>
      </w:r>
      <w:proofErr w:type="gramStart"/>
      <w:r w:rsidRPr="002C66A9">
        <w:rPr>
          <w:rFonts w:ascii="Times New Roman" w:hAnsi="Times New Roman" w:cs="Times New Roman"/>
        </w:rPr>
        <w:t>Structure and synthesis of cell wall, spore cortex, teichoic acids, S-layers, and capsules.</w:t>
      </w:r>
      <w:proofErr w:type="gramEnd"/>
      <w:r w:rsidRPr="002C66A9">
        <w:rPr>
          <w:rFonts w:ascii="Times New Roman" w:hAnsi="Times New Roman" w:cs="Times New Roman"/>
        </w:rPr>
        <w:t xml:space="preserve"> In: Bacillus subtilis</w:t>
      </w:r>
      <w:r w:rsidRPr="002C66A9">
        <w:rPr>
          <w:rFonts w:ascii="Times New Roman" w:hAnsi="Times New Roman" w:cs="Times New Roman"/>
          <w:i/>
        </w:rPr>
        <w:t xml:space="preserve"> and its closest relatives: from genes to cells</w:t>
      </w:r>
      <w:r w:rsidRPr="002C66A9">
        <w:rPr>
          <w:rFonts w:ascii="Times New Roman" w:hAnsi="Times New Roman" w:cs="Times New Roman"/>
        </w:rPr>
        <w:t xml:space="preserve">. pp. 21–41. Edited by Sonenshein, A.L., Hoch, J.A., Losick, R. ASM Press, </w:t>
      </w:r>
      <w:proofErr w:type="gramStart"/>
      <w:r w:rsidRPr="002C66A9">
        <w:rPr>
          <w:rFonts w:ascii="Times New Roman" w:hAnsi="Times New Roman" w:cs="Times New Roman"/>
        </w:rPr>
        <w:t>Washington</w:t>
      </w:r>
      <w:proofErr w:type="gramEnd"/>
      <w:r w:rsidRPr="002C66A9">
        <w:rPr>
          <w:rFonts w:ascii="Times New Roman" w:hAnsi="Times New Roman" w:cs="Times New Roman"/>
        </w:rPr>
        <w:t>, D.C.</w:t>
      </w:r>
    </w:p>
    <w:p w:rsidR="009831BC" w:rsidRPr="002C66A9" w:rsidRDefault="009831BC" w:rsidP="009831BC">
      <w:pPr>
        <w:pStyle w:val="Bibliography"/>
        <w:spacing w:after="100"/>
        <w:ind w:left="284" w:hanging="284"/>
        <w:jc w:val="both"/>
        <w:rPr>
          <w:rFonts w:ascii="Times New Roman" w:hAnsi="Times New Roman" w:cs="Times New Roman"/>
          <w:lang w:val="de-DE"/>
        </w:rPr>
      </w:pPr>
      <w:proofErr w:type="gramStart"/>
      <w:r w:rsidRPr="002C66A9">
        <w:rPr>
          <w:rFonts w:ascii="Times New Roman" w:hAnsi="Times New Roman" w:cs="Times New Roman"/>
          <w:b/>
        </w:rPr>
        <w:t>Francius, G., Domenech, O., Mingeot-Leclercq, M.P., Dufrêne, Y.F., 2008.</w:t>
      </w:r>
      <w:proofErr w:type="gramEnd"/>
      <w:r w:rsidRPr="002C66A9">
        <w:rPr>
          <w:rFonts w:ascii="Times New Roman" w:hAnsi="Times New Roman" w:cs="Times New Roman"/>
          <w:b/>
        </w:rPr>
        <w:t xml:space="preserve"> </w:t>
      </w:r>
      <w:proofErr w:type="gramStart"/>
      <w:r w:rsidRPr="002C66A9">
        <w:rPr>
          <w:rFonts w:ascii="Times New Roman" w:hAnsi="Times New Roman" w:cs="Times New Roman"/>
        </w:rPr>
        <w:t xml:space="preserve">Direct observation of </w:t>
      </w:r>
      <w:r w:rsidRPr="002C66A9">
        <w:rPr>
          <w:rFonts w:ascii="Times New Roman" w:hAnsi="Times New Roman" w:cs="Times New Roman"/>
          <w:i/>
        </w:rPr>
        <w:t>Staphylococcus aureus</w:t>
      </w:r>
      <w:r w:rsidRPr="002C66A9">
        <w:rPr>
          <w:rFonts w:ascii="Times New Roman" w:hAnsi="Times New Roman" w:cs="Times New Roman"/>
        </w:rPr>
        <w:t xml:space="preserve"> cell wall digestion by lysostaphin.</w:t>
      </w:r>
      <w:proofErr w:type="gramEnd"/>
      <w:r w:rsidRPr="002C66A9">
        <w:rPr>
          <w:rFonts w:ascii="Times New Roman" w:hAnsi="Times New Roman" w:cs="Times New Roman"/>
        </w:rPr>
        <w:t xml:space="preserve"> </w:t>
      </w:r>
      <w:r w:rsidRPr="002C66A9">
        <w:rPr>
          <w:rFonts w:ascii="Times New Roman" w:hAnsi="Times New Roman" w:cs="Times New Roman"/>
          <w:i/>
          <w:lang w:val="de-DE"/>
        </w:rPr>
        <w:t>J. Bacteriol</w:t>
      </w:r>
      <w:r w:rsidRPr="002C66A9">
        <w:rPr>
          <w:rFonts w:ascii="Times New Roman" w:hAnsi="Times New Roman" w:cs="Times New Roman"/>
          <w:lang w:val="de-DE"/>
        </w:rPr>
        <w:t>. 190, 7904–7909.</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lang w:val="de-DE"/>
        </w:rPr>
        <w:t>Frankel, M.B., Hendrickx, A.P.A., Missiakas, D.M., Schneewind, O., 2011.</w:t>
      </w:r>
      <w:r w:rsidRPr="002C66A9">
        <w:rPr>
          <w:rFonts w:ascii="Times New Roman" w:hAnsi="Times New Roman" w:cs="Times New Roman"/>
          <w:lang w:val="de-DE"/>
        </w:rPr>
        <w:t xml:space="preserve"> </w:t>
      </w:r>
      <w:r w:rsidRPr="002C66A9">
        <w:rPr>
          <w:rFonts w:ascii="Times New Roman" w:hAnsi="Times New Roman" w:cs="Times New Roman"/>
        </w:rPr>
        <w:t xml:space="preserve">LytN, a murein hydrolase in the cross-wall compartment of </w:t>
      </w:r>
      <w:r w:rsidRPr="002C66A9">
        <w:rPr>
          <w:rFonts w:ascii="Times New Roman" w:hAnsi="Times New Roman" w:cs="Times New Roman"/>
          <w:i/>
        </w:rPr>
        <w:t>Staphylococcus aureus</w:t>
      </w:r>
      <w:r w:rsidRPr="002C66A9">
        <w:rPr>
          <w:rFonts w:ascii="Times New Roman" w:hAnsi="Times New Roman" w:cs="Times New Roman"/>
        </w:rPr>
        <w:t xml:space="preserve">, is involved in proper bacterial growth and envelope assembly. </w:t>
      </w:r>
      <w:r w:rsidRPr="002C66A9">
        <w:rPr>
          <w:rFonts w:ascii="Times New Roman" w:hAnsi="Times New Roman" w:cs="Times New Roman"/>
          <w:i/>
        </w:rPr>
        <w:t>J. Biol. Chem</w:t>
      </w:r>
      <w:r w:rsidRPr="002C66A9">
        <w:rPr>
          <w:rFonts w:ascii="Times New Roman" w:hAnsi="Times New Roman" w:cs="Times New Roman"/>
        </w:rPr>
        <w:t>. 286, 32593–32605.</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Frankel, M.B., Schneewind, O., 2012.</w:t>
      </w:r>
      <w:r w:rsidRPr="002C66A9">
        <w:rPr>
          <w:rFonts w:ascii="Times New Roman" w:hAnsi="Times New Roman" w:cs="Times New Roman"/>
        </w:rPr>
        <w:t xml:space="preserve"> Determinants of murein hydrolase targeting to the cross wall of </w:t>
      </w:r>
      <w:r w:rsidRPr="002C66A9">
        <w:rPr>
          <w:rFonts w:ascii="Times New Roman" w:hAnsi="Times New Roman" w:cs="Times New Roman"/>
          <w:i/>
        </w:rPr>
        <w:t>Staphylococcus aureus</w:t>
      </w:r>
      <w:r w:rsidRPr="002C66A9">
        <w:rPr>
          <w:rFonts w:ascii="Times New Roman" w:hAnsi="Times New Roman" w:cs="Times New Roman"/>
        </w:rPr>
        <w:t xml:space="preserve"> peptidoglycan. </w:t>
      </w:r>
      <w:r w:rsidRPr="002C66A9">
        <w:rPr>
          <w:rFonts w:ascii="Times New Roman" w:hAnsi="Times New Roman" w:cs="Times New Roman"/>
          <w:i/>
        </w:rPr>
        <w:t>J. Biol. Chem</w:t>
      </w:r>
      <w:r w:rsidRPr="002C66A9">
        <w:rPr>
          <w:rFonts w:ascii="Times New Roman" w:hAnsi="Times New Roman" w:cs="Times New Roman"/>
        </w:rPr>
        <w:t>. 287, 10460–10471.</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Fu, G., Huang, T., Buss, J., Coltharp, C., Hensel, Z., Xiao, J., 2010.</w:t>
      </w:r>
      <w:r w:rsidRPr="002C66A9">
        <w:rPr>
          <w:rFonts w:ascii="Times New Roman" w:hAnsi="Times New Roman" w:cs="Times New Roman"/>
        </w:rPr>
        <w:t xml:space="preserve"> </w:t>
      </w:r>
      <w:proofErr w:type="gramStart"/>
      <w:r w:rsidRPr="002C66A9">
        <w:rPr>
          <w:rFonts w:ascii="Times New Roman" w:hAnsi="Times New Roman" w:cs="Times New Roman"/>
          <w:i/>
        </w:rPr>
        <w:t>In vivo</w:t>
      </w:r>
      <w:r w:rsidRPr="002C66A9">
        <w:rPr>
          <w:rFonts w:ascii="Times New Roman" w:hAnsi="Times New Roman" w:cs="Times New Roman"/>
        </w:rPr>
        <w:t xml:space="preserve"> structure of the </w:t>
      </w:r>
      <w:r w:rsidRPr="002C66A9">
        <w:rPr>
          <w:rFonts w:ascii="Times New Roman" w:hAnsi="Times New Roman" w:cs="Times New Roman"/>
          <w:i/>
        </w:rPr>
        <w:t>E. coli</w:t>
      </w:r>
      <w:r w:rsidRPr="002C66A9">
        <w:rPr>
          <w:rFonts w:ascii="Times New Roman" w:hAnsi="Times New Roman" w:cs="Times New Roman"/>
        </w:rPr>
        <w:t xml:space="preserve"> FtsZ-ring revealed by photoactivated localization microscopy (PALM).</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PLoS ONE</w:t>
      </w:r>
      <w:r w:rsidRPr="002C66A9">
        <w:rPr>
          <w:rFonts w:ascii="Times New Roman" w:hAnsi="Times New Roman" w:cs="Times New Roman"/>
        </w:rPr>
        <w:t>.</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5, e12682.</w:t>
      </w:r>
      <w:proofErr w:type="gramEnd"/>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Fuchs-Cleveland, E., Gilvarg, C., 1976.</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 xml:space="preserve">Oligomeric intermediate in peptidoglycan biosynthesis in </w:t>
      </w:r>
      <w:r w:rsidRPr="002C66A9">
        <w:rPr>
          <w:rFonts w:ascii="Times New Roman" w:hAnsi="Times New Roman" w:cs="Times New Roman"/>
          <w:i/>
        </w:rPr>
        <w:t>Bacillus megaterium</w:t>
      </w:r>
      <w:r w:rsidRPr="002C66A9">
        <w:rPr>
          <w:rFonts w:ascii="Times New Roman" w:hAnsi="Times New Roman" w:cs="Times New Roman"/>
        </w:rPr>
        <w:t>.</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Proc. Natl. Acad. Sci. U.S.A</w:t>
      </w:r>
      <w:r w:rsidRPr="002C66A9">
        <w:rPr>
          <w:rFonts w:ascii="Times New Roman" w:hAnsi="Times New Roman" w:cs="Times New Roman"/>
        </w:rPr>
        <w:t>. 73, 4200–4204.</w:t>
      </w:r>
      <w:proofErr w:type="gramEnd"/>
    </w:p>
    <w:p w:rsidR="009831BC" w:rsidRPr="002C66A9" w:rsidRDefault="009831BC" w:rsidP="009831BC">
      <w:pPr>
        <w:pStyle w:val="Bibliography"/>
        <w:spacing w:after="100"/>
        <w:ind w:left="284" w:hanging="284"/>
        <w:jc w:val="both"/>
        <w:rPr>
          <w:rFonts w:ascii="Times New Roman" w:hAnsi="Times New Roman" w:cs="Times New Roman"/>
          <w:lang w:val="de-DE"/>
        </w:rPr>
      </w:pPr>
      <w:r w:rsidRPr="009831BC">
        <w:rPr>
          <w:rFonts w:ascii="Times New Roman" w:hAnsi="Times New Roman" w:cs="Times New Roman"/>
          <w:b/>
          <w:lang w:val="de-DE"/>
        </w:rPr>
        <w:t>Fukushima, T., Furihata, I., Emmins, R., Daniel, R.A., Hoch, J.A., Szurmant, H., 2011.</w:t>
      </w:r>
      <w:r w:rsidRPr="009831BC">
        <w:rPr>
          <w:rFonts w:ascii="Times New Roman" w:hAnsi="Times New Roman" w:cs="Times New Roman"/>
          <w:lang w:val="de-DE"/>
        </w:rPr>
        <w:t xml:space="preserve"> </w:t>
      </w:r>
      <w:proofErr w:type="gramStart"/>
      <w:r w:rsidRPr="002C66A9">
        <w:rPr>
          <w:rFonts w:ascii="Times New Roman" w:hAnsi="Times New Roman" w:cs="Times New Roman"/>
        </w:rPr>
        <w:t>A role for the essential YycG sensor histidine kinase in sensing cell division.</w:t>
      </w:r>
      <w:proofErr w:type="gramEnd"/>
      <w:r w:rsidRPr="002C66A9">
        <w:rPr>
          <w:rFonts w:ascii="Times New Roman" w:hAnsi="Times New Roman" w:cs="Times New Roman"/>
        </w:rPr>
        <w:t xml:space="preserve"> </w:t>
      </w:r>
      <w:r w:rsidRPr="002C66A9">
        <w:rPr>
          <w:rFonts w:ascii="Times New Roman" w:hAnsi="Times New Roman" w:cs="Times New Roman"/>
          <w:i/>
          <w:lang w:val="de-DE"/>
        </w:rPr>
        <w:t>Mol. Microbiol</w:t>
      </w:r>
      <w:r w:rsidRPr="002C66A9">
        <w:rPr>
          <w:rFonts w:ascii="Times New Roman" w:hAnsi="Times New Roman" w:cs="Times New Roman"/>
          <w:lang w:val="de-DE"/>
        </w:rPr>
        <w:t>. 79, 503–522.</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lang w:val="de-DE"/>
        </w:rPr>
        <w:t>Fukushima, T., Szurmant, H., Kim, E.-J., Perego, M., Hoch, J.A., 2008.</w:t>
      </w:r>
      <w:r w:rsidRPr="002C66A9">
        <w:rPr>
          <w:rFonts w:ascii="Times New Roman" w:hAnsi="Times New Roman" w:cs="Times New Roman"/>
          <w:lang w:val="de-DE"/>
        </w:rPr>
        <w:t xml:space="preserve"> </w:t>
      </w:r>
      <w:proofErr w:type="gramStart"/>
      <w:r w:rsidRPr="002C66A9">
        <w:rPr>
          <w:rFonts w:ascii="Times New Roman" w:hAnsi="Times New Roman" w:cs="Times New Roman"/>
        </w:rPr>
        <w:t>A sensor</w:t>
      </w:r>
      <w:proofErr w:type="gramEnd"/>
      <w:r w:rsidRPr="002C66A9">
        <w:rPr>
          <w:rFonts w:ascii="Times New Roman" w:hAnsi="Times New Roman" w:cs="Times New Roman"/>
        </w:rPr>
        <w:t xml:space="preserve"> histidine kinase co-ordinates cell wall architecture with cell division in </w:t>
      </w:r>
      <w:r w:rsidRPr="002C66A9">
        <w:rPr>
          <w:rFonts w:ascii="Times New Roman" w:hAnsi="Times New Roman" w:cs="Times New Roman"/>
          <w:i/>
        </w:rPr>
        <w:t>Bacillus subtilis</w:t>
      </w:r>
      <w:r w:rsidRPr="002C66A9">
        <w:rPr>
          <w:rFonts w:ascii="Times New Roman" w:hAnsi="Times New Roman" w:cs="Times New Roman"/>
        </w:rPr>
        <w:t xml:space="preserve">. </w:t>
      </w:r>
      <w:r w:rsidRPr="002C66A9">
        <w:rPr>
          <w:rFonts w:ascii="Times New Roman" w:hAnsi="Times New Roman" w:cs="Times New Roman"/>
          <w:i/>
        </w:rPr>
        <w:t>Mol. Microbiol</w:t>
      </w:r>
      <w:r w:rsidRPr="002C66A9">
        <w:rPr>
          <w:rFonts w:ascii="Times New Roman" w:hAnsi="Times New Roman" w:cs="Times New Roman"/>
        </w:rPr>
        <w:t>. 69, 621–632.</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Furchtgott, L., Wingreen, N.S., Huang, K.C., 2011.</w:t>
      </w:r>
      <w:proofErr w:type="gramEnd"/>
      <w:r w:rsidRPr="002C66A9">
        <w:rPr>
          <w:rFonts w:ascii="Times New Roman" w:hAnsi="Times New Roman" w:cs="Times New Roman"/>
        </w:rPr>
        <w:t xml:space="preserve"> Mechanisms for maintaining cell shape in rod-shaped Gram-negative bacteria. </w:t>
      </w:r>
      <w:r w:rsidRPr="002C66A9">
        <w:rPr>
          <w:rFonts w:ascii="Times New Roman" w:hAnsi="Times New Roman" w:cs="Times New Roman"/>
          <w:i/>
        </w:rPr>
        <w:t>Mol. Microbiol</w:t>
      </w:r>
      <w:r w:rsidRPr="002C66A9">
        <w:rPr>
          <w:rFonts w:ascii="Times New Roman" w:hAnsi="Times New Roman" w:cs="Times New Roman"/>
        </w:rPr>
        <w:t>. 81, 340–353.</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Gan, L., Chen, S., Jensen, G.J., 2008.</w:t>
      </w:r>
      <w:r w:rsidRPr="002C66A9">
        <w:rPr>
          <w:rFonts w:ascii="Times New Roman" w:hAnsi="Times New Roman" w:cs="Times New Roman"/>
        </w:rPr>
        <w:t xml:space="preserve"> </w:t>
      </w:r>
      <w:proofErr w:type="gramStart"/>
      <w:r w:rsidRPr="002C66A9">
        <w:rPr>
          <w:rFonts w:ascii="Times New Roman" w:hAnsi="Times New Roman" w:cs="Times New Roman"/>
        </w:rPr>
        <w:t>Molecular organization of Gram-negative peptidoglycan.</w:t>
      </w:r>
      <w:proofErr w:type="gramEnd"/>
      <w:r w:rsidRPr="002C66A9">
        <w:rPr>
          <w:rFonts w:ascii="Times New Roman" w:hAnsi="Times New Roman" w:cs="Times New Roman"/>
        </w:rPr>
        <w:t xml:space="preserve"> </w:t>
      </w:r>
      <w:r w:rsidRPr="002C66A9">
        <w:rPr>
          <w:rFonts w:ascii="Times New Roman" w:hAnsi="Times New Roman" w:cs="Times New Roman"/>
          <w:i/>
        </w:rPr>
        <w:t>Proc. Natl. Acad. Sci. U.S.A.</w:t>
      </w:r>
      <w:r w:rsidRPr="002C66A9">
        <w:rPr>
          <w:rFonts w:ascii="Times New Roman" w:hAnsi="Times New Roman" w:cs="Times New Roman"/>
        </w:rPr>
        <w:t xml:space="preserve"> 105, 18953–18957.</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Garcia, D.L., Dillard, J.P., 2006.</w:t>
      </w:r>
      <w:r w:rsidRPr="002C66A9">
        <w:rPr>
          <w:rFonts w:ascii="Times New Roman" w:hAnsi="Times New Roman" w:cs="Times New Roman"/>
        </w:rPr>
        <w:t xml:space="preserve"> AmiC functions as an </w:t>
      </w:r>
      <w:r w:rsidRPr="002C66A9">
        <w:rPr>
          <w:rFonts w:ascii="Times New Roman" w:hAnsi="Times New Roman" w:cs="Times New Roman"/>
          <w:i/>
        </w:rPr>
        <w:t>N</w:t>
      </w:r>
      <w:r w:rsidRPr="002C66A9">
        <w:rPr>
          <w:rFonts w:ascii="Times New Roman" w:hAnsi="Times New Roman" w:cs="Times New Roman"/>
        </w:rPr>
        <w:t>-acetylmuramyl-</w:t>
      </w:r>
      <w:r w:rsidRPr="002C66A9">
        <w:rPr>
          <w:rFonts w:ascii="Times New Roman" w:hAnsi="Times New Roman" w:cs="Times New Roman"/>
          <w:sz w:val="16"/>
          <w:szCs w:val="16"/>
        </w:rPr>
        <w:t>L</w:t>
      </w:r>
      <w:r w:rsidRPr="002C66A9">
        <w:rPr>
          <w:rFonts w:ascii="Times New Roman" w:hAnsi="Times New Roman" w:cs="Times New Roman"/>
        </w:rPr>
        <w:t xml:space="preserve">-alanine amidase necessary for cell separation and can promote autolysis in </w:t>
      </w:r>
      <w:r w:rsidRPr="002C66A9">
        <w:rPr>
          <w:rFonts w:ascii="Times New Roman" w:hAnsi="Times New Roman" w:cs="Times New Roman"/>
          <w:i/>
        </w:rPr>
        <w:t>Neisseria gonorrhoeae</w:t>
      </w:r>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188, 7211–7221.</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García, P., González, M.P., García, E., López, R., García, J.L., 1999.</w:t>
      </w:r>
      <w:r w:rsidRPr="002C66A9">
        <w:rPr>
          <w:rFonts w:ascii="Times New Roman" w:hAnsi="Times New Roman" w:cs="Times New Roman"/>
        </w:rPr>
        <w:t xml:space="preserve"> </w:t>
      </w:r>
      <w:proofErr w:type="gramStart"/>
      <w:r w:rsidRPr="002C66A9">
        <w:rPr>
          <w:rFonts w:ascii="Times New Roman" w:hAnsi="Times New Roman" w:cs="Times New Roman"/>
        </w:rPr>
        <w:t>LytB, a novel pneumococcal murein hydrolase essential for cell separation.</w:t>
      </w:r>
      <w:proofErr w:type="gramEnd"/>
      <w:r w:rsidRPr="002C66A9">
        <w:rPr>
          <w:rFonts w:ascii="Times New Roman" w:hAnsi="Times New Roman" w:cs="Times New Roman"/>
        </w:rPr>
        <w:t xml:space="preserve"> </w:t>
      </w:r>
      <w:r w:rsidRPr="002C66A9">
        <w:rPr>
          <w:rFonts w:ascii="Times New Roman" w:hAnsi="Times New Roman" w:cs="Times New Roman"/>
          <w:i/>
        </w:rPr>
        <w:t>Mol. Microbiol</w:t>
      </w:r>
      <w:r w:rsidRPr="002C66A9">
        <w:rPr>
          <w:rFonts w:ascii="Times New Roman" w:hAnsi="Times New Roman" w:cs="Times New Roman"/>
        </w:rPr>
        <w:t>. 31, 1275–1281.</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Ghuysen, J.M., 1968. </w:t>
      </w:r>
      <w:proofErr w:type="gramStart"/>
      <w:r w:rsidRPr="002C66A9">
        <w:rPr>
          <w:rFonts w:ascii="Times New Roman" w:hAnsi="Times New Roman" w:cs="Times New Roman"/>
        </w:rPr>
        <w:t>Use of bacteriolytic enzymes in determination of wall structure and their role in cell metabolism.</w:t>
      </w:r>
      <w:proofErr w:type="gramEnd"/>
      <w:r w:rsidRPr="002C66A9">
        <w:rPr>
          <w:rFonts w:ascii="Times New Roman" w:hAnsi="Times New Roman" w:cs="Times New Roman"/>
        </w:rPr>
        <w:t xml:space="preserve"> </w:t>
      </w:r>
      <w:r w:rsidRPr="002C66A9">
        <w:rPr>
          <w:rFonts w:ascii="Times New Roman" w:hAnsi="Times New Roman" w:cs="Times New Roman"/>
          <w:i/>
        </w:rPr>
        <w:t>Bacteriol Rev</w:t>
      </w:r>
      <w:r w:rsidRPr="002C66A9">
        <w:rPr>
          <w:rFonts w:ascii="Times New Roman" w:hAnsi="Times New Roman" w:cs="Times New Roman"/>
        </w:rPr>
        <w:t>. 32, 425–464.</w:t>
      </w:r>
    </w:p>
    <w:p w:rsidR="009831BC" w:rsidRPr="002C66A9" w:rsidRDefault="009831BC" w:rsidP="009831BC">
      <w:pPr>
        <w:pStyle w:val="Bibliography"/>
        <w:spacing w:after="100"/>
        <w:ind w:left="284" w:hanging="284"/>
        <w:jc w:val="both"/>
        <w:rPr>
          <w:rFonts w:ascii="Times New Roman" w:hAnsi="Times New Roman" w:cs="Times New Roman"/>
          <w:lang w:val="de-DE"/>
        </w:rPr>
      </w:pPr>
      <w:r w:rsidRPr="002C66A9">
        <w:rPr>
          <w:rFonts w:ascii="Times New Roman" w:hAnsi="Times New Roman" w:cs="Times New Roman"/>
          <w:b/>
        </w:rPr>
        <w:t>Ghuysen, J.M., 1991.</w:t>
      </w:r>
      <w:r w:rsidRPr="002C66A9">
        <w:rPr>
          <w:rFonts w:ascii="Times New Roman" w:hAnsi="Times New Roman" w:cs="Times New Roman"/>
        </w:rPr>
        <w:t xml:space="preserve"> </w:t>
      </w:r>
      <w:proofErr w:type="gramStart"/>
      <w:r w:rsidRPr="002C66A9">
        <w:rPr>
          <w:rFonts w:ascii="Times New Roman" w:hAnsi="Times New Roman" w:cs="Times New Roman"/>
        </w:rPr>
        <w:t>Serine beta-lactamases and penicillin-binding proteins.</w:t>
      </w:r>
      <w:proofErr w:type="gramEnd"/>
      <w:r w:rsidRPr="002C66A9">
        <w:rPr>
          <w:rFonts w:ascii="Times New Roman" w:hAnsi="Times New Roman" w:cs="Times New Roman"/>
        </w:rPr>
        <w:t xml:space="preserve"> </w:t>
      </w:r>
      <w:r w:rsidRPr="002C66A9">
        <w:rPr>
          <w:rFonts w:ascii="Times New Roman" w:hAnsi="Times New Roman" w:cs="Times New Roman"/>
          <w:i/>
          <w:lang w:val="de-DE"/>
        </w:rPr>
        <w:t>Annu. Rev. Microbiol</w:t>
      </w:r>
      <w:r w:rsidRPr="002C66A9">
        <w:rPr>
          <w:rFonts w:ascii="Times New Roman" w:hAnsi="Times New Roman" w:cs="Times New Roman"/>
          <w:lang w:val="de-DE"/>
        </w:rPr>
        <w:t>. 45, 37–67.</w:t>
      </w:r>
    </w:p>
    <w:p w:rsidR="009831BC" w:rsidRPr="002C66A9" w:rsidRDefault="009831BC" w:rsidP="009831BC">
      <w:pPr>
        <w:pStyle w:val="Bibliography"/>
        <w:spacing w:after="100"/>
        <w:ind w:left="284" w:hanging="284"/>
        <w:jc w:val="both"/>
        <w:rPr>
          <w:rFonts w:ascii="Times New Roman" w:hAnsi="Times New Roman" w:cs="Times New Roman"/>
          <w:lang w:val="de-DE"/>
        </w:rPr>
      </w:pPr>
      <w:r w:rsidRPr="002C66A9">
        <w:rPr>
          <w:rFonts w:ascii="Times New Roman" w:hAnsi="Times New Roman" w:cs="Times New Roman"/>
          <w:b/>
          <w:lang w:val="de-DE"/>
        </w:rPr>
        <w:lastRenderedPageBreak/>
        <w:t>Giesbrecht, P., Kersten, T., Maidhof, H., Wecke, J., 1997.</w:t>
      </w:r>
      <w:r w:rsidRPr="002C66A9">
        <w:rPr>
          <w:rFonts w:ascii="Times New Roman" w:hAnsi="Times New Roman" w:cs="Times New Roman"/>
          <w:lang w:val="de-DE"/>
        </w:rPr>
        <w:t xml:space="preserve"> </w:t>
      </w:r>
      <w:r w:rsidRPr="002C66A9">
        <w:rPr>
          <w:rFonts w:ascii="Times New Roman" w:hAnsi="Times New Roman" w:cs="Times New Roman"/>
        </w:rPr>
        <w:t xml:space="preserve">Two alternative mechanisms of cell separation in staphylococci: one lytic and one mechanical. </w:t>
      </w:r>
      <w:r w:rsidRPr="002C66A9">
        <w:rPr>
          <w:rFonts w:ascii="Times New Roman" w:hAnsi="Times New Roman" w:cs="Times New Roman"/>
          <w:i/>
          <w:lang w:val="de-DE"/>
        </w:rPr>
        <w:t>Arch. Microbiol</w:t>
      </w:r>
      <w:r w:rsidRPr="002C66A9">
        <w:rPr>
          <w:rFonts w:ascii="Times New Roman" w:hAnsi="Times New Roman" w:cs="Times New Roman"/>
          <w:lang w:val="de-DE"/>
        </w:rPr>
        <w:t>. 167, 239–250.</w:t>
      </w:r>
    </w:p>
    <w:p w:rsidR="009831BC" w:rsidRPr="002C66A9" w:rsidRDefault="009831BC" w:rsidP="009831BC">
      <w:pPr>
        <w:pStyle w:val="Bibliography"/>
        <w:spacing w:after="100"/>
        <w:ind w:left="284" w:hanging="284"/>
        <w:jc w:val="both"/>
        <w:rPr>
          <w:rFonts w:ascii="Times New Roman" w:hAnsi="Times New Roman" w:cs="Times New Roman"/>
          <w:lang w:val="de-DE"/>
        </w:rPr>
      </w:pPr>
      <w:r w:rsidRPr="002C66A9">
        <w:rPr>
          <w:rFonts w:ascii="Times New Roman" w:hAnsi="Times New Roman" w:cs="Times New Roman"/>
          <w:b/>
          <w:lang w:val="de-DE"/>
        </w:rPr>
        <w:t>Giesbrecht, P., Kersten, T., Maidhof, H., Wecke, J., 1998.</w:t>
      </w:r>
      <w:r w:rsidRPr="002C66A9">
        <w:rPr>
          <w:rFonts w:ascii="Times New Roman" w:hAnsi="Times New Roman" w:cs="Times New Roman"/>
          <w:lang w:val="de-DE"/>
        </w:rPr>
        <w:t xml:space="preserve"> </w:t>
      </w:r>
      <w:r w:rsidRPr="002C66A9">
        <w:rPr>
          <w:rFonts w:ascii="Times New Roman" w:hAnsi="Times New Roman" w:cs="Times New Roman"/>
          <w:i/>
        </w:rPr>
        <w:t>Staphylococcal</w:t>
      </w:r>
      <w:r w:rsidRPr="002C66A9">
        <w:rPr>
          <w:rFonts w:ascii="Times New Roman" w:hAnsi="Times New Roman" w:cs="Times New Roman"/>
        </w:rPr>
        <w:t xml:space="preserve"> cell wall: morphogenesis and fatal variations in the presence of penicillin. </w:t>
      </w:r>
      <w:r w:rsidRPr="002C66A9">
        <w:rPr>
          <w:rFonts w:ascii="Times New Roman" w:hAnsi="Times New Roman" w:cs="Times New Roman"/>
          <w:i/>
          <w:lang w:val="de-DE"/>
        </w:rPr>
        <w:t>Microbiol. Mol. Biol. Rev</w:t>
      </w:r>
      <w:r w:rsidRPr="002C66A9">
        <w:rPr>
          <w:rFonts w:ascii="Times New Roman" w:hAnsi="Times New Roman" w:cs="Times New Roman"/>
          <w:lang w:val="de-DE"/>
        </w:rPr>
        <w:t>. 62, 1371–1414.</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lang w:val="de-DE"/>
        </w:rPr>
        <w:t>Giesbrecht, P., Kersten, T., Wecke, J., 1992.</w:t>
      </w:r>
      <w:r w:rsidRPr="002C66A9">
        <w:rPr>
          <w:rFonts w:ascii="Times New Roman" w:hAnsi="Times New Roman" w:cs="Times New Roman"/>
          <w:lang w:val="de-DE"/>
        </w:rPr>
        <w:t xml:space="preserve"> </w:t>
      </w:r>
      <w:r w:rsidRPr="002C66A9">
        <w:rPr>
          <w:rFonts w:ascii="Times New Roman" w:hAnsi="Times New Roman" w:cs="Times New Roman"/>
        </w:rPr>
        <w:t xml:space="preserve">Fan-shaped ejections of regularly arranged murosomes involved in penicillin-induced death of staphylococci. </w:t>
      </w:r>
      <w:r w:rsidRPr="002C66A9">
        <w:rPr>
          <w:rFonts w:ascii="Times New Roman" w:hAnsi="Times New Roman" w:cs="Times New Roman"/>
          <w:i/>
        </w:rPr>
        <w:t>J. Bacteriol</w:t>
      </w:r>
      <w:r w:rsidRPr="002C66A9">
        <w:rPr>
          <w:rFonts w:ascii="Times New Roman" w:hAnsi="Times New Roman" w:cs="Times New Roman"/>
        </w:rPr>
        <w:t>. 174, 2241–2252.</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Gilbo, C.M., Beaton, C.D., Coles, N.W., 1967.</w:t>
      </w:r>
      <w:r w:rsidRPr="002C66A9">
        <w:rPr>
          <w:rFonts w:ascii="Times New Roman" w:hAnsi="Times New Roman" w:cs="Times New Roman"/>
        </w:rPr>
        <w:t xml:space="preserve"> </w:t>
      </w:r>
      <w:proofErr w:type="gramStart"/>
      <w:r w:rsidRPr="002C66A9">
        <w:rPr>
          <w:rFonts w:ascii="Times New Roman" w:hAnsi="Times New Roman" w:cs="Times New Roman"/>
        </w:rPr>
        <w:t xml:space="preserve">Electron microscopy of the lysis of </w:t>
      </w:r>
      <w:r w:rsidRPr="002C66A9">
        <w:rPr>
          <w:rFonts w:ascii="Times New Roman" w:hAnsi="Times New Roman" w:cs="Times New Roman"/>
          <w:i/>
        </w:rPr>
        <w:t>Staphylococcus aureus</w:t>
      </w:r>
      <w:r w:rsidRPr="002C66A9">
        <w:rPr>
          <w:rFonts w:ascii="Times New Roman" w:hAnsi="Times New Roman" w:cs="Times New Roman"/>
        </w:rPr>
        <w:t xml:space="preserve"> cell walls by </w:t>
      </w:r>
      <w:r w:rsidRPr="002C66A9">
        <w:rPr>
          <w:rFonts w:ascii="Times New Roman" w:hAnsi="Times New Roman" w:cs="Times New Roman"/>
          <w:i/>
        </w:rPr>
        <w:t>Aeromonas</w:t>
      </w:r>
      <w:r w:rsidRPr="002C66A9">
        <w:rPr>
          <w:rFonts w:ascii="Times New Roman" w:hAnsi="Times New Roman" w:cs="Times New Roman"/>
        </w:rPr>
        <w:t xml:space="preserve"> lytic factor.</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J Bacteriol</w:t>
      </w:r>
      <w:r w:rsidRPr="002C66A9">
        <w:rPr>
          <w:rFonts w:ascii="Times New Roman" w:hAnsi="Times New Roman" w:cs="Times New Roman"/>
        </w:rPr>
        <w:t>.</w:t>
      </w:r>
      <w:proofErr w:type="gramEnd"/>
      <w:r w:rsidRPr="002C66A9">
        <w:rPr>
          <w:rFonts w:ascii="Times New Roman" w:hAnsi="Times New Roman" w:cs="Times New Roman"/>
        </w:rPr>
        <w:t xml:space="preserve"> 93, 1972–1975.</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Girardin, S.E., Philpott, D.J., 2004.</w:t>
      </w:r>
      <w:r w:rsidRPr="002C66A9">
        <w:rPr>
          <w:rFonts w:ascii="Times New Roman" w:hAnsi="Times New Roman" w:cs="Times New Roman"/>
        </w:rPr>
        <w:t xml:space="preserve"> </w:t>
      </w:r>
      <w:proofErr w:type="gramStart"/>
      <w:r w:rsidRPr="002C66A9">
        <w:rPr>
          <w:rFonts w:ascii="Times New Roman" w:hAnsi="Times New Roman" w:cs="Times New Roman"/>
        </w:rPr>
        <w:t>The role of peptidoglycan recognition in innate immunity.</w:t>
      </w:r>
      <w:proofErr w:type="gramEnd"/>
      <w:r w:rsidRPr="002C66A9">
        <w:rPr>
          <w:rFonts w:ascii="Times New Roman" w:hAnsi="Times New Roman" w:cs="Times New Roman"/>
        </w:rPr>
        <w:t xml:space="preserve"> </w:t>
      </w:r>
      <w:r w:rsidRPr="002C66A9">
        <w:rPr>
          <w:rFonts w:ascii="Times New Roman" w:hAnsi="Times New Roman" w:cs="Times New Roman"/>
          <w:i/>
        </w:rPr>
        <w:t>Eur J Immunol</w:t>
      </w:r>
      <w:r w:rsidRPr="002C66A9">
        <w:rPr>
          <w:rFonts w:ascii="Times New Roman" w:hAnsi="Times New Roman" w:cs="Times New Roman"/>
        </w:rPr>
        <w:t>. 34, 1777–1782.</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Glauner, B., 1988.</w:t>
      </w:r>
      <w:r w:rsidRPr="002C66A9">
        <w:rPr>
          <w:rFonts w:ascii="Times New Roman" w:hAnsi="Times New Roman" w:cs="Times New Roman"/>
        </w:rPr>
        <w:t xml:space="preserve"> </w:t>
      </w:r>
      <w:proofErr w:type="gramStart"/>
      <w:r w:rsidRPr="002C66A9">
        <w:rPr>
          <w:rFonts w:ascii="Times New Roman" w:hAnsi="Times New Roman" w:cs="Times New Roman"/>
        </w:rPr>
        <w:t>Separation and quantification of muropeptides with high-performance liquid chromatography.</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Anal.</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Biochem</w:t>
      </w:r>
      <w:r w:rsidRPr="002C66A9">
        <w:rPr>
          <w:rFonts w:ascii="Times New Roman" w:hAnsi="Times New Roman" w:cs="Times New Roman"/>
        </w:rPr>
        <w:t>.</w:t>
      </w:r>
      <w:proofErr w:type="gramEnd"/>
      <w:r w:rsidRPr="002C66A9">
        <w:rPr>
          <w:rFonts w:ascii="Times New Roman" w:hAnsi="Times New Roman" w:cs="Times New Roman"/>
        </w:rPr>
        <w:t xml:space="preserve"> 172, 451–464.</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Glauner, B., Höltje, J.V., Schwarz, U., 1988.</w:t>
      </w:r>
      <w:r w:rsidRPr="002C66A9">
        <w:rPr>
          <w:rFonts w:ascii="Times New Roman" w:hAnsi="Times New Roman" w:cs="Times New Roman"/>
        </w:rPr>
        <w:t xml:space="preserve"> </w:t>
      </w:r>
      <w:proofErr w:type="gramStart"/>
      <w:r w:rsidRPr="002C66A9">
        <w:rPr>
          <w:rFonts w:ascii="Times New Roman" w:hAnsi="Times New Roman" w:cs="Times New Roman"/>
        </w:rPr>
        <w:t xml:space="preserve">The composition of the murein of </w:t>
      </w:r>
      <w:r w:rsidRPr="002C66A9">
        <w:rPr>
          <w:rFonts w:ascii="Times New Roman" w:hAnsi="Times New Roman" w:cs="Times New Roman"/>
          <w:i/>
        </w:rPr>
        <w:t>Escherichia coli</w:t>
      </w:r>
      <w:r w:rsidRPr="002C66A9">
        <w:rPr>
          <w:rFonts w:ascii="Times New Roman" w:hAnsi="Times New Roman" w:cs="Times New Roman"/>
        </w:rPr>
        <w:t>.</w:t>
      </w:r>
      <w:proofErr w:type="gramEnd"/>
      <w:r w:rsidRPr="002C66A9">
        <w:rPr>
          <w:rFonts w:ascii="Times New Roman" w:hAnsi="Times New Roman" w:cs="Times New Roman"/>
          <w:i/>
        </w:rPr>
        <w:t xml:space="preserve"> J. Biol. Chem</w:t>
      </w:r>
      <w:r w:rsidRPr="002C66A9">
        <w:rPr>
          <w:rFonts w:ascii="Times New Roman" w:hAnsi="Times New Roman" w:cs="Times New Roman"/>
        </w:rPr>
        <w:t>. 263, 10088–10095.</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Goffin, C., Fraipont, C., Ayala, J., Terrak, M., Nguyen-Distèche, M., Ghuysen, J.M., 1996.</w:t>
      </w:r>
      <w:proofErr w:type="gramEnd"/>
      <w:r w:rsidRPr="002C66A9">
        <w:rPr>
          <w:rFonts w:ascii="Times New Roman" w:hAnsi="Times New Roman" w:cs="Times New Roman"/>
        </w:rPr>
        <w:t xml:space="preserve"> The non-penicillin-binding module of the tripartite penicillin-binding protein 3 of </w:t>
      </w:r>
      <w:r w:rsidRPr="002C66A9">
        <w:rPr>
          <w:rFonts w:ascii="Times New Roman" w:hAnsi="Times New Roman" w:cs="Times New Roman"/>
          <w:i/>
        </w:rPr>
        <w:t>Escherichia coli</w:t>
      </w:r>
      <w:r w:rsidRPr="002C66A9">
        <w:rPr>
          <w:rFonts w:ascii="Times New Roman" w:hAnsi="Times New Roman" w:cs="Times New Roman"/>
        </w:rPr>
        <w:t xml:space="preserve"> is required for folding and/or stability of the penicillin-binding module and the membrane-anchoring module confers cell septation activity on the folded structure. </w:t>
      </w:r>
      <w:r w:rsidRPr="002C66A9">
        <w:rPr>
          <w:rFonts w:ascii="Times New Roman" w:hAnsi="Times New Roman" w:cs="Times New Roman"/>
          <w:i/>
        </w:rPr>
        <w:t>J. Bacteriol</w:t>
      </w:r>
      <w:r w:rsidRPr="002C66A9">
        <w:rPr>
          <w:rFonts w:ascii="Times New Roman" w:hAnsi="Times New Roman" w:cs="Times New Roman"/>
        </w:rPr>
        <w:t>. 178, 5402–5409.</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Goley, E.D., Comolli, L.R., Fero, K.E., Downing, K.H., Shapiro, L., 2010. </w:t>
      </w:r>
      <w:r w:rsidRPr="002C66A9">
        <w:rPr>
          <w:rFonts w:ascii="Times New Roman" w:hAnsi="Times New Roman" w:cs="Times New Roman"/>
        </w:rPr>
        <w:t xml:space="preserve">DipM links peptidoglycan remodelling to outer membrane organization in </w:t>
      </w:r>
      <w:r w:rsidRPr="002C66A9">
        <w:rPr>
          <w:rFonts w:ascii="Times New Roman" w:hAnsi="Times New Roman" w:cs="Times New Roman"/>
          <w:i/>
        </w:rPr>
        <w:t>Caulobacter</w:t>
      </w:r>
      <w:r w:rsidRPr="002C66A9">
        <w:rPr>
          <w:rFonts w:ascii="Times New Roman" w:hAnsi="Times New Roman" w:cs="Times New Roman"/>
        </w:rPr>
        <w:t xml:space="preserve">. </w:t>
      </w:r>
      <w:r w:rsidRPr="002C66A9">
        <w:rPr>
          <w:rFonts w:ascii="Times New Roman" w:hAnsi="Times New Roman" w:cs="Times New Roman"/>
          <w:i/>
        </w:rPr>
        <w:t>Mol. Microbiol</w:t>
      </w:r>
      <w:r w:rsidRPr="002C66A9">
        <w:rPr>
          <w:rFonts w:ascii="Times New Roman" w:hAnsi="Times New Roman" w:cs="Times New Roman"/>
        </w:rPr>
        <w:t>. 77, 56–73.</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González-Pastor, J.E., Hobbs, E.C., Losick, R., 2003.</w:t>
      </w:r>
      <w:proofErr w:type="gramEnd"/>
      <w:r w:rsidRPr="002C66A9">
        <w:rPr>
          <w:rFonts w:ascii="Times New Roman" w:hAnsi="Times New Roman" w:cs="Times New Roman"/>
          <w:b/>
        </w:rPr>
        <w:t xml:space="preserve"> </w:t>
      </w:r>
      <w:proofErr w:type="gramStart"/>
      <w:r w:rsidRPr="002C66A9">
        <w:rPr>
          <w:rFonts w:ascii="Times New Roman" w:hAnsi="Times New Roman" w:cs="Times New Roman"/>
        </w:rPr>
        <w:t>Cannibalism by sporulating bacteria.</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Science</w:t>
      </w:r>
      <w:r w:rsidRPr="002C66A9">
        <w:rPr>
          <w:rFonts w:ascii="Times New Roman" w:hAnsi="Times New Roman" w:cs="Times New Roman"/>
        </w:rPr>
        <w:t>.</w:t>
      </w:r>
      <w:proofErr w:type="gramEnd"/>
      <w:r w:rsidRPr="002C66A9">
        <w:rPr>
          <w:rFonts w:ascii="Times New Roman" w:hAnsi="Times New Roman" w:cs="Times New Roman"/>
        </w:rPr>
        <w:t xml:space="preserve"> 301, 510–513.</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Gruss, A., Novick, R., 1986.</w:t>
      </w:r>
      <w:r w:rsidRPr="002C66A9">
        <w:rPr>
          <w:rFonts w:ascii="Times New Roman" w:hAnsi="Times New Roman" w:cs="Times New Roman"/>
        </w:rPr>
        <w:t xml:space="preserve"> Plasmid instability in regenerating protoplasts of </w:t>
      </w:r>
      <w:r w:rsidRPr="002C66A9">
        <w:rPr>
          <w:rFonts w:ascii="Times New Roman" w:hAnsi="Times New Roman" w:cs="Times New Roman"/>
          <w:i/>
        </w:rPr>
        <w:t>Staphylococcus aureus</w:t>
      </w:r>
      <w:r w:rsidRPr="002C66A9">
        <w:rPr>
          <w:rFonts w:ascii="Times New Roman" w:hAnsi="Times New Roman" w:cs="Times New Roman"/>
        </w:rPr>
        <w:t xml:space="preserve"> is caused by aberrant cell division. </w:t>
      </w:r>
      <w:r w:rsidRPr="002C66A9">
        <w:rPr>
          <w:rFonts w:ascii="Times New Roman" w:hAnsi="Times New Roman" w:cs="Times New Roman"/>
          <w:i/>
        </w:rPr>
        <w:t>J. Bacteriol</w:t>
      </w:r>
      <w:r w:rsidRPr="002C66A9">
        <w:rPr>
          <w:rFonts w:ascii="Times New Roman" w:hAnsi="Times New Roman" w:cs="Times New Roman"/>
        </w:rPr>
        <w:t>. 165, 878–883.</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Guérout-Fleury, A.M., Shazand, K., Frandsen, N., Stragier, P., 1995.</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 xml:space="preserve">Antibiotic-resistance cassettes for </w:t>
      </w:r>
      <w:r w:rsidRPr="002C66A9">
        <w:rPr>
          <w:rFonts w:ascii="Times New Roman" w:hAnsi="Times New Roman" w:cs="Times New Roman"/>
          <w:i/>
        </w:rPr>
        <w:t>Bacillus subtilis</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Gene</w:t>
      </w:r>
      <w:r w:rsidRPr="002C66A9">
        <w:rPr>
          <w:rFonts w:ascii="Times New Roman" w:hAnsi="Times New Roman" w:cs="Times New Roman"/>
        </w:rPr>
        <w:t>. 167, 335–336.</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Guinane, C.M., Cotter, P.D., Ross, R.P., Hill, C., 2006.</w:t>
      </w:r>
      <w:r w:rsidRPr="002C66A9">
        <w:rPr>
          <w:rFonts w:ascii="Times New Roman" w:hAnsi="Times New Roman" w:cs="Times New Roman"/>
        </w:rPr>
        <w:t xml:space="preserve"> </w:t>
      </w:r>
      <w:proofErr w:type="gramStart"/>
      <w:r w:rsidRPr="002C66A9">
        <w:rPr>
          <w:rFonts w:ascii="Times New Roman" w:hAnsi="Times New Roman" w:cs="Times New Roman"/>
        </w:rPr>
        <w:t xml:space="preserve">Contribution of penicillin-binding protein homologs to antibiotic resistance, cell morphology, and virulence of </w:t>
      </w:r>
      <w:r w:rsidRPr="002C66A9">
        <w:rPr>
          <w:rFonts w:ascii="Times New Roman" w:hAnsi="Times New Roman" w:cs="Times New Roman"/>
          <w:i/>
        </w:rPr>
        <w:t>Listeria monocytogenes</w:t>
      </w:r>
      <w:r w:rsidRPr="002C66A9">
        <w:rPr>
          <w:rFonts w:ascii="Times New Roman" w:hAnsi="Times New Roman" w:cs="Times New Roman"/>
        </w:rPr>
        <w:t xml:space="preserve"> EGDe.</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Antimicrob.</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Agents Chemother.</w:t>
      </w:r>
      <w:proofErr w:type="gramEnd"/>
      <w:r w:rsidRPr="002C66A9">
        <w:rPr>
          <w:rFonts w:ascii="Times New Roman" w:hAnsi="Times New Roman" w:cs="Times New Roman"/>
        </w:rPr>
        <w:t xml:space="preserve"> 50, 2824–2828.</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Gustafsson, M.G., 2000.</w:t>
      </w:r>
      <w:r w:rsidRPr="002C66A9">
        <w:rPr>
          <w:rFonts w:ascii="Times New Roman" w:hAnsi="Times New Roman" w:cs="Times New Roman"/>
        </w:rPr>
        <w:t xml:space="preserve"> </w:t>
      </w:r>
      <w:proofErr w:type="gramStart"/>
      <w:r w:rsidRPr="002C66A9">
        <w:rPr>
          <w:rFonts w:ascii="Times New Roman" w:hAnsi="Times New Roman" w:cs="Times New Roman"/>
        </w:rPr>
        <w:t>Surpassing the lateral resolution limit by a factor of two using structured illumination microscopy.</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J Microsc</w:t>
      </w:r>
      <w:r w:rsidRPr="002C66A9">
        <w:rPr>
          <w:rFonts w:ascii="Times New Roman" w:hAnsi="Times New Roman" w:cs="Times New Roman"/>
        </w:rPr>
        <w:t>.</w:t>
      </w:r>
      <w:proofErr w:type="gramEnd"/>
      <w:r w:rsidRPr="002C66A9">
        <w:rPr>
          <w:rFonts w:ascii="Times New Roman" w:hAnsi="Times New Roman" w:cs="Times New Roman"/>
        </w:rPr>
        <w:t xml:space="preserve"> 198, 82–87.</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Hamilton, R.C., Bover, F.G., Mason, T.J., 1975. </w:t>
      </w:r>
      <w:proofErr w:type="gramStart"/>
      <w:r w:rsidRPr="002C66A9">
        <w:rPr>
          <w:rFonts w:ascii="Times New Roman" w:hAnsi="Times New Roman" w:cs="Times New Roman"/>
        </w:rPr>
        <w:t xml:space="preserve">An association between fimbriae and pores in the wall of </w:t>
      </w:r>
      <w:r w:rsidRPr="002C66A9">
        <w:rPr>
          <w:rFonts w:ascii="Times New Roman" w:hAnsi="Times New Roman" w:cs="Times New Roman"/>
          <w:i/>
        </w:rPr>
        <w:t>Fusiformis nodosus</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J. Gen. Microbiol</w:t>
      </w:r>
      <w:r w:rsidRPr="002C66A9">
        <w:rPr>
          <w:rFonts w:ascii="Times New Roman" w:hAnsi="Times New Roman" w:cs="Times New Roman"/>
        </w:rPr>
        <w:t>. 91, 421–424.</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Hancock, L.E., Perego, M., 2004.</w:t>
      </w:r>
      <w:proofErr w:type="gramEnd"/>
      <w:r w:rsidRPr="002C66A9">
        <w:rPr>
          <w:rFonts w:ascii="Times New Roman" w:hAnsi="Times New Roman" w:cs="Times New Roman"/>
          <w:b/>
        </w:rPr>
        <w:t xml:space="preserve"> </w:t>
      </w:r>
      <w:proofErr w:type="gramStart"/>
      <w:r w:rsidRPr="002C66A9">
        <w:rPr>
          <w:rFonts w:ascii="Times New Roman" w:hAnsi="Times New Roman" w:cs="Times New Roman"/>
        </w:rPr>
        <w:t xml:space="preserve">Systematic inactivation and phenotypic characterization of two-component signal transduction systems of </w:t>
      </w:r>
      <w:r w:rsidRPr="002C66A9">
        <w:rPr>
          <w:rFonts w:ascii="Times New Roman" w:hAnsi="Times New Roman" w:cs="Times New Roman"/>
          <w:i/>
        </w:rPr>
        <w:t>Enterococcus faecalis</w:t>
      </w:r>
      <w:r w:rsidRPr="002C66A9">
        <w:rPr>
          <w:rFonts w:ascii="Times New Roman" w:hAnsi="Times New Roman" w:cs="Times New Roman"/>
        </w:rPr>
        <w:t xml:space="preserve"> V583.</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186, 7951–7958.</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Harris, F., Demel, R., de Kruijff, B., Phoenix, D.A., 1998. </w:t>
      </w:r>
      <w:proofErr w:type="gramStart"/>
      <w:r w:rsidRPr="002C66A9">
        <w:rPr>
          <w:rFonts w:ascii="Times New Roman" w:hAnsi="Times New Roman" w:cs="Times New Roman"/>
        </w:rPr>
        <w:t xml:space="preserve">An investigation into the lipid interactions of peptides corresponding to the C-terminal anchoring domains of </w:t>
      </w:r>
      <w:r w:rsidRPr="002C66A9">
        <w:rPr>
          <w:rFonts w:ascii="Times New Roman" w:hAnsi="Times New Roman" w:cs="Times New Roman"/>
          <w:i/>
        </w:rPr>
        <w:t>Escherichia coli</w:t>
      </w:r>
      <w:r w:rsidRPr="002C66A9">
        <w:rPr>
          <w:rFonts w:ascii="Times New Roman" w:hAnsi="Times New Roman" w:cs="Times New Roman"/>
        </w:rPr>
        <w:t xml:space="preserve"> penicillin-binding proteins 4, 5 and 6.</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Biochim Biophys Acta</w:t>
      </w:r>
      <w:r w:rsidRPr="002C66A9">
        <w:rPr>
          <w:rFonts w:ascii="Times New Roman" w:hAnsi="Times New Roman" w:cs="Times New Roman"/>
        </w:rPr>
        <w:t>.</w:t>
      </w:r>
      <w:proofErr w:type="gramEnd"/>
      <w:r w:rsidRPr="002C66A9">
        <w:rPr>
          <w:rFonts w:ascii="Times New Roman" w:hAnsi="Times New Roman" w:cs="Times New Roman"/>
        </w:rPr>
        <w:t xml:space="preserve"> 1415, 10–22.</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Harz, H., Burgdorf, K., Höltje, J.V., 1990.</w:t>
      </w:r>
      <w:r w:rsidRPr="002C66A9">
        <w:rPr>
          <w:rFonts w:ascii="Times New Roman" w:hAnsi="Times New Roman" w:cs="Times New Roman"/>
        </w:rPr>
        <w:t xml:space="preserve"> </w:t>
      </w:r>
      <w:proofErr w:type="gramStart"/>
      <w:r w:rsidRPr="002C66A9">
        <w:rPr>
          <w:rFonts w:ascii="Times New Roman" w:hAnsi="Times New Roman" w:cs="Times New Roman"/>
        </w:rPr>
        <w:t xml:space="preserve">Isolation and separation of the glycan strands from murein of </w:t>
      </w:r>
      <w:r w:rsidRPr="002C66A9">
        <w:rPr>
          <w:rFonts w:ascii="Times New Roman" w:hAnsi="Times New Roman" w:cs="Times New Roman"/>
          <w:i/>
        </w:rPr>
        <w:t>Escherichia coli</w:t>
      </w:r>
      <w:r w:rsidRPr="002C66A9">
        <w:rPr>
          <w:rFonts w:ascii="Times New Roman" w:hAnsi="Times New Roman" w:cs="Times New Roman"/>
        </w:rPr>
        <w:t xml:space="preserve"> by reversed-phase high-performance liquid chromatography.</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Anal.</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Biochem</w:t>
      </w:r>
      <w:r w:rsidRPr="002C66A9">
        <w:rPr>
          <w:rFonts w:ascii="Times New Roman" w:hAnsi="Times New Roman" w:cs="Times New Roman"/>
        </w:rPr>
        <w:t>.</w:t>
      </w:r>
      <w:proofErr w:type="gramEnd"/>
      <w:r w:rsidRPr="002C66A9">
        <w:rPr>
          <w:rFonts w:ascii="Times New Roman" w:hAnsi="Times New Roman" w:cs="Times New Roman"/>
        </w:rPr>
        <w:t xml:space="preserve"> 190, 120–128.</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lastRenderedPageBreak/>
        <w:t>Haugland, R.P., 2005.</w:t>
      </w:r>
      <w:r w:rsidRPr="002C66A9">
        <w:rPr>
          <w:rFonts w:ascii="Times New Roman" w:hAnsi="Times New Roman" w:cs="Times New Roman"/>
        </w:rPr>
        <w:t xml:space="preserve"> The handbook : a guide to fluorescent probes and labeling technologies. </w:t>
      </w:r>
      <w:proofErr w:type="gramStart"/>
      <w:r w:rsidRPr="002C66A9">
        <w:rPr>
          <w:rFonts w:ascii="Times New Roman" w:hAnsi="Times New Roman" w:cs="Times New Roman"/>
        </w:rPr>
        <w:t>Invitogen Corp., Carlsbad, California.</w:t>
      </w:r>
      <w:proofErr w:type="gramEnd"/>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Hayhurst, E.J., 2006.</w:t>
      </w:r>
      <w:r w:rsidRPr="002C66A9">
        <w:rPr>
          <w:rFonts w:ascii="Times New Roman" w:hAnsi="Times New Roman" w:cs="Times New Roman"/>
        </w:rPr>
        <w:t xml:space="preserve"> </w:t>
      </w:r>
      <w:proofErr w:type="gramStart"/>
      <w:r w:rsidRPr="002C66A9">
        <w:rPr>
          <w:rFonts w:ascii="Times New Roman" w:hAnsi="Times New Roman" w:cs="Times New Roman"/>
        </w:rPr>
        <w:t>Peptidoglycan structure and dynamics in Gram-positive bacteria.</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PhD thesis, University of Sheffield.</w:t>
      </w:r>
      <w:proofErr w:type="gramEnd"/>
    </w:p>
    <w:p w:rsidR="009831BC" w:rsidRPr="002C66A9" w:rsidRDefault="009831BC" w:rsidP="009831BC">
      <w:pPr>
        <w:pStyle w:val="Bibliography"/>
        <w:spacing w:after="100"/>
        <w:ind w:left="284" w:hanging="284"/>
        <w:jc w:val="both"/>
        <w:rPr>
          <w:rFonts w:ascii="Times New Roman" w:hAnsi="Times New Roman" w:cs="Times New Roman"/>
          <w:lang w:val="de-DE"/>
        </w:rPr>
      </w:pPr>
      <w:r w:rsidRPr="002C66A9">
        <w:rPr>
          <w:rFonts w:ascii="Times New Roman" w:hAnsi="Times New Roman" w:cs="Times New Roman"/>
          <w:b/>
        </w:rPr>
        <w:t>Hayhurst, E.J., Kailas, L., Hobbs, J.K., Foster, S.J., 2008.</w:t>
      </w:r>
      <w:r w:rsidRPr="002C66A9">
        <w:rPr>
          <w:rFonts w:ascii="Times New Roman" w:hAnsi="Times New Roman" w:cs="Times New Roman"/>
        </w:rPr>
        <w:t xml:space="preserve"> </w:t>
      </w:r>
      <w:proofErr w:type="gramStart"/>
      <w:r w:rsidRPr="002C66A9">
        <w:rPr>
          <w:rFonts w:ascii="Times New Roman" w:hAnsi="Times New Roman" w:cs="Times New Roman"/>
        </w:rPr>
        <w:t xml:space="preserve">Cell wall peptidoglycan architecture in </w:t>
      </w:r>
      <w:r w:rsidRPr="002C66A9">
        <w:rPr>
          <w:rFonts w:ascii="Times New Roman" w:hAnsi="Times New Roman" w:cs="Times New Roman"/>
          <w:i/>
        </w:rPr>
        <w:t>Bacillus subtilis</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lang w:val="de-DE"/>
        </w:rPr>
        <w:t>Proc. Natl. Acad. Sci. U.S.A</w:t>
      </w:r>
      <w:r w:rsidRPr="002C66A9">
        <w:rPr>
          <w:rFonts w:ascii="Times New Roman" w:hAnsi="Times New Roman" w:cs="Times New Roman"/>
          <w:lang w:val="de-DE"/>
        </w:rPr>
        <w:t>. 105, 14603–14608.</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lang w:val="de-DE"/>
        </w:rPr>
        <w:t>Heidrich, C., Ursinus, A., Berger, J., Schwarz, H., Höltje, J.-V., 2002.</w:t>
      </w:r>
      <w:r w:rsidRPr="002C66A9">
        <w:rPr>
          <w:rFonts w:ascii="Times New Roman" w:hAnsi="Times New Roman" w:cs="Times New Roman"/>
          <w:lang w:val="de-DE"/>
        </w:rPr>
        <w:t xml:space="preserve"> </w:t>
      </w:r>
      <w:proofErr w:type="gramStart"/>
      <w:r w:rsidRPr="002C66A9">
        <w:rPr>
          <w:rFonts w:ascii="Times New Roman" w:hAnsi="Times New Roman" w:cs="Times New Roman"/>
        </w:rPr>
        <w:t xml:space="preserve">Effects of multiple deletions of murein hydrolases on viability, septum cleavage, and sensitivity to large toxic molecules in </w:t>
      </w:r>
      <w:r w:rsidRPr="002C66A9">
        <w:rPr>
          <w:rFonts w:ascii="Times New Roman" w:hAnsi="Times New Roman" w:cs="Times New Roman"/>
          <w:i/>
        </w:rPr>
        <w:t>Escherichia coli</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184, 6093–6099.</w:t>
      </w:r>
    </w:p>
    <w:p w:rsidR="009831BC" w:rsidRPr="002C66A9" w:rsidRDefault="009831BC" w:rsidP="009831BC">
      <w:pPr>
        <w:pStyle w:val="Bibliography"/>
        <w:spacing w:after="100"/>
        <w:ind w:left="284" w:hanging="284"/>
        <w:jc w:val="both"/>
        <w:rPr>
          <w:rFonts w:ascii="Times New Roman" w:hAnsi="Times New Roman" w:cs="Times New Roman"/>
          <w:lang w:val="de-DE"/>
        </w:rPr>
      </w:pPr>
      <w:r w:rsidRPr="009831BC">
        <w:rPr>
          <w:rFonts w:ascii="Times New Roman" w:hAnsi="Times New Roman" w:cs="Times New Roman"/>
          <w:b/>
          <w:lang w:val="de-DE"/>
        </w:rPr>
        <w:t>Heilmann, C., Hartleib, J., Hussain, M.S., Peters, G., 2005.</w:t>
      </w:r>
      <w:r w:rsidRPr="009831BC">
        <w:rPr>
          <w:rFonts w:ascii="Times New Roman" w:hAnsi="Times New Roman" w:cs="Times New Roman"/>
          <w:lang w:val="de-DE"/>
        </w:rPr>
        <w:t xml:space="preserve"> </w:t>
      </w:r>
      <w:r w:rsidRPr="002C66A9">
        <w:rPr>
          <w:rFonts w:ascii="Times New Roman" w:hAnsi="Times New Roman" w:cs="Times New Roman"/>
        </w:rPr>
        <w:t xml:space="preserve">The multifunctional </w:t>
      </w:r>
      <w:r w:rsidRPr="002C66A9">
        <w:rPr>
          <w:rFonts w:ascii="Times New Roman" w:hAnsi="Times New Roman" w:cs="Times New Roman"/>
          <w:i/>
        </w:rPr>
        <w:t>Staphylococcus aureus</w:t>
      </w:r>
      <w:r w:rsidRPr="002C66A9">
        <w:rPr>
          <w:rFonts w:ascii="Times New Roman" w:hAnsi="Times New Roman" w:cs="Times New Roman"/>
        </w:rPr>
        <w:t xml:space="preserve"> autolysin </w:t>
      </w:r>
      <w:proofErr w:type="gramStart"/>
      <w:r w:rsidRPr="002C66A9">
        <w:rPr>
          <w:rFonts w:ascii="Times New Roman" w:hAnsi="Times New Roman" w:cs="Times New Roman"/>
        </w:rPr>
        <w:t>Aaa</w:t>
      </w:r>
      <w:proofErr w:type="gramEnd"/>
      <w:r w:rsidRPr="002C66A9">
        <w:rPr>
          <w:rFonts w:ascii="Times New Roman" w:hAnsi="Times New Roman" w:cs="Times New Roman"/>
        </w:rPr>
        <w:t xml:space="preserve"> mediates adherence to immobilized fibrinogen and fibronectin. </w:t>
      </w:r>
      <w:r w:rsidRPr="002C66A9">
        <w:rPr>
          <w:rFonts w:ascii="Times New Roman" w:hAnsi="Times New Roman" w:cs="Times New Roman"/>
          <w:i/>
          <w:lang w:val="de-DE"/>
        </w:rPr>
        <w:t>Infect. Immun</w:t>
      </w:r>
      <w:r w:rsidRPr="002C66A9">
        <w:rPr>
          <w:rFonts w:ascii="Times New Roman" w:hAnsi="Times New Roman" w:cs="Times New Roman"/>
          <w:lang w:val="de-DE"/>
        </w:rPr>
        <w:t>. 73, 4793–4802.</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lang w:val="de-DE"/>
        </w:rPr>
        <w:t>Heilmann, C., Hussain, M., Peters, G., Götz, F., 1997.</w:t>
      </w:r>
      <w:r w:rsidRPr="002C66A9">
        <w:rPr>
          <w:rFonts w:ascii="Times New Roman" w:hAnsi="Times New Roman" w:cs="Times New Roman"/>
          <w:lang w:val="de-DE"/>
        </w:rPr>
        <w:t xml:space="preserve"> </w:t>
      </w:r>
      <w:proofErr w:type="gramStart"/>
      <w:r w:rsidRPr="002C66A9">
        <w:rPr>
          <w:rFonts w:ascii="Times New Roman" w:hAnsi="Times New Roman" w:cs="Times New Roman"/>
        </w:rPr>
        <w:t xml:space="preserve">Evidence for autolysin-mediated primary attachment of </w:t>
      </w:r>
      <w:r w:rsidRPr="002C66A9">
        <w:rPr>
          <w:rFonts w:ascii="Times New Roman" w:hAnsi="Times New Roman" w:cs="Times New Roman"/>
          <w:i/>
        </w:rPr>
        <w:t>Staphylococcus epidermidis</w:t>
      </w:r>
      <w:r w:rsidRPr="002C66A9">
        <w:rPr>
          <w:rFonts w:ascii="Times New Roman" w:hAnsi="Times New Roman" w:cs="Times New Roman"/>
        </w:rPr>
        <w:t xml:space="preserve"> to a polystyrene surface.</w:t>
      </w:r>
      <w:proofErr w:type="gramEnd"/>
      <w:r w:rsidRPr="002C66A9">
        <w:rPr>
          <w:rFonts w:ascii="Times New Roman" w:hAnsi="Times New Roman" w:cs="Times New Roman"/>
        </w:rPr>
        <w:t xml:space="preserve"> </w:t>
      </w:r>
      <w:r w:rsidRPr="002C66A9">
        <w:rPr>
          <w:rFonts w:ascii="Times New Roman" w:hAnsi="Times New Roman" w:cs="Times New Roman"/>
          <w:i/>
        </w:rPr>
        <w:t>Mol. Microbiol</w:t>
      </w:r>
      <w:r w:rsidRPr="002C66A9">
        <w:rPr>
          <w:rFonts w:ascii="Times New Roman" w:hAnsi="Times New Roman" w:cs="Times New Roman"/>
        </w:rPr>
        <w:t>. 24, 1013–1024.</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Helmstetter, C.E., Cummings, D.J., 1963.</w:t>
      </w:r>
      <w:r w:rsidRPr="002C66A9">
        <w:rPr>
          <w:rFonts w:ascii="Times New Roman" w:hAnsi="Times New Roman" w:cs="Times New Roman"/>
        </w:rPr>
        <w:t xml:space="preserve"> </w:t>
      </w:r>
      <w:proofErr w:type="gramStart"/>
      <w:r w:rsidRPr="002C66A9">
        <w:rPr>
          <w:rFonts w:ascii="Times New Roman" w:hAnsi="Times New Roman" w:cs="Times New Roman"/>
        </w:rPr>
        <w:t>Bacterial synchronization by selection of cells at division.</w:t>
      </w:r>
      <w:proofErr w:type="gramEnd"/>
      <w:r w:rsidRPr="002C66A9">
        <w:rPr>
          <w:rFonts w:ascii="Times New Roman" w:hAnsi="Times New Roman" w:cs="Times New Roman"/>
        </w:rPr>
        <w:t xml:space="preserve"> </w:t>
      </w:r>
      <w:r w:rsidRPr="002C66A9">
        <w:rPr>
          <w:rFonts w:ascii="Times New Roman" w:hAnsi="Times New Roman" w:cs="Times New Roman"/>
          <w:i/>
        </w:rPr>
        <w:t>Proc. Natl. Acad. Sci. U.S.A</w:t>
      </w:r>
      <w:r w:rsidRPr="002C66A9">
        <w:rPr>
          <w:rFonts w:ascii="Times New Roman" w:hAnsi="Times New Roman" w:cs="Times New Roman"/>
        </w:rPr>
        <w:t>. 50, 767–774.</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Henze, U., Sidow, T., Wecke, J., Labischinski, H., Berger-Bächi, B., 1993.</w:t>
      </w:r>
      <w:proofErr w:type="gramEnd"/>
      <w:r w:rsidRPr="002C66A9">
        <w:rPr>
          <w:rFonts w:ascii="Times New Roman" w:hAnsi="Times New Roman" w:cs="Times New Roman"/>
        </w:rPr>
        <w:t xml:space="preserve"> Influence of </w:t>
      </w:r>
      <w:r w:rsidRPr="002C66A9">
        <w:rPr>
          <w:rFonts w:ascii="Times New Roman" w:hAnsi="Times New Roman" w:cs="Times New Roman"/>
          <w:i/>
        </w:rPr>
        <w:t>femB</w:t>
      </w:r>
      <w:r w:rsidRPr="002C66A9">
        <w:rPr>
          <w:rFonts w:ascii="Times New Roman" w:hAnsi="Times New Roman" w:cs="Times New Roman"/>
        </w:rPr>
        <w:t xml:space="preserve"> on methicillin resistance and peptidoglycan metabolism in </w:t>
      </w:r>
      <w:r w:rsidRPr="002C66A9">
        <w:rPr>
          <w:rFonts w:ascii="Times New Roman" w:hAnsi="Times New Roman" w:cs="Times New Roman"/>
          <w:i/>
        </w:rPr>
        <w:t>Staphylococcus aureus</w:t>
      </w:r>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175, 1612–1620.</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Hernday, A., Krabbe, M., Braaten, B., Low, D., 2002.</w:t>
      </w:r>
      <w:r w:rsidRPr="002C66A9">
        <w:rPr>
          <w:rFonts w:ascii="Times New Roman" w:hAnsi="Times New Roman" w:cs="Times New Roman"/>
        </w:rPr>
        <w:t xml:space="preserve"> </w:t>
      </w:r>
      <w:proofErr w:type="gramStart"/>
      <w:r w:rsidRPr="002C66A9">
        <w:rPr>
          <w:rFonts w:ascii="Times New Roman" w:hAnsi="Times New Roman" w:cs="Times New Roman"/>
        </w:rPr>
        <w:t>Self-perpetuating epigenetic pili switches in bacteria.</w:t>
      </w:r>
      <w:proofErr w:type="gramEnd"/>
      <w:r w:rsidRPr="002C66A9">
        <w:rPr>
          <w:rFonts w:ascii="Times New Roman" w:hAnsi="Times New Roman" w:cs="Times New Roman"/>
        </w:rPr>
        <w:t xml:space="preserve"> </w:t>
      </w:r>
      <w:r w:rsidRPr="002C66A9">
        <w:rPr>
          <w:rFonts w:ascii="Times New Roman" w:hAnsi="Times New Roman" w:cs="Times New Roman"/>
          <w:i/>
        </w:rPr>
        <w:t>Proc. Natl. Acad. Sci. U.S.A</w:t>
      </w:r>
      <w:r w:rsidRPr="002C66A9">
        <w:rPr>
          <w:rFonts w:ascii="Times New Roman" w:hAnsi="Times New Roman" w:cs="Times New Roman"/>
        </w:rPr>
        <w:t>. 99, 16470–16476.</w:t>
      </w:r>
    </w:p>
    <w:p w:rsidR="009831BC" w:rsidRPr="002C66A9" w:rsidRDefault="009831BC" w:rsidP="009831BC">
      <w:pPr>
        <w:pStyle w:val="Bibliography"/>
        <w:spacing w:after="100"/>
        <w:ind w:left="284" w:hanging="284"/>
        <w:jc w:val="both"/>
        <w:rPr>
          <w:rFonts w:ascii="Times New Roman" w:hAnsi="Times New Roman" w:cs="Times New Roman"/>
          <w:lang w:val="de-DE"/>
        </w:rPr>
      </w:pPr>
      <w:r w:rsidRPr="002C66A9">
        <w:rPr>
          <w:rFonts w:ascii="Times New Roman" w:hAnsi="Times New Roman" w:cs="Times New Roman"/>
          <w:b/>
        </w:rPr>
        <w:t>Hett, E.C., Chao, M.C., Deng, L.L., Rubin, E.J., 2008.</w:t>
      </w:r>
      <w:r w:rsidRPr="002C66A9">
        <w:rPr>
          <w:rFonts w:ascii="Times New Roman" w:hAnsi="Times New Roman" w:cs="Times New Roman"/>
        </w:rPr>
        <w:t xml:space="preserve"> A mycobacterial enzyme essential for cell division synergizes with resuscitation-promoting factor. </w:t>
      </w:r>
      <w:r w:rsidRPr="002C66A9">
        <w:rPr>
          <w:rFonts w:ascii="Times New Roman" w:hAnsi="Times New Roman" w:cs="Times New Roman"/>
          <w:i/>
          <w:lang w:val="de-DE"/>
        </w:rPr>
        <w:t>PLoS Pathog</w:t>
      </w:r>
      <w:r w:rsidRPr="002C66A9">
        <w:rPr>
          <w:rFonts w:ascii="Times New Roman" w:hAnsi="Times New Roman" w:cs="Times New Roman"/>
          <w:lang w:val="de-DE"/>
        </w:rPr>
        <w:t>. 4, e1000001.</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lang w:val="de-DE"/>
        </w:rPr>
        <w:t>Hett, E.C., Chao, M.C., Rubin, E.J., 2010.</w:t>
      </w:r>
      <w:r w:rsidRPr="002C66A9">
        <w:rPr>
          <w:rFonts w:ascii="Times New Roman" w:hAnsi="Times New Roman" w:cs="Times New Roman"/>
          <w:lang w:val="de-DE"/>
        </w:rPr>
        <w:t xml:space="preserve"> </w:t>
      </w:r>
      <w:proofErr w:type="gramStart"/>
      <w:r w:rsidRPr="002C66A9">
        <w:rPr>
          <w:rFonts w:ascii="Times New Roman" w:hAnsi="Times New Roman" w:cs="Times New Roman"/>
        </w:rPr>
        <w:t>Interaction and modulation of two antagonistic cell wall enzymes of mycobacteria.</w:t>
      </w:r>
      <w:proofErr w:type="gramEnd"/>
      <w:r w:rsidRPr="002C66A9">
        <w:rPr>
          <w:rFonts w:ascii="Times New Roman" w:hAnsi="Times New Roman" w:cs="Times New Roman"/>
        </w:rPr>
        <w:t xml:space="preserve"> </w:t>
      </w:r>
      <w:r w:rsidRPr="002C66A9">
        <w:rPr>
          <w:rFonts w:ascii="Times New Roman" w:hAnsi="Times New Roman" w:cs="Times New Roman"/>
          <w:i/>
        </w:rPr>
        <w:t>PLoS Pathog</w:t>
      </w:r>
      <w:r w:rsidRPr="002C66A9">
        <w:rPr>
          <w:rFonts w:ascii="Times New Roman" w:hAnsi="Times New Roman" w:cs="Times New Roman"/>
        </w:rPr>
        <w:t xml:space="preserve">. </w:t>
      </w:r>
      <w:proofErr w:type="gramStart"/>
      <w:r w:rsidRPr="002C66A9">
        <w:rPr>
          <w:rFonts w:ascii="Times New Roman" w:hAnsi="Times New Roman" w:cs="Times New Roman"/>
        </w:rPr>
        <w:t>6, e1001020.</w:t>
      </w:r>
      <w:proofErr w:type="gramEnd"/>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Hett, E.C., Chao, M.C., Steyn, A.J., Fortune, S.M., Deng, L.L., Rubin, E.J., 2007. </w:t>
      </w:r>
      <w:proofErr w:type="gramStart"/>
      <w:r w:rsidRPr="002C66A9">
        <w:rPr>
          <w:rFonts w:ascii="Times New Roman" w:hAnsi="Times New Roman" w:cs="Times New Roman"/>
        </w:rPr>
        <w:t xml:space="preserve">A partner for the resuscitation-promoting factors of </w:t>
      </w:r>
      <w:r w:rsidRPr="002C66A9">
        <w:rPr>
          <w:rFonts w:ascii="Times New Roman" w:hAnsi="Times New Roman" w:cs="Times New Roman"/>
          <w:i/>
        </w:rPr>
        <w:t>Mycobacterium tuberculosis</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Mol. Microbiol</w:t>
      </w:r>
      <w:r w:rsidRPr="002C66A9">
        <w:rPr>
          <w:rFonts w:ascii="Times New Roman" w:hAnsi="Times New Roman" w:cs="Times New Roman"/>
        </w:rPr>
        <w:t>. 66, 658–668.</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Higgins, M.L., Pooley, H.M., Shockman, G.D., 1971.</w:t>
      </w:r>
      <w:r w:rsidRPr="002C66A9">
        <w:rPr>
          <w:rFonts w:ascii="Times New Roman" w:hAnsi="Times New Roman" w:cs="Times New Roman"/>
        </w:rPr>
        <w:t xml:space="preserve"> </w:t>
      </w:r>
      <w:proofErr w:type="gramStart"/>
      <w:r w:rsidRPr="002C66A9">
        <w:rPr>
          <w:rFonts w:ascii="Times New Roman" w:hAnsi="Times New Roman" w:cs="Times New Roman"/>
        </w:rPr>
        <w:t xml:space="preserve">Reinitiation of cell wall growth after threonine starvation of </w:t>
      </w:r>
      <w:r w:rsidRPr="002C66A9">
        <w:rPr>
          <w:rFonts w:ascii="Times New Roman" w:hAnsi="Times New Roman" w:cs="Times New Roman"/>
          <w:i/>
        </w:rPr>
        <w:t>Streptococcus faecalis</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105, 1175–1183.</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Higgins, M.L., Shockman, G.D., 1970. </w:t>
      </w:r>
      <w:proofErr w:type="gramStart"/>
      <w:r w:rsidRPr="002C66A9">
        <w:rPr>
          <w:rFonts w:ascii="Times New Roman" w:hAnsi="Times New Roman" w:cs="Times New Roman"/>
        </w:rPr>
        <w:t xml:space="preserve">Model for cell wall growth of </w:t>
      </w:r>
      <w:r w:rsidRPr="002C66A9">
        <w:rPr>
          <w:rFonts w:ascii="Times New Roman" w:hAnsi="Times New Roman" w:cs="Times New Roman"/>
          <w:i/>
        </w:rPr>
        <w:t>Streptococcus faecalis</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101, 643–648.</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Higgins, M.L., Shockman, G.D., 1976.</w:t>
      </w:r>
      <w:r w:rsidRPr="002C66A9">
        <w:rPr>
          <w:rFonts w:ascii="Times New Roman" w:hAnsi="Times New Roman" w:cs="Times New Roman"/>
        </w:rPr>
        <w:t xml:space="preserve"> </w:t>
      </w:r>
      <w:proofErr w:type="gramStart"/>
      <w:r w:rsidRPr="002C66A9">
        <w:rPr>
          <w:rFonts w:ascii="Times New Roman" w:hAnsi="Times New Roman" w:cs="Times New Roman"/>
        </w:rPr>
        <w:t xml:space="preserve">Study of cycle of cell wall assembly in </w:t>
      </w:r>
      <w:r w:rsidRPr="002C66A9">
        <w:rPr>
          <w:rFonts w:ascii="Times New Roman" w:hAnsi="Times New Roman" w:cs="Times New Roman"/>
          <w:i/>
        </w:rPr>
        <w:t>Streptococcus faecalis</w:t>
      </w:r>
      <w:r w:rsidRPr="002C66A9">
        <w:rPr>
          <w:rFonts w:ascii="Times New Roman" w:hAnsi="Times New Roman" w:cs="Times New Roman"/>
        </w:rPr>
        <w:t xml:space="preserve"> by three-dimensional reconstructions of thin sections of cells.</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127, 1346–1358.</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Hirano, T., Minamino, T., Macnab, R.M., 2001.</w:t>
      </w:r>
      <w:proofErr w:type="gramEnd"/>
      <w:r w:rsidRPr="002C66A9">
        <w:rPr>
          <w:rFonts w:ascii="Times New Roman" w:hAnsi="Times New Roman" w:cs="Times New Roman"/>
          <w:b/>
        </w:rPr>
        <w:t xml:space="preserve"> </w:t>
      </w:r>
      <w:proofErr w:type="gramStart"/>
      <w:r w:rsidRPr="002C66A9">
        <w:rPr>
          <w:rFonts w:ascii="Times New Roman" w:hAnsi="Times New Roman" w:cs="Times New Roman"/>
        </w:rPr>
        <w:t xml:space="preserve">The role in flagellar rod assembly of the </w:t>
      </w:r>
      <w:r w:rsidRPr="002C66A9">
        <w:rPr>
          <w:rFonts w:ascii="Times New Roman" w:hAnsi="Times New Roman" w:cs="Times New Roman"/>
          <w:i/>
        </w:rPr>
        <w:t>N</w:t>
      </w:r>
      <w:r w:rsidRPr="002C66A9">
        <w:rPr>
          <w:rFonts w:ascii="Times New Roman" w:hAnsi="Times New Roman" w:cs="Times New Roman"/>
        </w:rPr>
        <w:t xml:space="preserve">-terminal domain of </w:t>
      </w:r>
      <w:r w:rsidRPr="002C66A9">
        <w:rPr>
          <w:rFonts w:ascii="Times New Roman" w:hAnsi="Times New Roman" w:cs="Times New Roman"/>
          <w:i/>
        </w:rPr>
        <w:t>Salmonella</w:t>
      </w:r>
      <w:r w:rsidRPr="002C66A9">
        <w:rPr>
          <w:rFonts w:ascii="Times New Roman" w:hAnsi="Times New Roman" w:cs="Times New Roman"/>
        </w:rPr>
        <w:t xml:space="preserve"> FlgJ, a flagellum-specific muramidase.</w:t>
      </w:r>
      <w:proofErr w:type="gramEnd"/>
      <w:r w:rsidRPr="002C66A9">
        <w:rPr>
          <w:rFonts w:ascii="Times New Roman" w:hAnsi="Times New Roman" w:cs="Times New Roman"/>
        </w:rPr>
        <w:t xml:space="preserve"> </w:t>
      </w:r>
      <w:r w:rsidRPr="002C66A9">
        <w:rPr>
          <w:rFonts w:ascii="Times New Roman" w:hAnsi="Times New Roman" w:cs="Times New Roman"/>
          <w:i/>
        </w:rPr>
        <w:t>J. Mol. Biol</w:t>
      </w:r>
      <w:r w:rsidRPr="002C66A9">
        <w:rPr>
          <w:rFonts w:ascii="Times New Roman" w:hAnsi="Times New Roman" w:cs="Times New Roman"/>
        </w:rPr>
        <w:t>. 312, 359–369.</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Höltje, J.V., 1995.</w:t>
      </w:r>
      <w:r w:rsidRPr="002C66A9">
        <w:rPr>
          <w:rFonts w:ascii="Times New Roman" w:hAnsi="Times New Roman" w:cs="Times New Roman"/>
        </w:rPr>
        <w:t xml:space="preserve"> From growth to autolysis: the murein hydrolases in </w:t>
      </w:r>
      <w:r w:rsidRPr="002C66A9">
        <w:rPr>
          <w:rFonts w:ascii="Times New Roman" w:hAnsi="Times New Roman" w:cs="Times New Roman"/>
          <w:i/>
        </w:rPr>
        <w:t>Escherichia coli</w:t>
      </w:r>
      <w:r w:rsidRPr="002C66A9">
        <w:rPr>
          <w:rFonts w:ascii="Times New Roman" w:hAnsi="Times New Roman" w:cs="Times New Roman"/>
        </w:rPr>
        <w:t xml:space="preserve">. </w:t>
      </w:r>
      <w:r w:rsidRPr="002C66A9">
        <w:rPr>
          <w:rFonts w:ascii="Times New Roman" w:hAnsi="Times New Roman" w:cs="Times New Roman"/>
          <w:i/>
        </w:rPr>
        <w:t>Arch. Microbiol</w:t>
      </w:r>
      <w:r w:rsidRPr="002C66A9">
        <w:rPr>
          <w:rFonts w:ascii="Times New Roman" w:hAnsi="Times New Roman" w:cs="Times New Roman"/>
        </w:rPr>
        <w:t>. 164, 243–254.</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Höltje, J.V., 1998.</w:t>
      </w:r>
      <w:r w:rsidRPr="002C66A9">
        <w:rPr>
          <w:rFonts w:ascii="Times New Roman" w:hAnsi="Times New Roman" w:cs="Times New Roman"/>
        </w:rPr>
        <w:t xml:space="preserve"> </w:t>
      </w:r>
      <w:proofErr w:type="gramStart"/>
      <w:r w:rsidRPr="002C66A9">
        <w:rPr>
          <w:rFonts w:ascii="Times New Roman" w:hAnsi="Times New Roman" w:cs="Times New Roman"/>
        </w:rPr>
        <w:t xml:space="preserve">Growth of the stress-bearing and shape-maintaining murein sacculus of </w:t>
      </w:r>
      <w:r w:rsidRPr="002C66A9">
        <w:rPr>
          <w:rFonts w:ascii="Times New Roman" w:hAnsi="Times New Roman" w:cs="Times New Roman"/>
          <w:i/>
        </w:rPr>
        <w:t>Escherichia coli</w:t>
      </w:r>
      <w:r w:rsidRPr="002C66A9">
        <w:rPr>
          <w:rFonts w:ascii="Times New Roman" w:hAnsi="Times New Roman" w:cs="Times New Roman"/>
        </w:rPr>
        <w:t>.</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Microbiol.</w:t>
      </w:r>
      <w:proofErr w:type="gramEnd"/>
      <w:r w:rsidRPr="002C66A9">
        <w:rPr>
          <w:rFonts w:ascii="Times New Roman" w:hAnsi="Times New Roman" w:cs="Times New Roman"/>
          <w:i/>
        </w:rPr>
        <w:t xml:space="preserve"> Mol. Biol. Rev</w:t>
      </w:r>
      <w:r w:rsidRPr="002C66A9">
        <w:rPr>
          <w:rFonts w:ascii="Times New Roman" w:hAnsi="Times New Roman" w:cs="Times New Roman"/>
        </w:rPr>
        <w:t>. 62, 181–203.</w:t>
      </w:r>
    </w:p>
    <w:p w:rsidR="009831BC" w:rsidRPr="002C66A9" w:rsidRDefault="009831BC" w:rsidP="009831BC">
      <w:pPr>
        <w:pStyle w:val="Bibliography"/>
        <w:spacing w:after="100"/>
        <w:ind w:left="284" w:hanging="284"/>
        <w:jc w:val="both"/>
        <w:rPr>
          <w:rFonts w:ascii="Times New Roman" w:hAnsi="Times New Roman" w:cs="Times New Roman"/>
          <w:lang w:val="de-DE"/>
        </w:rPr>
      </w:pPr>
      <w:r w:rsidRPr="002C66A9">
        <w:rPr>
          <w:rFonts w:ascii="Times New Roman" w:hAnsi="Times New Roman" w:cs="Times New Roman"/>
          <w:b/>
        </w:rPr>
        <w:t xml:space="preserve">Höltje, J.V., Heidrich, C., 2001. </w:t>
      </w:r>
      <w:proofErr w:type="gramStart"/>
      <w:r w:rsidRPr="002C66A9">
        <w:rPr>
          <w:rFonts w:ascii="Times New Roman" w:hAnsi="Times New Roman" w:cs="Times New Roman"/>
        </w:rPr>
        <w:t xml:space="preserve">Enzymology of elongation and constriction of the murein sacculus of </w:t>
      </w:r>
      <w:r w:rsidRPr="002C66A9">
        <w:rPr>
          <w:rFonts w:ascii="Times New Roman" w:hAnsi="Times New Roman" w:cs="Times New Roman"/>
          <w:i/>
        </w:rPr>
        <w:t>Escherichia coli</w:t>
      </w:r>
      <w:r w:rsidRPr="002C66A9">
        <w:rPr>
          <w:rFonts w:ascii="Times New Roman" w:hAnsi="Times New Roman" w:cs="Times New Roman"/>
        </w:rPr>
        <w:t>.</w:t>
      </w:r>
      <w:proofErr w:type="gramEnd"/>
      <w:r w:rsidRPr="002C66A9">
        <w:rPr>
          <w:rFonts w:ascii="Times New Roman" w:hAnsi="Times New Roman" w:cs="Times New Roman"/>
        </w:rPr>
        <w:t xml:space="preserve"> </w:t>
      </w:r>
      <w:r w:rsidRPr="000B02E4">
        <w:rPr>
          <w:rFonts w:ascii="Times New Roman" w:hAnsi="Times New Roman" w:cs="Times New Roman"/>
          <w:i/>
          <w:lang w:val="de-DE"/>
        </w:rPr>
        <w:t>Biochimie</w:t>
      </w:r>
      <w:r w:rsidRPr="002C66A9">
        <w:rPr>
          <w:rFonts w:ascii="Times New Roman" w:hAnsi="Times New Roman" w:cs="Times New Roman"/>
          <w:lang w:val="de-DE"/>
        </w:rPr>
        <w:t xml:space="preserve"> 83, 103–108.</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lang w:val="de-DE"/>
        </w:rPr>
        <w:t>Höltje, J.V., Mirelman, D., Sharon, N., Schwarz, U., 1975.</w:t>
      </w:r>
      <w:r w:rsidRPr="002C66A9">
        <w:rPr>
          <w:rFonts w:ascii="Times New Roman" w:hAnsi="Times New Roman" w:cs="Times New Roman"/>
          <w:lang w:val="de-DE"/>
        </w:rPr>
        <w:t xml:space="preserve"> </w:t>
      </w:r>
      <w:proofErr w:type="gramStart"/>
      <w:r w:rsidRPr="002C66A9">
        <w:rPr>
          <w:rFonts w:ascii="Times New Roman" w:hAnsi="Times New Roman" w:cs="Times New Roman"/>
        </w:rPr>
        <w:t xml:space="preserve">Novel type of murein transglycosylase in </w:t>
      </w:r>
      <w:r w:rsidRPr="002C66A9">
        <w:rPr>
          <w:rFonts w:ascii="Times New Roman" w:hAnsi="Times New Roman" w:cs="Times New Roman"/>
          <w:i/>
        </w:rPr>
        <w:t>Escherichia coli</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124, 1067–1076.</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lastRenderedPageBreak/>
        <w:t>Horsburgh, G.J., Atrih, A., Foster, S.J., 2003.</w:t>
      </w:r>
      <w:r w:rsidRPr="002C66A9">
        <w:rPr>
          <w:rFonts w:ascii="Times New Roman" w:hAnsi="Times New Roman" w:cs="Times New Roman"/>
        </w:rPr>
        <w:t xml:space="preserve"> Characterization of LytH, a differentiation-associated peptidoglycan hydrolase of </w:t>
      </w:r>
      <w:r w:rsidRPr="002C66A9">
        <w:rPr>
          <w:rFonts w:ascii="Times New Roman" w:hAnsi="Times New Roman" w:cs="Times New Roman"/>
          <w:i/>
        </w:rPr>
        <w:t>Bacillus subtilis</w:t>
      </w:r>
      <w:r w:rsidRPr="002C66A9">
        <w:rPr>
          <w:rFonts w:ascii="Times New Roman" w:hAnsi="Times New Roman" w:cs="Times New Roman"/>
        </w:rPr>
        <w:t xml:space="preserve"> involved in endospore cortex maturation. </w:t>
      </w:r>
      <w:r w:rsidRPr="002C66A9">
        <w:rPr>
          <w:rFonts w:ascii="Times New Roman" w:hAnsi="Times New Roman" w:cs="Times New Roman"/>
          <w:i/>
        </w:rPr>
        <w:t>J. Bacteriol</w:t>
      </w:r>
      <w:r w:rsidRPr="002C66A9">
        <w:rPr>
          <w:rFonts w:ascii="Times New Roman" w:hAnsi="Times New Roman" w:cs="Times New Roman"/>
        </w:rPr>
        <w:t>. 185, 3813–3820.</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Horsburgh, M.J., Aish, J.L., White, I.J., Shaw, L., Lithgow, J.K., Foster, S.J., 2002.</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σ</w:t>
      </w:r>
      <w:r w:rsidRPr="002C66A9">
        <w:rPr>
          <w:rFonts w:ascii="Times New Roman" w:hAnsi="Times New Roman" w:cs="Times New Roman"/>
          <w:vertAlign w:val="superscript"/>
        </w:rPr>
        <w:t>B</w:t>
      </w:r>
      <w:proofErr w:type="gramEnd"/>
      <w:r w:rsidRPr="002C66A9">
        <w:rPr>
          <w:rFonts w:ascii="Times New Roman" w:hAnsi="Times New Roman" w:cs="Times New Roman"/>
        </w:rPr>
        <w:t xml:space="preserve"> modulates virulence determinant expression and stress resistance: characterization of a functional </w:t>
      </w:r>
      <w:r w:rsidRPr="002C66A9">
        <w:rPr>
          <w:rFonts w:ascii="Times New Roman" w:hAnsi="Times New Roman" w:cs="Times New Roman"/>
          <w:i/>
        </w:rPr>
        <w:t>rsbU</w:t>
      </w:r>
      <w:r w:rsidRPr="002C66A9">
        <w:rPr>
          <w:rFonts w:ascii="Times New Roman" w:hAnsi="Times New Roman" w:cs="Times New Roman"/>
        </w:rPr>
        <w:t xml:space="preserve"> strain derived from </w:t>
      </w:r>
      <w:r w:rsidRPr="002C66A9">
        <w:rPr>
          <w:rFonts w:ascii="Times New Roman" w:hAnsi="Times New Roman" w:cs="Times New Roman"/>
          <w:i/>
        </w:rPr>
        <w:t>Staphylococcus aureus</w:t>
      </w:r>
      <w:r w:rsidRPr="002C66A9">
        <w:rPr>
          <w:rFonts w:ascii="Times New Roman" w:hAnsi="Times New Roman" w:cs="Times New Roman"/>
        </w:rPr>
        <w:t xml:space="preserve"> 8325-4. </w:t>
      </w:r>
      <w:r w:rsidRPr="002C66A9">
        <w:rPr>
          <w:rFonts w:ascii="Times New Roman" w:hAnsi="Times New Roman" w:cs="Times New Roman"/>
          <w:i/>
        </w:rPr>
        <w:t>J. Bacteriol</w:t>
      </w:r>
      <w:r w:rsidRPr="002C66A9">
        <w:rPr>
          <w:rFonts w:ascii="Times New Roman" w:hAnsi="Times New Roman" w:cs="Times New Roman"/>
        </w:rPr>
        <w:t>. 184, 5457–5467.</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Hoskisson, P.A., Hutchings, M.I., 2006.</w:t>
      </w:r>
      <w:r w:rsidRPr="002C66A9">
        <w:rPr>
          <w:rFonts w:ascii="Times New Roman" w:hAnsi="Times New Roman" w:cs="Times New Roman"/>
        </w:rPr>
        <w:t xml:space="preserve"> MtrAB-LpqB: a conserved three-component system in actinobacteria? </w:t>
      </w:r>
      <w:proofErr w:type="gramStart"/>
      <w:r w:rsidRPr="002C66A9">
        <w:rPr>
          <w:rFonts w:ascii="Times New Roman" w:hAnsi="Times New Roman" w:cs="Times New Roman"/>
          <w:i/>
        </w:rPr>
        <w:t>Trends Microbiol</w:t>
      </w:r>
      <w:r w:rsidRPr="002C66A9">
        <w:rPr>
          <w:rFonts w:ascii="Times New Roman" w:hAnsi="Times New Roman" w:cs="Times New Roman"/>
        </w:rPr>
        <w:t>.</w:t>
      </w:r>
      <w:proofErr w:type="gramEnd"/>
      <w:r w:rsidRPr="002C66A9">
        <w:rPr>
          <w:rFonts w:ascii="Times New Roman" w:hAnsi="Times New Roman" w:cs="Times New Roman"/>
        </w:rPr>
        <w:t xml:space="preserve"> 14, 444–449.</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Howell, A., Dubrac, S., Andersen, K.K., Noone, D., Fert, J., Msadek, T., Devine, K., 2003.</w:t>
      </w:r>
      <w:r w:rsidRPr="002C66A9">
        <w:rPr>
          <w:rFonts w:ascii="Times New Roman" w:hAnsi="Times New Roman" w:cs="Times New Roman"/>
        </w:rPr>
        <w:t xml:space="preserve"> Genes controlled by the essential YycG/YycF two-component system of </w:t>
      </w:r>
      <w:r w:rsidRPr="002C66A9">
        <w:rPr>
          <w:rFonts w:ascii="Times New Roman" w:hAnsi="Times New Roman" w:cs="Times New Roman"/>
          <w:i/>
        </w:rPr>
        <w:t>Bacillus subtilis</w:t>
      </w:r>
      <w:r w:rsidRPr="002C66A9">
        <w:rPr>
          <w:rFonts w:ascii="Times New Roman" w:hAnsi="Times New Roman" w:cs="Times New Roman"/>
        </w:rPr>
        <w:t xml:space="preserve"> revealed through a novel hybrid regulator approach. </w:t>
      </w:r>
      <w:r w:rsidRPr="002C66A9">
        <w:rPr>
          <w:rFonts w:ascii="Times New Roman" w:hAnsi="Times New Roman" w:cs="Times New Roman"/>
          <w:i/>
        </w:rPr>
        <w:t>Mol. Microbiol</w:t>
      </w:r>
      <w:r w:rsidRPr="002C66A9">
        <w:rPr>
          <w:rFonts w:ascii="Times New Roman" w:hAnsi="Times New Roman" w:cs="Times New Roman"/>
        </w:rPr>
        <w:t>. 49, 1639–1655.</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Huang, B., Babcock, H., Zhuang, X., 2010. </w:t>
      </w:r>
      <w:proofErr w:type="gramStart"/>
      <w:r w:rsidRPr="002C66A9">
        <w:rPr>
          <w:rFonts w:ascii="Times New Roman" w:hAnsi="Times New Roman" w:cs="Times New Roman"/>
        </w:rPr>
        <w:t>Breaking the diffraction barrier: super-resolution imaging of cells.</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Cell</w:t>
      </w:r>
      <w:r w:rsidRPr="002C66A9">
        <w:rPr>
          <w:rFonts w:ascii="Times New Roman" w:hAnsi="Times New Roman" w:cs="Times New Roman"/>
        </w:rPr>
        <w:t>.</w:t>
      </w:r>
      <w:proofErr w:type="gramEnd"/>
      <w:r w:rsidRPr="002C66A9">
        <w:rPr>
          <w:rFonts w:ascii="Times New Roman" w:hAnsi="Times New Roman" w:cs="Times New Roman"/>
        </w:rPr>
        <w:t xml:space="preserve"> 143, 1047–1058.</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Jones, L.J., Carballido-López, R., Errington, J., 2001.</w:t>
      </w:r>
      <w:proofErr w:type="gramEnd"/>
      <w:r w:rsidRPr="002C66A9">
        <w:rPr>
          <w:rFonts w:ascii="Times New Roman" w:hAnsi="Times New Roman" w:cs="Times New Roman"/>
        </w:rPr>
        <w:t xml:space="preserve"> Control of cell shape in bacteria: helical, actin-like filaments in </w:t>
      </w:r>
      <w:r w:rsidRPr="002C66A9">
        <w:rPr>
          <w:rFonts w:ascii="Times New Roman" w:hAnsi="Times New Roman" w:cs="Times New Roman"/>
          <w:i/>
        </w:rPr>
        <w:t>Bacillus subtilis</w:t>
      </w:r>
      <w:r w:rsidRPr="002C66A9">
        <w:rPr>
          <w:rFonts w:ascii="Times New Roman" w:hAnsi="Times New Roman" w:cs="Times New Roman"/>
        </w:rPr>
        <w:t xml:space="preserve">. </w:t>
      </w:r>
      <w:r w:rsidRPr="002C66A9">
        <w:rPr>
          <w:rFonts w:ascii="Times New Roman" w:hAnsi="Times New Roman" w:cs="Times New Roman"/>
          <w:i/>
        </w:rPr>
        <w:t>Cell</w:t>
      </w:r>
      <w:r w:rsidRPr="002C66A9">
        <w:rPr>
          <w:rFonts w:ascii="Times New Roman" w:hAnsi="Times New Roman" w:cs="Times New Roman"/>
        </w:rPr>
        <w:t xml:space="preserve"> 104, 913–922.</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Jonsson, I.-M., Mazmanian, S.K., Schneewind, O., Bremell, T., Tarkowski, A., 2003.</w:t>
      </w:r>
      <w:proofErr w:type="gramEnd"/>
      <w:r w:rsidRPr="002C66A9">
        <w:rPr>
          <w:rFonts w:ascii="Times New Roman" w:hAnsi="Times New Roman" w:cs="Times New Roman"/>
          <w:b/>
        </w:rPr>
        <w:t xml:space="preserve"> </w:t>
      </w:r>
      <w:proofErr w:type="gramStart"/>
      <w:r w:rsidRPr="002C66A9">
        <w:rPr>
          <w:rFonts w:ascii="Times New Roman" w:hAnsi="Times New Roman" w:cs="Times New Roman"/>
        </w:rPr>
        <w:t xml:space="preserve">The role of </w:t>
      </w:r>
      <w:r w:rsidRPr="002C66A9">
        <w:rPr>
          <w:rFonts w:ascii="Times New Roman" w:hAnsi="Times New Roman" w:cs="Times New Roman"/>
          <w:i/>
        </w:rPr>
        <w:t>Staphylococcus aureus</w:t>
      </w:r>
      <w:r w:rsidRPr="002C66A9">
        <w:rPr>
          <w:rFonts w:ascii="Times New Roman" w:hAnsi="Times New Roman" w:cs="Times New Roman"/>
        </w:rPr>
        <w:t xml:space="preserve"> sortase A and sortase B in murine arthritis.</w:t>
      </w:r>
      <w:proofErr w:type="gramEnd"/>
      <w:r w:rsidRPr="002C66A9">
        <w:rPr>
          <w:rFonts w:ascii="Times New Roman" w:hAnsi="Times New Roman" w:cs="Times New Roman"/>
        </w:rPr>
        <w:t xml:space="preserve"> </w:t>
      </w:r>
      <w:r w:rsidRPr="002C66A9">
        <w:rPr>
          <w:rFonts w:ascii="Times New Roman" w:hAnsi="Times New Roman" w:cs="Times New Roman"/>
          <w:i/>
        </w:rPr>
        <w:t>Microbes Infect</w:t>
      </w:r>
      <w:r w:rsidRPr="002C66A9">
        <w:rPr>
          <w:rFonts w:ascii="Times New Roman" w:hAnsi="Times New Roman" w:cs="Times New Roman"/>
        </w:rPr>
        <w:t>. 5, 775–780.</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Ju, C.-X., </w:t>
      </w:r>
      <w:proofErr w:type="gramStart"/>
      <w:r w:rsidRPr="002C66A9">
        <w:rPr>
          <w:rFonts w:ascii="Times New Roman" w:hAnsi="Times New Roman" w:cs="Times New Roman"/>
          <w:b/>
        </w:rPr>
        <w:t>Gu</w:t>
      </w:r>
      <w:proofErr w:type="gramEnd"/>
      <w:r w:rsidRPr="002C66A9">
        <w:rPr>
          <w:rFonts w:ascii="Times New Roman" w:hAnsi="Times New Roman" w:cs="Times New Roman"/>
          <w:b/>
        </w:rPr>
        <w:t xml:space="preserve">, H.-W., Lu, C.-P., 2012. </w:t>
      </w:r>
      <w:r w:rsidRPr="002C66A9">
        <w:rPr>
          <w:rFonts w:ascii="Times New Roman" w:hAnsi="Times New Roman" w:cs="Times New Roman"/>
        </w:rPr>
        <w:t xml:space="preserve">Characterization and functional analysis of </w:t>
      </w:r>
      <w:r w:rsidRPr="002C66A9">
        <w:rPr>
          <w:rFonts w:ascii="Times New Roman" w:hAnsi="Times New Roman" w:cs="Times New Roman"/>
          <w:i/>
        </w:rPr>
        <w:t>atl</w:t>
      </w:r>
      <w:r w:rsidRPr="002C66A9">
        <w:rPr>
          <w:rFonts w:ascii="Times New Roman" w:hAnsi="Times New Roman" w:cs="Times New Roman"/>
        </w:rPr>
        <w:t xml:space="preserve">, a novel gene encoding autolysin in </w:t>
      </w:r>
      <w:r w:rsidRPr="002C66A9">
        <w:rPr>
          <w:rFonts w:ascii="Times New Roman" w:hAnsi="Times New Roman" w:cs="Times New Roman"/>
          <w:i/>
        </w:rPr>
        <w:t xml:space="preserve">Streptococcus </w:t>
      </w:r>
      <w:proofErr w:type="gramStart"/>
      <w:r w:rsidRPr="002C66A9">
        <w:rPr>
          <w:rFonts w:ascii="Times New Roman" w:hAnsi="Times New Roman" w:cs="Times New Roman"/>
          <w:i/>
        </w:rPr>
        <w:t>suis</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194, 1464–1473.</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Kailas, L., Ratcliffe, E.C., Hayhurst, E.J., Walker, M.G., Foster, S.J., Hobbs, J.K., 2009. </w:t>
      </w:r>
      <w:proofErr w:type="gramStart"/>
      <w:r w:rsidRPr="002C66A9">
        <w:rPr>
          <w:rFonts w:ascii="Times New Roman" w:hAnsi="Times New Roman" w:cs="Times New Roman"/>
        </w:rPr>
        <w:t>Immobilizing live bacteria for AFM imaging of cellular processes.</w:t>
      </w:r>
      <w:proofErr w:type="gramEnd"/>
      <w:r w:rsidRPr="002C66A9">
        <w:rPr>
          <w:rFonts w:ascii="Times New Roman" w:hAnsi="Times New Roman" w:cs="Times New Roman"/>
        </w:rPr>
        <w:t xml:space="preserve"> </w:t>
      </w:r>
      <w:r w:rsidRPr="002C66A9">
        <w:rPr>
          <w:rFonts w:ascii="Times New Roman" w:hAnsi="Times New Roman" w:cs="Times New Roman"/>
          <w:i/>
        </w:rPr>
        <w:t xml:space="preserve">Ultramicroscopy </w:t>
      </w:r>
      <w:r w:rsidRPr="002C66A9">
        <w:rPr>
          <w:rFonts w:ascii="Times New Roman" w:hAnsi="Times New Roman" w:cs="Times New Roman"/>
        </w:rPr>
        <w:t>109, 775–780.</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Kajimura, J., Fujiwara, T., Yamada, S., Suzawa, Y., Nishida, T., Oyamada, Y., Hayashi, I., Yamagishi, J., Komatsuzawa, H., Sugai, M., 2005.</w:t>
      </w:r>
      <w:proofErr w:type="gramEnd"/>
      <w:r w:rsidRPr="002C66A9">
        <w:rPr>
          <w:rFonts w:ascii="Times New Roman" w:hAnsi="Times New Roman" w:cs="Times New Roman"/>
          <w:b/>
        </w:rPr>
        <w:t xml:space="preserve"> </w:t>
      </w:r>
      <w:r w:rsidRPr="002C66A9">
        <w:rPr>
          <w:rFonts w:ascii="Times New Roman" w:hAnsi="Times New Roman" w:cs="Times New Roman"/>
        </w:rPr>
        <w:t xml:space="preserve">Identification and molecular characterization of an </w:t>
      </w:r>
      <w:r w:rsidRPr="002C66A9">
        <w:rPr>
          <w:rFonts w:ascii="Times New Roman" w:hAnsi="Times New Roman" w:cs="Times New Roman"/>
          <w:i/>
        </w:rPr>
        <w:t>N</w:t>
      </w:r>
      <w:r w:rsidRPr="002C66A9">
        <w:rPr>
          <w:rFonts w:ascii="Times New Roman" w:hAnsi="Times New Roman" w:cs="Times New Roman"/>
        </w:rPr>
        <w:t>-acetylmuramyl-</w:t>
      </w:r>
      <w:r w:rsidRPr="002C66A9">
        <w:rPr>
          <w:rFonts w:ascii="Times New Roman" w:hAnsi="Times New Roman" w:cs="Times New Roman"/>
          <w:sz w:val="16"/>
          <w:szCs w:val="16"/>
        </w:rPr>
        <w:t>L</w:t>
      </w:r>
      <w:r w:rsidRPr="002C66A9">
        <w:rPr>
          <w:rFonts w:ascii="Times New Roman" w:hAnsi="Times New Roman" w:cs="Times New Roman"/>
        </w:rPr>
        <w:t xml:space="preserve">-alanine amidase Sle1 involved in cell separation of </w:t>
      </w:r>
      <w:r w:rsidRPr="002C66A9">
        <w:rPr>
          <w:rFonts w:ascii="Times New Roman" w:hAnsi="Times New Roman" w:cs="Times New Roman"/>
          <w:i/>
        </w:rPr>
        <w:t>Staphylococcus aureus</w:t>
      </w:r>
      <w:r w:rsidRPr="002C66A9">
        <w:rPr>
          <w:rFonts w:ascii="Times New Roman" w:hAnsi="Times New Roman" w:cs="Times New Roman"/>
        </w:rPr>
        <w:t xml:space="preserve">. </w:t>
      </w:r>
      <w:r w:rsidRPr="002C66A9">
        <w:rPr>
          <w:rFonts w:ascii="Times New Roman" w:hAnsi="Times New Roman" w:cs="Times New Roman"/>
          <w:i/>
        </w:rPr>
        <w:t>Mol. Microbiol</w:t>
      </w:r>
      <w:r w:rsidRPr="002C66A9">
        <w:rPr>
          <w:rFonts w:ascii="Times New Roman" w:hAnsi="Times New Roman" w:cs="Times New Roman"/>
        </w:rPr>
        <w:t>. 58, 1087–1101.</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Kalia, J., Raines, R.T., 2008.</w:t>
      </w:r>
      <w:r w:rsidRPr="002C66A9">
        <w:rPr>
          <w:rFonts w:ascii="Times New Roman" w:hAnsi="Times New Roman" w:cs="Times New Roman"/>
        </w:rPr>
        <w:t xml:space="preserve"> </w:t>
      </w:r>
      <w:proofErr w:type="gramStart"/>
      <w:r w:rsidRPr="002C66A9">
        <w:rPr>
          <w:rFonts w:ascii="Times New Roman" w:hAnsi="Times New Roman" w:cs="Times New Roman"/>
        </w:rPr>
        <w:t>Hydrolytic stability of hydrazones and oximes.</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Angew.</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Chem. Int. Ed. Engl</w:t>
      </w:r>
      <w:r w:rsidRPr="002C66A9">
        <w:rPr>
          <w:rFonts w:ascii="Times New Roman" w:hAnsi="Times New Roman" w:cs="Times New Roman"/>
        </w:rPr>
        <w:t>. 47, 7523–7526.</w:t>
      </w:r>
      <w:proofErr w:type="gramEnd"/>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Kallipolitis, B.H., Ingmer, H., 2001.</w:t>
      </w:r>
      <w:r w:rsidRPr="002C66A9">
        <w:rPr>
          <w:rFonts w:ascii="Times New Roman" w:hAnsi="Times New Roman" w:cs="Times New Roman"/>
        </w:rPr>
        <w:t xml:space="preserve"> </w:t>
      </w:r>
      <w:r w:rsidRPr="002C66A9">
        <w:rPr>
          <w:rFonts w:ascii="Times New Roman" w:hAnsi="Times New Roman" w:cs="Times New Roman"/>
          <w:i/>
        </w:rPr>
        <w:t>Listeria monocytogenes</w:t>
      </w:r>
      <w:r w:rsidRPr="002C66A9">
        <w:rPr>
          <w:rFonts w:ascii="Times New Roman" w:hAnsi="Times New Roman" w:cs="Times New Roman"/>
        </w:rPr>
        <w:t xml:space="preserve"> response regulators important for stress tolerance and pathogenesis. </w:t>
      </w:r>
      <w:proofErr w:type="gramStart"/>
      <w:r w:rsidRPr="002C66A9">
        <w:rPr>
          <w:rFonts w:ascii="Times New Roman" w:hAnsi="Times New Roman" w:cs="Times New Roman"/>
          <w:i/>
        </w:rPr>
        <w:t>FEMS Microbiol.</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Lett</w:t>
      </w:r>
      <w:r w:rsidRPr="002C66A9">
        <w:rPr>
          <w:rFonts w:ascii="Times New Roman" w:hAnsi="Times New Roman" w:cs="Times New Roman"/>
        </w:rPr>
        <w:t>.</w:t>
      </w:r>
      <w:proofErr w:type="gramEnd"/>
      <w:r w:rsidRPr="002C66A9">
        <w:rPr>
          <w:rFonts w:ascii="Times New Roman" w:hAnsi="Times New Roman" w:cs="Times New Roman"/>
        </w:rPr>
        <w:t xml:space="preserve"> 204, 111–115.</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Karamanos, Y., 1997. </w:t>
      </w:r>
      <w:r w:rsidRPr="002C66A9">
        <w:rPr>
          <w:rFonts w:ascii="Times New Roman" w:hAnsi="Times New Roman" w:cs="Times New Roman"/>
        </w:rPr>
        <w:t>Endo-</w:t>
      </w:r>
      <w:r w:rsidRPr="002C66A9">
        <w:rPr>
          <w:rFonts w:ascii="Times New Roman" w:hAnsi="Times New Roman" w:cs="Times New Roman"/>
          <w:i/>
        </w:rPr>
        <w:t>N</w:t>
      </w:r>
      <w:r w:rsidRPr="002C66A9">
        <w:rPr>
          <w:rFonts w:ascii="Times New Roman" w:hAnsi="Times New Roman" w:cs="Times New Roman"/>
        </w:rPr>
        <w:t>-acetyl-beta-</w:t>
      </w:r>
      <w:r w:rsidRPr="002C66A9">
        <w:rPr>
          <w:rFonts w:ascii="Times New Roman" w:hAnsi="Times New Roman" w:cs="Times New Roman"/>
          <w:sz w:val="16"/>
          <w:szCs w:val="16"/>
        </w:rPr>
        <w:t>D</w:t>
      </w:r>
      <w:r w:rsidRPr="002C66A9">
        <w:rPr>
          <w:rFonts w:ascii="Times New Roman" w:hAnsi="Times New Roman" w:cs="Times New Roman"/>
        </w:rPr>
        <w:t xml:space="preserve">-glucosaminidases and their potential substrates: structure/function relationships. </w:t>
      </w:r>
      <w:r w:rsidRPr="002C66A9">
        <w:rPr>
          <w:rFonts w:ascii="Times New Roman" w:hAnsi="Times New Roman" w:cs="Times New Roman"/>
          <w:i/>
        </w:rPr>
        <w:t>Res. Microbiol</w:t>
      </w:r>
      <w:r w:rsidRPr="002C66A9">
        <w:rPr>
          <w:rFonts w:ascii="Times New Roman" w:hAnsi="Times New Roman" w:cs="Times New Roman"/>
        </w:rPr>
        <w:t>. 148, 661–671.</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Kemp, E.H., Sammons, R.L., Moir, A., Sun, D., Setlow, P., 1991.</w:t>
      </w:r>
      <w:r w:rsidRPr="002C66A9">
        <w:rPr>
          <w:rFonts w:ascii="Times New Roman" w:hAnsi="Times New Roman" w:cs="Times New Roman"/>
        </w:rPr>
        <w:t xml:space="preserve"> </w:t>
      </w:r>
      <w:proofErr w:type="gramStart"/>
      <w:r w:rsidRPr="002C66A9">
        <w:rPr>
          <w:rFonts w:ascii="Times New Roman" w:hAnsi="Times New Roman" w:cs="Times New Roman"/>
        </w:rPr>
        <w:t xml:space="preserve">Analysis of transcriptional control of the gerD spore germination gene of </w:t>
      </w:r>
      <w:r w:rsidRPr="002C66A9">
        <w:rPr>
          <w:rFonts w:ascii="Times New Roman" w:hAnsi="Times New Roman" w:cs="Times New Roman"/>
          <w:i/>
        </w:rPr>
        <w:t>Bacillus subtilis</w:t>
      </w:r>
      <w:r w:rsidRPr="002C66A9">
        <w:rPr>
          <w:rFonts w:ascii="Times New Roman" w:hAnsi="Times New Roman" w:cs="Times New Roman"/>
        </w:rPr>
        <w:t xml:space="preserve"> 168.</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173, 4646–4652.</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Kennedy, J.F., Pagliuca, G., 1994.</w:t>
      </w:r>
      <w:r w:rsidRPr="002C66A9">
        <w:rPr>
          <w:rFonts w:ascii="Times New Roman" w:hAnsi="Times New Roman" w:cs="Times New Roman"/>
        </w:rPr>
        <w:t xml:space="preserve"> </w:t>
      </w:r>
      <w:proofErr w:type="gramStart"/>
      <w:r w:rsidRPr="002C66A9">
        <w:rPr>
          <w:rFonts w:ascii="Times New Roman" w:hAnsi="Times New Roman" w:cs="Times New Roman"/>
        </w:rPr>
        <w:t>Oligosaccharides.</w:t>
      </w:r>
      <w:proofErr w:type="gramEnd"/>
      <w:r w:rsidRPr="002C66A9">
        <w:rPr>
          <w:rFonts w:ascii="Times New Roman" w:hAnsi="Times New Roman" w:cs="Times New Roman"/>
        </w:rPr>
        <w:t xml:space="preserve"> In: </w:t>
      </w:r>
      <w:r w:rsidRPr="002C66A9">
        <w:rPr>
          <w:rFonts w:ascii="Times New Roman" w:hAnsi="Times New Roman" w:cs="Times New Roman"/>
          <w:i/>
        </w:rPr>
        <w:t>Carbohydrate analysis : a practical approach.</w:t>
      </w:r>
      <w:r w:rsidRPr="002C66A9">
        <w:rPr>
          <w:rFonts w:ascii="Times New Roman" w:hAnsi="Times New Roman" w:cs="Times New Roman"/>
        </w:rPr>
        <w:t xml:space="preserve"> pp. 43-46. </w:t>
      </w:r>
      <w:proofErr w:type="gramStart"/>
      <w:r w:rsidRPr="002C66A9">
        <w:rPr>
          <w:rFonts w:ascii="Times New Roman" w:hAnsi="Times New Roman" w:cs="Times New Roman"/>
        </w:rPr>
        <w:t>Chaplin, M.F., Kennedy, J.F. (Eds.), ILR Press, Oxford; New York.</w:t>
      </w:r>
      <w:proofErr w:type="gramEnd"/>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Koch, A.L., 1998.</w:t>
      </w:r>
      <w:r w:rsidRPr="002C66A9">
        <w:rPr>
          <w:rFonts w:ascii="Times New Roman" w:hAnsi="Times New Roman" w:cs="Times New Roman"/>
        </w:rPr>
        <w:t xml:space="preserve"> </w:t>
      </w:r>
      <w:proofErr w:type="gramStart"/>
      <w:r w:rsidRPr="002C66A9">
        <w:rPr>
          <w:rFonts w:ascii="Times New Roman" w:hAnsi="Times New Roman" w:cs="Times New Roman"/>
        </w:rPr>
        <w:t xml:space="preserve">Orientation of the peptidoglycan chains in the sacculus of </w:t>
      </w:r>
      <w:r w:rsidRPr="002C66A9">
        <w:rPr>
          <w:rFonts w:ascii="Times New Roman" w:hAnsi="Times New Roman" w:cs="Times New Roman"/>
          <w:i/>
        </w:rPr>
        <w:t>Escherichia coli</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Res. Microbiol</w:t>
      </w:r>
      <w:r w:rsidRPr="002C66A9">
        <w:rPr>
          <w:rFonts w:ascii="Times New Roman" w:hAnsi="Times New Roman" w:cs="Times New Roman"/>
        </w:rPr>
        <w:t>. 149, 689–701.</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Koch, A.L., 2000.</w:t>
      </w:r>
      <w:r w:rsidRPr="002C66A9">
        <w:rPr>
          <w:rFonts w:ascii="Times New Roman" w:hAnsi="Times New Roman" w:cs="Times New Roman"/>
        </w:rPr>
        <w:t xml:space="preserve"> Simulation of the conformation of the murein fabric: the oligoglycan, penta-muropeptide, and cross-linked nona-muropeptide. </w:t>
      </w:r>
      <w:r w:rsidRPr="002C66A9">
        <w:rPr>
          <w:rFonts w:ascii="Times New Roman" w:hAnsi="Times New Roman" w:cs="Times New Roman"/>
          <w:i/>
        </w:rPr>
        <w:t>Arch. Microbiol</w:t>
      </w:r>
      <w:r w:rsidRPr="002C66A9">
        <w:rPr>
          <w:rFonts w:ascii="Times New Roman" w:hAnsi="Times New Roman" w:cs="Times New Roman"/>
        </w:rPr>
        <w:t>. 174, 429–439.</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Komatsuzawa, H., Sugai, M., Nakashima, S., Yamada, S., Matsumoto, A., Oshida, T., Suginaka, H., 1997.</w:t>
      </w:r>
      <w:proofErr w:type="gramEnd"/>
      <w:r w:rsidRPr="002C66A9">
        <w:rPr>
          <w:rFonts w:ascii="Times New Roman" w:hAnsi="Times New Roman" w:cs="Times New Roman"/>
          <w:b/>
        </w:rPr>
        <w:t xml:space="preserve"> </w:t>
      </w:r>
      <w:proofErr w:type="gramStart"/>
      <w:r w:rsidRPr="002C66A9">
        <w:rPr>
          <w:rFonts w:ascii="Times New Roman" w:hAnsi="Times New Roman" w:cs="Times New Roman"/>
        </w:rPr>
        <w:t xml:space="preserve">Subcellular localization of the major autolysin, ATL and its processed proteins in </w:t>
      </w:r>
      <w:r w:rsidRPr="002C66A9">
        <w:rPr>
          <w:rFonts w:ascii="Times New Roman" w:hAnsi="Times New Roman" w:cs="Times New Roman"/>
          <w:i/>
        </w:rPr>
        <w:t>Staphylococcus aureus</w:t>
      </w:r>
      <w:r w:rsidRPr="002C66A9">
        <w:rPr>
          <w:rFonts w:ascii="Times New Roman" w:hAnsi="Times New Roman" w:cs="Times New Roman"/>
        </w:rPr>
        <w:t>.</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Microbiol.</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Immunol</w:t>
      </w:r>
      <w:r w:rsidRPr="002C66A9">
        <w:rPr>
          <w:rFonts w:ascii="Times New Roman" w:hAnsi="Times New Roman" w:cs="Times New Roman"/>
        </w:rPr>
        <w:t>.</w:t>
      </w:r>
      <w:proofErr w:type="gramEnd"/>
      <w:r w:rsidRPr="002C66A9">
        <w:rPr>
          <w:rFonts w:ascii="Times New Roman" w:hAnsi="Times New Roman" w:cs="Times New Roman"/>
        </w:rPr>
        <w:t xml:space="preserve"> 41, 469–479.</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Koraimann, G., 2003.</w:t>
      </w:r>
      <w:r w:rsidRPr="002C66A9">
        <w:rPr>
          <w:rFonts w:ascii="Times New Roman" w:hAnsi="Times New Roman" w:cs="Times New Roman"/>
        </w:rPr>
        <w:t xml:space="preserve"> </w:t>
      </w:r>
      <w:proofErr w:type="gramStart"/>
      <w:r w:rsidRPr="002C66A9">
        <w:rPr>
          <w:rFonts w:ascii="Times New Roman" w:hAnsi="Times New Roman" w:cs="Times New Roman"/>
        </w:rPr>
        <w:t>Lytic transglycosylases in macromolecular transport systems of Gram-negative bacteria.</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Cell.</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Mol. Life Sci</w:t>
      </w:r>
      <w:r w:rsidRPr="002C66A9">
        <w:rPr>
          <w:rFonts w:ascii="Times New Roman" w:hAnsi="Times New Roman" w:cs="Times New Roman"/>
        </w:rPr>
        <w:t>. 60, 2371–2388.</w:t>
      </w:r>
      <w:proofErr w:type="gramEnd"/>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lastRenderedPageBreak/>
        <w:t xml:space="preserve">Korat, B., Mottl, H., Keck, W., 1991. </w:t>
      </w:r>
      <w:r w:rsidRPr="002C66A9">
        <w:rPr>
          <w:rFonts w:ascii="Times New Roman" w:hAnsi="Times New Roman" w:cs="Times New Roman"/>
        </w:rPr>
        <w:t xml:space="preserve">Penicillin-binding protein 4 of </w:t>
      </w:r>
      <w:r w:rsidRPr="002C66A9">
        <w:rPr>
          <w:rFonts w:ascii="Times New Roman" w:hAnsi="Times New Roman" w:cs="Times New Roman"/>
          <w:i/>
        </w:rPr>
        <w:t>Escherichia coli</w:t>
      </w:r>
      <w:r w:rsidRPr="002C66A9">
        <w:rPr>
          <w:rFonts w:ascii="Times New Roman" w:hAnsi="Times New Roman" w:cs="Times New Roman"/>
        </w:rPr>
        <w:t xml:space="preserve">: molecular cloning of the </w:t>
      </w:r>
      <w:r w:rsidRPr="002C66A9">
        <w:rPr>
          <w:rFonts w:ascii="Times New Roman" w:hAnsi="Times New Roman" w:cs="Times New Roman"/>
          <w:i/>
        </w:rPr>
        <w:t xml:space="preserve">dacB </w:t>
      </w:r>
      <w:r w:rsidRPr="002C66A9">
        <w:rPr>
          <w:rFonts w:ascii="Times New Roman" w:hAnsi="Times New Roman" w:cs="Times New Roman"/>
        </w:rPr>
        <w:t xml:space="preserve">gene, controlled overexpression, and alterations in murein composition. </w:t>
      </w:r>
      <w:r w:rsidRPr="002C66A9">
        <w:rPr>
          <w:rFonts w:ascii="Times New Roman" w:hAnsi="Times New Roman" w:cs="Times New Roman"/>
          <w:i/>
        </w:rPr>
        <w:t>Mol. Microbiol</w:t>
      </w:r>
      <w:r w:rsidRPr="002C66A9">
        <w:rPr>
          <w:rFonts w:ascii="Times New Roman" w:hAnsi="Times New Roman" w:cs="Times New Roman"/>
        </w:rPr>
        <w:t>. 5, 675–684.</w:t>
      </w:r>
    </w:p>
    <w:p w:rsidR="009831BC" w:rsidRPr="002C66A9" w:rsidRDefault="009831BC" w:rsidP="009831BC">
      <w:pPr>
        <w:pStyle w:val="Bibliography"/>
        <w:spacing w:after="100"/>
        <w:ind w:left="284" w:hanging="284"/>
        <w:jc w:val="both"/>
        <w:rPr>
          <w:rFonts w:ascii="Times New Roman" w:hAnsi="Times New Roman" w:cs="Times New Roman"/>
          <w:lang w:val="de-DE"/>
        </w:rPr>
      </w:pPr>
      <w:proofErr w:type="gramStart"/>
      <w:r w:rsidRPr="002C66A9">
        <w:rPr>
          <w:rFonts w:ascii="Times New Roman" w:hAnsi="Times New Roman" w:cs="Times New Roman"/>
          <w:b/>
        </w:rPr>
        <w:t>Koyama, T., Yamada, M., Matsuhashi, M., 1977.</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 xml:space="preserve">Formation of regular packets of </w:t>
      </w:r>
      <w:r w:rsidRPr="002C66A9">
        <w:rPr>
          <w:rFonts w:ascii="Times New Roman" w:hAnsi="Times New Roman" w:cs="Times New Roman"/>
          <w:i/>
        </w:rPr>
        <w:t>Staphylococcus aureus</w:t>
      </w:r>
      <w:r w:rsidRPr="002C66A9">
        <w:rPr>
          <w:rFonts w:ascii="Times New Roman" w:hAnsi="Times New Roman" w:cs="Times New Roman"/>
        </w:rPr>
        <w:t xml:space="preserve"> cells.</w:t>
      </w:r>
      <w:proofErr w:type="gramEnd"/>
      <w:r w:rsidRPr="002C66A9">
        <w:rPr>
          <w:rFonts w:ascii="Times New Roman" w:hAnsi="Times New Roman" w:cs="Times New Roman"/>
        </w:rPr>
        <w:t xml:space="preserve"> </w:t>
      </w:r>
      <w:r w:rsidRPr="002C66A9">
        <w:rPr>
          <w:rFonts w:ascii="Times New Roman" w:hAnsi="Times New Roman" w:cs="Times New Roman"/>
          <w:i/>
          <w:lang w:val="de-DE"/>
        </w:rPr>
        <w:t>J. Bacteriol</w:t>
      </w:r>
      <w:r w:rsidRPr="002C66A9">
        <w:rPr>
          <w:rFonts w:ascii="Times New Roman" w:hAnsi="Times New Roman" w:cs="Times New Roman"/>
          <w:lang w:val="de-DE"/>
        </w:rPr>
        <w:t>. 129, 1518–1523.</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lang w:val="de-DE"/>
        </w:rPr>
        <w:t>Kraft, A.R., Prabhu, J., Ursinus, A., Höltje, J.V., 1999.</w:t>
      </w:r>
      <w:r w:rsidRPr="002C66A9">
        <w:rPr>
          <w:rFonts w:ascii="Times New Roman" w:hAnsi="Times New Roman" w:cs="Times New Roman"/>
          <w:lang w:val="de-DE"/>
        </w:rPr>
        <w:t xml:space="preserve"> </w:t>
      </w:r>
      <w:r w:rsidRPr="002C66A9">
        <w:rPr>
          <w:rFonts w:ascii="Times New Roman" w:hAnsi="Times New Roman" w:cs="Times New Roman"/>
        </w:rPr>
        <w:t xml:space="preserve">Interference with murein turnover has no effect on growth but reduces beta-lactamase induction in </w:t>
      </w:r>
      <w:r w:rsidRPr="002C66A9">
        <w:rPr>
          <w:rFonts w:ascii="Times New Roman" w:hAnsi="Times New Roman" w:cs="Times New Roman"/>
          <w:i/>
        </w:rPr>
        <w:t>Escherichia coli</w:t>
      </w:r>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181, 7192–7198.</w:t>
      </w:r>
    </w:p>
    <w:p w:rsidR="009831BC" w:rsidRPr="002C66A9" w:rsidRDefault="009831BC" w:rsidP="009831BC">
      <w:pPr>
        <w:pStyle w:val="Bibliography"/>
        <w:spacing w:after="100"/>
        <w:ind w:left="284" w:hanging="284"/>
        <w:jc w:val="both"/>
        <w:rPr>
          <w:rFonts w:ascii="Times New Roman" w:hAnsi="Times New Roman" w:cs="Times New Roman"/>
          <w:lang w:val="de-DE"/>
        </w:rPr>
      </w:pPr>
      <w:r w:rsidRPr="002C66A9">
        <w:rPr>
          <w:rFonts w:ascii="Times New Roman" w:hAnsi="Times New Roman" w:cs="Times New Roman"/>
          <w:b/>
        </w:rPr>
        <w:t>Kreiswirth, B.N., Löfdahl, S., Betley, M.J., O’Reilly, M., Schlievert, P.M., Bergdoll, M.S., Novick, R.P., 1983.</w:t>
      </w:r>
      <w:r w:rsidRPr="002C66A9">
        <w:rPr>
          <w:rFonts w:ascii="Times New Roman" w:hAnsi="Times New Roman" w:cs="Times New Roman"/>
        </w:rPr>
        <w:t xml:space="preserve"> The toxic shock syndrome exotoxin structural gene is not detectably transmitted by a prophage</w:t>
      </w:r>
      <w:r w:rsidRPr="002C66A9">
        <w:rPr>
          <w:rFonts w:ascii="Times New Roman" w:hAnsi="Times New Roman" w:cs="Times New Roman"/>
          <w:i/>
        </w:rPr>
        <w:t xml:space="preserve">. </w:t>
      </w:r>
      <w:r w:rsidRPr="002C66A9">
        <w:rPr>
          <w:rFonts w:ascii="Times New Roman" w:hAnsi="Times New Roman" w:cs="Times New Roman"/>
          <w:i/>
          <w:lang w:val="de-DE"/>
        </w:rPr>
        <w:t>Nature.</w:t>
      </w:r>
      <w:r w:rsidRPr="002C66A9">
        <w:rPr>
          <w:rFonts w:ascii="Times New Roman" w:hAnsi="Times New Roman" w:cs="Times New Roman"/>
          <w:lang w:val="de-DE"/>
        </w:rPr>
        <w:t xml:space="preserve"> 305, 709–712.</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lang w:val="de-DE"/>
        </w:rPr>
        <w:t xml:space="preserve">Kruse, T., Møller-Jensen, J., Løbner-Olesen, A., Gerdes, K., 2003. </w:t>
      </w:r>
      <w:r w:rsidRPr="002C66A9">
        <w:rPr>
          <w:rFonts w:ascii="Times New Roman" w:hAnsi="Times New Roman" w:cs="Times New Roman"/>
        </w:rPr>
        <w:t xml:space="preserve">Dysfunctional MreB inhibits chromosome segregation in </w:t>
      </w:r>
      <w:r w:rsidRPr="002C66A9">
        <w:rPr>
          <w:rFonts w:ascii="Times New Roman" w:hAnsi="Times New Roman" w:cs="Times New Roman"/>
          <w:i/>
        </w:rPr>
        <w:t>Escherichia coli</w:t>
      </w:r>
      <w:r w:rsidRPr="002C66A9">
        <w:rPr>
          <w:rFonts w:ascii="Times New Roman" w:hAnsi="Times New Roman" w:cs="Times New Roman"/>
        </w:rPr>
        <w:t xml:space="preserve">. </w:t>
      </w:r>
      <w:proofErr w:type="gramStart"/>
      <w:r w:rsidRPr="002C66A9">
        <w:rPr>
          <w:rFonts w:ascii="Times New Roman" w:hAnsi="Times New Roman" w:cs="Times New Roman"/>
          <w:i/>
        </w:rPr>
        <w:t>EMBO J</w:t>
      </w:r>
      <w:r w:rsidRPr="002C66A9">
        <w:rPr>
          <w:rFonts w:ascii="Times New Roman" w:hAnsi="Times New Roman" w:cs="Times New Roman"/>
        </w:rPr>
        <w:t>. 22, 5283–5292.</w:t>
      </w:r>
      <w:proofErr w:type="gramEnd"/>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Ksiazek, K., 2010.</w:t>
      </w:r>
      <w:r w:rsidRPr="002C66A9">
        <w:rPr>
          <w:rFonts w:ascii="Times New Roman" w:hAnsi="Times New Roman" w:cs="Times New Roman"/>
        </w:rPr>
        <w:t xml:space="preserve"> Bacterial aging: from mechanistic basis to evolutionary perspective. </w:t>
      </w:r>
      <w:proofErr w:type="gramStart"/>
      <w:r w:rsidRPr="002C66A9">
        <w:rPr>
          <w:rFonts w:ascii="Times New Roman" w:hAnsi="Times New Roman" w:cs="Times New Roman"/>
          <w:i/>
        </w:rPr>
        <w:t>Cell.</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Mol. Life Sci</w:t>
      </w:r>
      <w:r w:rsidRPr="002C66A9">
        <w:rPr>
          <w:rFonts w:ascii="Times New Roman" w:hAnsi="Times New Roman" w:cs="Times New Roman"/>
        </w:rPr>
        <w:t>. 67, 3131–3137.</w:t>
      </w:r>
      <w:proofErr w:type="gramEnd"/>
    </w:p>
    <w:p w:rsidR="009831BC" w:rsidRPr="002C66A9" w:rsidRDefault="009831BC" w:rsidP="009831BC">
      <w:pPr>
        <w:pStyle w:val="Bibliography"/>
        <w:spacing w:after="100"/>
        <w:ind w:left="284" w:hanging="284"/>
        <w:rPr>
          <w:rFonts w:ascii="Times New Roman" w:hAnsi="Times New Roman" w:cs="Times New Roman"/>
        </w:rPr>
      </w:pPr>
      <w:r w:rsidRPr="000B02E4">
        <w:rPr>
          <w:rFonts w:ascii="Times New Roman" w:hAnsi="Times New Roman" w:cs="Times New Roman"/>
          <w:b/>
        </w:rPr>
        <w:t>Labischinski, H., Goodell, E.W., Goodell, A., Hochberg, M.L., 1991.</w:t>
      </w:r>
      <w:r w:rsidRPr="000B02E4">
        <w:rPr>
          <w:rFonts w:ascii="Times New Roman" w:hAnsi="Times New Roman" w:cs="Times New Roman"/>
        </w:rPr>
        <w:t xml:space="preserve"> </w:t>
      </w:r>
      <w:r w:rsidRPr="002C66A9">
        <w:rPr>
          <w:rFonts w:ascii="Times New Roman" w:hAnsi="Times New Roman" w:cs="Times New Roman"/>
        </w:rPr>
        <w:t xml:space="preserve">Direct proof </w:t>
      </w:r>
      <w:proofErr w:type="gramStart"/>
      <w:r w:rsidRPr="002C66A9">
        <w:rPr>
          <w:rFonts w:ascii="Times New Roman" w:hAnsi="Times New Roman" w:cs="Times New Roman"/>
        </w:rPr>
        <w:t>of a “</w:t>
      </w:r>
      <w:proofErr w:type="gramEnd"/>
      <w:r w:rsidRPr="002C66A9">
        <w:rPr>
          <w:rFonts w:ascii="Times New Roman" w:hAnsi="Times New Roman" w:cs="Times New Roman"/>
        </w:rPr>
        <w:t>more-than-single-layered” peptidoglycan architecture of</w:t>
      </w:r>
      <w:r w:rsidRPr="002C66A9">
        <w:rPr>
          <w:rFonts w:ascii="Times New Roman" w:hAnsi="Times New Roman" w:cs="Times New Roman"/>
          <w:i/>
        </w:rPr>
        <w:t xml:space="preserve"> Escherichia coli </w:t>
      </w:r>
      <w:r w:rsidRPr="002C66A9">
        <w:rPr>
          <w:rFonts w:ascii="Times New Roman" w:hAnsi="Times New Roman" w:cs="Times New Roman"/>
        </w:rPr>
        <w:t xml:space="preserve">W7: a neutron small-angle scattering study. </w:t>
      </w:r>
      <w:r w:rsidRPr="002C66A9">
        <w:rPr>
          <w:rFonts w:ascii="Times New Roman" w:hAnsi="Times New Roman" w:cs="Times New Roman"/>
          <w:i/>
        </w:rPr>
        <w:t xml:space="preserve">J. Bacteriol. </w:t>
      </w:r>
      <w:r w:rsidRPr="002C66A9">
        <w:rPr>
          <w:rFonts w:ascii="Times New Roman" w:hAnsi="Times New Roman" w:cs="Times New Roman"/>
        </w:rPr>
        <w:t>173, 751–756.</w:t>
      </w:r>
    </w:p>
    <w:p w:rsidR="009831BC" w:rsidRPr="002C66A9" w:rsidRDefault="009831BC" w:rsidP="009831BC">
      <w:pPr>
        <w:pStyle w:val="Bibliography"/>
        <w:spacing w:after="100"/>
        <w:ind w:left="284" w:hanging="284"/>
        <w:jc w:val="both"/>
        <w:rPr>
          <w:rFonts w:ascii="Times New Roman" w:hAnsi="Times New Roman" w:cs="Times New Roman"/>
        </w:rPr>
      </w:pPr>
      <w:r w:rsidRPr="000B02E4">
        <w:rPr>
          <w:rFonts w:ascii="Times New Roman" w:hAnsi="Times New Roman" w:cs="Times New Roman"/>
          <w:b/>
        </w:rPr>
        <w:t>Land, A.D., Winkler, M.E., 2011.</w:t>
      </w:r>
      <w:r w:rsidRPr="000B02E4">
        <w:rPr>
          <w:rFonts w:ascii="Times New Roman" w:hAnsi="Times New Roman" w:cs="Times New Roman"/>
        </w:rPr>
        <w:t xml:space="preserve"> </w:t>
      </w:r>
      <w:r w:rsidRPr="002C66A9">
        <w:rPr>
          <w:rFonts w:ascii="Times New Roman" w:hAnsi="Times New Roman" w:cs="Times New Roman"/>
        </w:rPr>
        <w:t xml:space="preserve">The requirement for pneumococcal MreC and MreD is relieved by inactivation of the gene encoding PBP1a. </w:t>
      </w:r>
      <w:r w:rsidRPr="002C66A9">
        <w:rPr>
          <w:rFonts w:ascii="Times New Roman" w:hAnsi="Times New Roman" w:cs="Times New Roman"/>
          <w:i/>
        </w:rPr>
        <w:t>J. Bacteriol</w:t>
      </w:r>
      <w:r w:rsidRPr="002C66A9">
        <w:rPr>
          <w:rFonts w:ascii="Times New Roman" w:hAnsi="Times New Roman" w:cs="Times New Roman"/>
        </w:rPr>
        <w:t>. 193, 4166–4179.</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Lawson, T.S., Connally, R.E., Iredell, J.R., Vemulpad, S., Piper, J.A., 2011.</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 xml:space="preserve">Detection of </w:t>
      </w:r>
      <w:r w:rsidRPr="002C66A9">
        <w:rPr>
          <w:rFonts w:ascii="Times New Roman" w:hAnsi="Times New Roman" w:cs="Times New Roman"/>
          <w:i/>
        </w:rPr>
        <w:t>Staphylococcus aureus</w:t>
      </w:r>
      <w:r w:rsidRPr="002C66A9">
        <w:rPr>
          <w:rFonts w:ascii="Times New Roman" w:hAnsi="Times New Roman" w:cs="Times New Roman"/>
        </w:rPr>
        <w:t xml:space="preserve"> with a fluorescence </w:t>
      </w:r>
      <w:r w:rsidRPr="002C66A9">
        <w:rPr>
          <w:rFonts w:ascii="Times New Roman" w:hAnsi="Times New Roman" w:cs="Times New Roman"/>
          <w:i/>
        </w:rPr>
        <w:t>in situ</w:t>
      </w:r>
      <w:r w:rsidRPr="002C66A9">
        <w:rPr>
          <w:rFonts w:ascii="Times New Roman" w:hAnsi="Times New Roman" w:cs="Times New Roman"/>
        </w:rPr>
        <w:t xml:space="preserve"> hybridization that does not require lysostaphin.</w:t>
      </w:r>
      <w:proofErr w:type="gramEnd"/>
      <w:r w:rsidRPr="002C66A9">
        <w:rPr>
          <w:rFonts w:ascii="Times New Roman" w:hAnsi="Times New Roman" w:cs="Times New Roman"/>
        </w:rPr>
        <w:t xml:space="preserve"> </w:t>
      </w:r>
      <w:r w:rsidRPr="002C66A9">
        <w:rPr>
          <w:rFonts w:ascii="Times New Roman" w:hAnsi="Times New Roman" w:cs="Times New Roman"/>
          <w:i/>
        </w:rPr>
        <w:t>J. Clin. Lab. Anal</w:t>
      </w:r>
      <w:r w:rsidRPr="002C66A9">
        <w:rPr>
          <w:rFonts w:ascii="Times New Roman" w:hAnsi="Times New Roman" w:cs="Times New Roman"/>
        </w:rPr>
        <w:t>. 25, 142–147.</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Lazarevic, V., Margot, P., Soldo, B., Karamata, D., 1992.</w:t>
      </w:r>
      <w:proofErr w:type="gramEnd"/>
      <w:r w:rsidRPr="002C66A9">
        <w:rPr>
          <w:rFonts w:ascii="Times New Roman" w:hAnsi="Times New Roman" w:cs="Times New Roman"/>
        </w:rPr>
        <w:t xml:space="preserve"> Sequencing and analysis of the </w:t>
      </w:r>
      <w:r w:rsidRPr="002C66A9">
        <w:rPr>
          <w:rFonts w:ascii="Times New Roman" w:hAnsi="Times New Roman" w:cs="Times New Roman"/>
          <w:i/>
        </w:rPr>
        <w:t>Bacillus subtilis</w:t>
      </w:r>
      <w:r w:rsidRPr="002C66A9">
        <w:rPr>
          <w:rFonts w:ascii="Times New Roman" w:hAnsi="Times New Roman" w:cs="Times New Roman"/>
        </w:rPr>
        <w:t xml:space="preserve"> </w:t>
      </w:r>
      <w:r w:rsidRPr="002C66A9">
        <w:rPr>
          <w:rFonts w:ascii="Times New Roman" w:hAnsi="Times New Roman" w:cs="Times New Roman"/>
          <w:i/>
        </w:rPr>
        <w:t>lytRABC</w:t>
      </w:r>
      <w:r w:rsidRPr="002C66A9">
        <w:rPr>
          <w:rFonts w:ascii="Times New Roman" w:hAnsi="Times New Roman" w:cs="Times New Roman"/>
        </w:rPr>
        <w:t xml:space="preserve"> divergon: a regulatory unit encompassing the structural genes of the </w:t>
      </w:r>
      <w:r w:rsidRPr="002C66A9">
        <w:rPr>
          <w:rFonts w:ascii="Times New Roman" w:hAnsi="Times New Roman" w:cs="Times New Roman"/>
          <w:i/>
        </w:rPr>
        <w:t>N</w:t>
      </w:r>
      <w:r w:rsidRPr="002C66A9">
        <w:rPr>
          <w:rFonts w:ascii="Times New Roman" w:hAnsi="Times New Roman" w:cs="Times New Roman"/>
        </w:rPr>
        <w:t>-acetylmuramoyl-</w:t>
      </w:r>
      <w:r w:rsidRPr="002C66A9">
        <w:rPr>
          <w:rFonts w:ascii="Times New Roman" w:hAnsi="Times New Roman" w:cs="Times New Roman"/>
          <w:sz w:val="16"/>
          <w:szCs w:val="16"/>
        </w:rPr>
        <w:t>L</w:t>
      </w:r>
      <w:r w:rsidRPr="002C66A9">
        <w:rPr>
          <w:rFonts w:ascii="Times New Roman" w:hAnsi="Times New Roman" w:cs="Times New Roman"/>
        </w:rPr>
        <w:t xml:space="preserve">-alanine amidase and its modifier. </w:t>
      </w:r>
      <w:r w:rsidRPr="002C66A9">
        <w:rPr>
          <w:rFonts w:ascii="Times New Roman" w:hAnsi="Times New Roman" w:cs="Times New Roman"/>
          <w:i/>
        </w:rPr>
        <w:t>J. Gen. Microbiol</w:t>
      </w:r>
      <w:r w:rsidRPr="002C66A9">
        <w:rPr>
          <w:rFonts w:ascii="Times New Roman" w:hAnsi="Times New Roman" w:cs="Times New Roman"/>
        </w:rPr>
        <w:t>. 138, 1949–1961.</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Lefman, J., Scott, K., Stranick, S., 2011.</w:t>
      </w:r>
      <w:r w:rsidRPr="002C66A9">
        <w:rPr>
          <w:rFonts w:ascii="Times New Roman" w:hAnsi="Times New Roman" w:cs="Times New Roman"/>
        </w:rPr>
        <w:t xml:space="preserve"> </w:t>
      </w:r>
      <w:proofErr w:type="gramStart"/>
      <w:r w:rsidRPr="002C66A9">
        <w:rPr>
          <w:rFonts w:ascii="Times New Roman" w:hAnsi="Times New Roman" w:cs="Times New Roman"/>
        </w:rPr>
        <w:t>Live, video-rate super-resolution microscopy using structured illumination and rapid GPU-based parallel processing.</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Microsc.</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Microanal</w:t>
      </w:r>
      <w:r w:rsidRPr="002C66A9">
        <w:rPr>
          <w:rFonts w:ascii="Times New Roman" w:hAnsi="Times New Roman" w:cs="Times New Roman"/>
        </w:rPr>
        <w:t>.</w:t>
      </w:r>
      <w:proofErr w:type="gramEnd"/>
      <w:r w:rsidRPr="002C66A9">
        <w:rPr>
          <w:rFonts w:ascii="Times New Roman" w:hAnsi="Times New Roman" w:cs="Times New Roman"/>
        </w:rPr>
        <w:t xml:space="preserve"> 17, 191–196.</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Leps, B., Labischinski, H., Bradaczek, H., 1987. </w:t>
      </w:r>
      <w:proofErr w:type="gramStart"/>
      <w:r w:rsidRPr="002C66A9">
        <w:rPr>
          <w:rFonts w:ascii="Times New Roman" w:hAnsi="Times New Roman" w:cs="Times New Roman"/>
        </w:rPr>
        <w:t>Conformational behavior of the polysaccharide backbone of murein.</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Biopolymers</w:t>
      </w:r>
      <w:r w:rsidRPr="002C66A9">
        <w:rPr>
          <w:rFonts w:ascii="Times New Roman" w:hAnsi="Times New Roman" w:cs="Times New Roman"/>
        </w:rPr>
        <w:t>.</w:t>
      </w:r>
      <w:proofErr w:type="gramEnd"/>
      <w:r w:rsidRPr="002C66A9">
        <w:rPr>
          <w:rFonts w:ascii="Times New Roman" w:hAnsi="Times New Roman" w:cs="Times New Roman"/>
        </w:rPr>
        <w:t xml:space="preserve"> 26, 1391–1406.</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Lewis, K., 2000.</w:t>
      </w:r>
      <w:r w:rsidRPr="002C66A9">
        <w:rPr>
          <w:rFonts w:ascii="Times New Roman" w:hAnsi="Times New Roman" w:cs="Times New Roman"/>
        </w:rPr>
        <w:t xml:space="preserve"> </w:t>
      </w:r>
      <w:proofErr w:type="gramStart"/>
      <w:r w:rsidRPr="002C66A9">
        <w:rPr>
          <w:rFonts w:ascii="Times New Roman" w:hAnsi="Times New Roman" w:cs="Times New Roman"/>
        </w:rPr>
        <w:t>Programmed death in bacteria.</w:t>
      </w:r>
      <w:proofErr w:type="gramEnd"/>
      <w:r w:rsidRPr="002C66A9">
        <w:rPr>
          <w:rFonts w:ascii="Times New Roman" w:hAnsi="Times New Roman" w:cs="Times New Roman"/>
        </w:rPr>
        <w:t xml:space="preserve"> </w:t>
      </w:r>
      <w:r w:rsidRPr="002C66A9">
        <w:rPr>
          <w:rFonts w:ascii="Times New Roman" w:hAnsi="Times New Roman" w:cs="Times New Roman"/>
          <w:i/>
        </w:rPr>
        <w:t>Microbiol Mol Biol Rev.</w:t>
      </w:r>
      <w:r w:rsidRPr="002C66A9">
        <w:rPr>
          <w:rFonts w:ascii="Times New Roman" w:hAnsi="Times New Roman" w:cs="Times New Roman"/>
        </w:rPr>
        <w:t xml:space="preserve"> 64, 503–514.</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Liu, Y., Burne, R.A., 2011.</w:t>
      </w:r>
      <w:r w:rsidRPr="002C66A9">
        <w:rPr>
          <w:rFonts w:ascii="Times New Roman" w:hAnsi="Times New Roman" w:cs="Times New Roman"/>
        </w:rPr>
        <w:t xml:space="preserve"> The major autolysin of </w:t>
      </w:r>
      <w:r w:rsidRPr="002C66A9">
        <w:rPr>
          <w:rFonts w:ascii="Times New Roman" w:hAnsi="Times New Roman" w:cs="Times New Roman"/>
          <w:i/>
        </w:rPr>
        <w:t>Streptococcus gordonii</w:t>
      </w:r>
      <w:r w:rsidRPr="002C66A9">
        <w:rPr>
          <w:rFonts w:ascii="Times New Roman" w:hAnsi="Times New Roman" w:cs="Times New Roman"/>
        </w:rPr>
        <w:t xml:space="preserve"> is subject to complex regulation and modulates stress tolerance, biofilm formation, and extracellular-DNA release. </w:t>
      </w:r>
      <w:proofErr w:type="gramStart"/>
      <w:r w:rsidRPr="002C66A9">
        <w:rPr>
          <w:rFonts w:ascii="Times New Roman" w:hAnsi="Times New Roman" w:cs="Times New Roman"/>
          <w:i/>
        </w:rPr>
        <w:t>J Bacteriol</w:t>
      </w:r>
      <w:r w:rsidRPr="002C66A9">
        <w:rPr>
          <w:rFonts w:ascii="Times New Roman" w:hAnsi="Times New Roman" w:cs="Times New Roman"/>
        </w:rPr>
        <w:t>.</w:t>
      </w:r>
      <w:proofErr w:type="gramEnd"/>
      <w:r w:rsidRPr="002C66A9">
        <w:rPr>
          <w:rFonts w:ascii="Times New Roman" w:hAnsi="Times New Roman" w:cs="Times New Roman"/>
        </w:rPr>
        <w:t xml:space="preserve"> 193, 2826–2837.</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Lleo, M.M., Canepari, P., Satta, G., 1990.</w:t>
      </w:r>
      <w:r w:rsidRPr="002C66A9">
        <w:rPr>
          <w:rFonts w:ascii="Times New Roman" w:hAnsi="Times New Roman" w:cs="Times New Roman"/>
        </w:rPr>
        <w:t xml:space="preserve"> Bacterial cell shape regulation: testing of additional predictions unique to the two-competing-sites model for peptidoglycan assembly and isolation of conditional rod-shaped mutants from some wild-type cocci. </w:t>
      </w:r>
      <w:r w:rsidRPr="002C66A9">
        <w:rPr>
          <w:rFonts w:ascii="Times New Roman" w:hAnsi="Times New Roman" w:cs="Times New Roman"/>
          <w:i/>
        </w:rPr>
        <w:t>J. Bacteriol</w:t>
      </w:r>
      <w:r w:rsidRPr="002C66A9">
        <w:rPr>
          <w:rFonts w:ascii="Times New Roman" w:hAnsi="Times New Roman" w:cs="Times New Roman"/>
        </w:rPr>
        <w:t>. 172, 3758–3771.</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López, R., Garcı́a, E., 2004. </w:t>
      </w:r>
      <w:r w:rsidRPr="002C66A9">
        <w:rPr>
          <w:rFonts w:ascii="Times New Roman" w:hAnsi="Times New Roman" w:cs="Times New Roman"/>
        </w:rPr>
        <w:t xml:space="preserve">Recent trends on the molecular biology of pneumococcal capsules, lytic enzymes, and bacteriophage. </w:t>
      </w:r>
      <w:r w:rsidRPr="002C66A9">
        <w:rPr>
          <w:rFonts w:ascii="Times New Roman" w:hAnsi="Times New Roman" w:cs="Times New Roman"/>
          <w:i/>
        </w:rPr>
        <w:t>FEMS Microbiol Rev.</w:t>
      </w:r>
      <w:r w:rsidRPr="002C66A9">
        <w:rPr>
          <w:rFonts w:ascii="Times New Roman" w:hAnsi="Times New Roman" w:cs="Times New Roman"/>
        </w:rPr>
        <w:t xml:space="preserve"> 28, 553–580.</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Löwe, J., Amos, L.A., 1998.</w:t>
      </w:r>
      <w:r w:rsidRPr="002C66A9">
        <w:rPr>
          <w:rFonts w:ascii="Times New Roman" w:hAnsi="Times New Roman" w:cs="Times New Roman"/>
        </w:rPr>
        <w:t xml:space="preserve"> </w:t>
      </w:r>
      <w:proofErr w:type="gramStart"/>
      <w:r w:rsidRPr="002C66A9">
        <w:rPr>
          <w:rFonts w:ascii="Times New Roman" w:hAnsi="Times New Roman" w:cs="Times New Roman"/>
        </w:rPr>
        <w:t>Crystal structure of the bacterial cell-division protein FtsZ</w:t>
      </w:r>
      <w:r w:rsidRPr="002C66A9">
        <w:rPr>
          <w:rFonts w:ascii="Times New Roman" w:hAnsi="Times New Roman" w:cs="Times New Roman"/>
          <w:i/>
        </w:rPr>
        <w:t>. Nature.</w:t>
      </w:r>
      <w:proofErr w:type="gramEnd"/>
      <w:r w:rsidRPr="002C66A9">
        <w:rPr>
          <w:rFonts w:ascii="Times New Roman" w:hAnsi="Times New Roman" w:cs="Times New Roman"/>
        </w:rPr>
        <w:t xml:space="preserve"> 391, 203–206.</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Madigan, M.T., Martinko, J.M., Parker, J., 2002.</w:t>
      </w:r>
      <w:r w:rsidRPr="002C66A9">
        <w:rPr>
          <w:rFonts w:ascii="Times New Roman" w:hAnsi="Times New Roman" w:cs="Times New Roman"/>
        </w:rPr>
        <w:t xml:space="preserve"> </w:t>
      </w:r>
      <w:proofErr w:type="gramStart"/>
      <w:r w:rsidRPr="002C66A9">
        <w:rPr>
          <w:rFonts w:ascii="Times New Roman" w:hAnsi="Times New Roman" w:cs="Times New Roman"/>
        </w:rPr>
        <w:t>Brock biology of microorganisms.</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Prentice Hall/Pearson Education, Upper Saddle River, NJ.</w:t>
      </w:r>
      <w:proofErr w:type="gramEnd"/>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Maeda, H., 1980. </w:t>
      </w:r>
      <w:r w:rsidRPr="002C66A9">
        <w:rPr>
          <w:rFonts w:ascii="Times New Roman" w:hAnsi="Times New Roman" w:cs="Times New Roman"/>
        </w:rPr>
        <w:t xml:space="preserve">A new lysozyme assay based on fluorescence polarization or fluorescence intensity utilizing a fluorescent peptidoglycan substrate. </w:t>
      </w:r>
      <w:r w:rsidRPr="002C66A9">
        <w:rPr>
          <w:rFonts w:ascii="Times New Roman" w:hAnsi="Times New Roman" w:cs="Times New Roman"/>
          <w:i/>
        </w:rPr>
        <w:t>J. Biochem</w:t>
      </w:r>
      <w:r w:rsidRPr="002C66A9">
        <w:rPr>
          <w:rFonts w:ascii="Times New Roman" w:hAnsi="Times New Roman" w:cs="Times New Roman"/>
        </w:rPr>
        <w:t>. 88, 1185–1191.</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lastRenderedPageBreak/>
        <w:t>Malinicova, L., Dubikova, K., Piknova, M., Pristas, P., Javorsky, P., 2012.</w:t>
      </w:r>
      <w:proofErr w:type="gramEnd"/>
      <w:r w:rsidRPr="002C66A9">
        <w:rPr>
          <w:rFonts w:ascii="Times New Roman" w:hAnsi="Times New Roman" w:cs="Times New Roman"/>
          <w:b/>
        </w:rPr>
        <w:t xml:space="preserve"> </w:t>
      </w:r>
      <w:r w:rsidRPr="002C66A9">
        <w:rPr>
          <w:rFonts w:ascii="Times New Roman" w:hAnsi="Times New Roman" w:cs="Times New Roman"/>
        </w:rPr>
        <w:t xml:space="preserve">Peptidoglycan hydrolase enterolysin A recognizes lipoteichoic acid chains in the cell walls of sensitive bacteria. [Epub ahead of print April 2012] </w:t>
      </w:r>
      <w:proofErr w:type="gramStart"/>
      <w:r w:rsidRPr="002C66A9">
        <w:rPr>
          <w:rFonts w:ascii="Times New Roman" w:hAnsi="Times New Roman" w:cs="Times New Roman"/>
          <w:i/>
        </w:rPr>
        <w:t>Protein Pept Lett</w:t>
      </w:r>
      <w:r w:rsidRPr="002C66A9">
        <w:rPr>
          <w:rFonts w:ascii="Times New Roman" w:hAnsi="Times New Roman" w:cs="Times New Roman"/>
        </w:rPr>
        <w:t>.</w:t>
      </w:r>
      <w:proofErr w:type="gramEnd"/>
    </w:p>
    <w:p w:rsidR="009831BC" w:rsidRPr="002C66A9" w:rsidRDefault="009831BC" w:rsidP="009831BC">
      <w:pPr>
        <w:pStyle w:val="Bibliography"/>
        <w:spacing w:after="100"/>
        <w:ind w:left="284" w:hanging="284"/>
        <w:jc w:val="both"/>
        <w:rPr>
          <w:rFonts w:ascii="Times New Roman" w:hAnsi="Times New Roman" w:cs="Times New Roman"/>
          <w:color w:val="000000" w:themeColor="text1"/>
        </w:rPr>
      </w:pPr>
      <w:r w:rsidRPr="002C66A9">
        <w:rPr>
          <w:rFonts w:ascii="Times New Roman" w:hAnsi="Times New Roman" w:cs="Times New Roman"/>
          <w:b/>
          <w:color w:val="000000" w:themeColor="text1"/>
        </w:rPr>
        <w:t>Mani, N., Tobin, P., Jayaswal, R.K., 1993.</w:t>
      </w:r>
      <w:r w:rsidRPr="002C66A9">
        <w:rPr>
          <w:rFonts w:ascii="Times New Roman" w:hAnsi="Times New Roman" w:cs="Times New Roman"/>
          <w:color w:val="000000" w:themeColor="text1"/>
        </w:rPr>
        <w:t xml:space="preserve"> </w:t>
      </w:r>
      <w:proofErr w:type="gramStart"/>
      <w:r w:rsidRPr="002C66A9">
        <w:rPr>
          <w:rFonts w:ascii="Times New Roman" w:hAnsi="Times New Roman" w:cs="Times New Roman"/>
          <w:color w:val="000000" w:themeColor="text1"/>
        </w:rPr>
        <w:t xml:space="preserve">Isolation and characterization of autolysis-defective mutants of </w:t>
      </w:r>
      <w:r w:rsidRPr="002C66A9">
        <w:rPr>
          <w:rFonts w:ascii="Times New Roman" w:hAnsi="Times New Roman" w:cs="Times New Roman"/>
          <w:i/>
          <w:color w:val="000000" w:themeColor="text1"/>
        </w:rPr>
        <w:t>Staphylococcus aureus</w:t>
      </w:r>
      <w:r w:rsidRPr="002C66A9">
        <w:rPr>
          <w:rFonts w:ascii="Times New Roman" w:hAnsi="Times New Roman" w:cs="Times New Roman"/>
          <w:color w:val="000000" w:themeColor="text1"/>
        </w:rPr>
        <w:t xml:space="preserve"> created by Tn917-lacZ mutagenesis.</w:t>
      </w:r>
      <w:proofErr w:type="gramEnd"/>
      <w:r w:rsidRPr="002C66A9">
        <w:rPr>
          <w:rFonts w:ascii="Times New Roman" w:hAnsi="Times New Roman" w:cs="Times New Roman"/>
          <w:color w:val="000000" w:themeColor="text1"/>
        </w:rPr>
        <w:t xml:space="preserve"> </w:t>
      </w:r>
      <w:r w:rsidRPr="002C66A9">
        <w:rPr>
          <w:rFonts w:ascii="Times New Roman" w:hAnsi="Times New Roman" w:cs="Times New Roman"/>
          <w:i/>
          <w:color w:val="000000" w:themeColor="text1"/>
        </w:rPr>
        <w:t>J. Bacteriol</w:t>
      </w:r>
      <w:r w:rsidRPr="002C66A9">
        <w:rPr>
          <w:rFonts w:ascii="Times New Roman" w:hAnsi="Times New Roman" w:cs="Times New Roman"/>
          <w:color w:val="000000" w:themeColor="text1"/>
        </w:rPr>
        <w:t>. 175, 1493–1499.</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Margot, P., Mauël, C., Karamata, D., 1994.</w:t>
      </w:r>
      <w:r w:rsidRPr="002C66A9">
        <w:rPr>
          <w:rFonts w:ascii="Times New Roman" w:hAnsi="Times New Roman" w:cs="Times New Roman"/>
        </w:rPr>
        <w:t xml:space="preserve"> </w:t>
      </w:r>
      <w:proofErr w:type="gramStart"/>
      <w:r w:rsidRPr="002C66A9">
        <w:rPr>
          <w:rFonts w:ascii="Times New Roman" w:hAnsi="Times New Roman" w:cs="Times New Roman"/>
        </w:rPr>
        <w:t xml:space="preserve">The gene of the </w:t>
      </w:r>
      <w:r w:rsidRPr="002C66A9">
        <w:rPr>
          <w:rFonts w:ascii="Times New Roman" w:hAnsi="Times New Roman" w:cs="Times New Roman"/>
          <w:i/>
        </w:rPr>
        <w:t>N</w:t>
      </w:r>
      <w:r w:rsidRPr="002C66A9">
        <w:rPr>
          <w:rFonts w:ascii="Times New Roman" w:hAnsi="Times New Roman" w:cs="Times New Roman"/>
        </w:rPr>
        <w:t xml:space="preserve">-acetylglucosaminidase, a </w:t>
      </w:r>
      <w:r w:rsidRPr="002C66A9">
        <w:rPr>
          <w:rFonts w:ascii="Times New Roman" w:hAnsi="Times New Roman" w:cs="Times New Roman"/>
          <w:i/>
        </w:rPr>
        <w:t>Bacillus subtilis</w:t>
      </w:r>
      <w:r w:rsidRPr="002C66A9">
        <w:rPr>
          <w:rFonts w:ascii="Times New Roman" w:hAnsi="Times New Roman" w:cs="Times New Roman"/>
        </w:rPr>
        <w:t xml:space="preserve"> 168 cell wall hydrolase not involved in vegetative cell autolysis.</w:t>
      </w:r>
      <w:proofErr w:type="gramEnd"/>
      <w:r w:rsidRPr="002C66A9">
        <w:rPr>
          <w:rFonts w:ascii="Times New Roman" w:hAnsi="Times New Roman" w:cs="Times New Roman"/>
        </w:rPr>
        <w:t xml:space="preserve"> </w:t>
      </w:r>
      <w:r w:rsidRPr="002C66A9">
        <w:rPr>
          <w:rFonts w:ascii="Times New Roman" w:hAnsi="Times New Roman" w:cs="Times New Roman"/>
          <w:i/>
        </w:rPr>
        <w:t>Mol. Microbiol</w:t>
      </w:r>
      <w:r w:rsidRPr="002C66A9">
        <w:rPr>
          <w:rFonts w:ascii="Times New Roman" w:hAnsi="Times New Roman" w:cs="Times New Roman"/>
        </w:rPr>
        <w:t>. 12, 535–545.</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Markiewicz, Z., Glauner, B., Schwarz, U., 1983.</w:t>
      </w:r>
      <w:r w:rsidRPr="002C66A9">
        <w:rPr>
          <w:rFonts w:ascii="Times New Roman" w:hAnsi="Times New Roman" w:cs="Times New Roman"/>
        </w:rPr>
        <w:t xml:space="preserve"> </w:t>
      </w:r>
      <w:proofErr w:type="gramStart"/>
      <w:r w:rsidRPr="002C66A9">
        <w:rPr>
          <w:rFonts w:ascii="Times New Roman" w:hAnsi="Times New Roman" w:cs="Times New Roman"/>
        </w:rPr>
        <w:t xml:space="preserve">Murein structure and lack of </w:t>
      </w:r>
      <w:r w:rsidRPr="002C66A9">
        <w:rPr>
          <w:rFonts w:ascii="Times New Roman" w:hAnsi="Times New Roman" w:cs="Times New Roman"/>
          <w:sz w:val="16"/>
          <w:szCs w:val="16"/>
        </w:rPr>
        <w:t>DD</w:t>
      </w:r>
      <w:r w:rsidRPr="002C66A9">
        <w:rPr>
          <w:rFonts w:ascii="Times New Roman" w:hAnsi="Times New Roman" w:cs="Times New Roman"/>
        </w:rPr>
        <w:t xml:space="preserve">- and </w:t>
      </w:r>
      <w:r w:rsidRPr="002C66A9">
        <w:rPr>
          <w:rFonts w:ascii="Times New Roman" w:hAnsi="Times New Roman" w:cs="Times New Roman"/>
          <w:sz w:val="16"/>
          <w:szCs w:val="16"/>
        </w:rPr>
        <w:t>LD</w:t>
      </w:r>
      <w:r w:rsidRPr="002C66A9">
        <w:rPr>
          <w:rFonts w:ascii="Times New Roman" w:hAnsi="Times New Roman" w:cs="Times New Roman"/>
        </w:rPr>
        <w:t xml:space="preserve">-carboxypeptidase activities in </w:t>
      </w:r>
      <w:r w:rsidRPr="002C66A9">
        <w:rPr>
          <w:rFonts w:ascii="Times New Roman" w:hAnsi="Times New Roman" w:cs="Times New Roman"/>
          <w:i/>
        </w:rPr>
        <w:t>Caulobacter crescentus</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156, 649–655.</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Martin, P.K., Li, T., Sun, D., Biek, D.P., Schmid, M.B., 1999. </w:t>
      </w:r>
      <w:proofErr w:type="gramStart"/>
      <w:r w:rsidRPr="002C66A9">
        <w:rPr>
          <w:rFonts w:ascii="Times New Roman" w:hAnsi="Times New Roman" w:cs="Times New Roman"/>
        </w:rPr>
        <w:t xml:space="preserve">Role in cell permeability of an essential two-component system in </w:t>
      </w:r>
      <w:r w:rsidRPr="002C66A9">
        <w:rPr>
          <w:rFonts w:ascii="Times New Roman" w:hAnsi="Times New Roman" w:cs="Times New Roman"/>
          <w:i/>
        </w:rPr>
        <w:t>Staphylococcus aureus</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181, 3666–3673.</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Matias, V.R.F., Al-Amoudi, A., Dubochet, J., Beveridge, T.J., 2003.</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 xml:space="preserve">Cryo-transmission electron microscopy of frozen-hydrated sections of </w:t>
      </w:r>
      <w:r w:rsidRPr="002C66A9">
        <w:rPr>
          <w:rFonts w:ascii="Times New Roman" w:hAnsi="Times New Roman" w:cs="Times New Roman"/>
          <w:i/>
        </w:rPr>
        <w:t>Escherichia coli</w:t>
      </w:r>
      <w:r w:rsidRPr="002C66A9">
        <w:rPr>
          <w:rFonts w:ascii="Times New Roman" w:hAnsi="Times New Roman" w:cs="Times New Roman"/>
        </w:rPr>
        <w:t xml:space="preserve"> and </w:t>
      </w:r>
      <w:r w:rsidRPr="002C66A9">
        <w:rPr>
          <w:rFonts w:ascii="Times New Roman" w:hAnsi="Times New Roman" w:cs="Times New Roman"/>
          <w:i/>
        </w:rPr>
        <w:t>Pseudomonas aeruginosa</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185, 6112–6118.</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Matias, V.R.F., Beveridge, T.J., 2005.</w:t>
      </w:r>
      <w:r w:rsidRPr="002C66A9">
        <w:rPr>
          <w:rFonts w:ascii="Times New Roman" w:hAnsi="Times New Roman" w:cs="Times New Roman"/>
        </w:rPr>
        <w:t xml:space="preserve"> Cryo-electron microscopy reveals native polymeric cell wall structure in </w:t>
      </w:r>
      <w:r w:rsidRPr="002C66A9">
        <w:rPr>
          <w:rFonts w:ascii="Times New Roman" w:hAnsi="Times New Roman" w:cs="Times New Roman"/>
          <w:i/>
        </w:rPr>
        <w:t>Bacillus subtilis</w:t>
      </w:r>
      <w:r w:rsidRPr="002C66A9">
        <w:rPr>
          <w:rFonts w:ascii="Times New Roman" w:hAnsi="Times New Roman" w:cs="Times New Roman"/>
        </w:rPr>
        <w:t xml:space="preserve"> 168 and the existence of a periplasmic space. </w:t>
      </w:r>
      <w:r w:rsidRPr="002C66A9">
        <w:rPr>
          <w:rFonts w:ascii="Times New Roman" w:hAnsi="Times New Roman" w:cs="Times New Roman"/>
          <w:i/>
        </w:rPr>
        <w:t>Mol. Microbiol</w:t>
      </w:r>
      <w:r w:rsidRPr="002C66A9">
        <w:rPr>
          <w:rFonts w:ascii="Times New Roman" w:hAnsi="Times New Roman" w:cs="Times New Roman"/>
        </w:rPr>
        <w:t>. 56, 240–251.</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Matias, V.R.F., Beveridge, T.J., 2006.</w:t>
      </w:r>
      <w:r w:rsidRPr="002C66A9">
        <w:rPr>
          <w:rFonts w:ascii="Times New Roman" w:hAnsi="Times New Roman" w:cs="Times New Roman"/>
        </w:rPr>
        <w:t xml:space="preserve"> Native cell wall organization shown by cryo-electron microscopy confirms the existence of a periplasmic space in </w:t>
      </w:r>
      <w:r w:rsidRPr="002C66A9">
        <w:rPr>
          <w:rFonts w:ascii="Times New Roman" w:hAnsi="Times New Roman" w:cs="Times New Roman"/>
          <w:i/>
        </w:rPr>
        <w:t>Staphylococcus aureus</w:t>
      </w:r>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188, 1011–1021.</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Matias, V.R.F., Beveridge, T.J., 2007.</w:t>
      </w:r>
      <w:r w:rsidRPr="002C66A9">
        <w:rPr>
          <w:rFonts w:ascii="Times New Roman" w:hAnsi="Times New Roman" w:cs="Times New Roman"/>
        </w:rPr>
        <w:t xml:space="preserve"> Cryo-electron microscopy of cell division in </w:t>
      </w:r>
      <w:r w:rsidRPr="002C66A9">
        <w:rPr>
          <w:rFonts w:ascii="Times New Roman" w:hAnsi="Times New Roman" w:cs="Times New Roman"/>
          <w:i/>
        </w:rPr>
        <w:t>Staphylococcus aureus</w:t>
      </w:r>
      <w:r w:rsidRPr="002C66A9">
        <w:rPr>
          <w:rFonts w:ascii="Times New Roman" w:hAnsi="Times New Roman" w:cs="Times New Roman"/>
        </w:rPr>
        <w:t xml:space="preserve"> reveals a mid-zone between nascent cross walls. </w:t>
      </w:r>
      <w:r w:rsidRPr="002C66A9">
        <w:rPr>
          <w:rFonts w:ascii="Times New Roman" w:hAnsi="Times New Roman" w:cs="Times New Roman"/>
          <w:i/>
        </w:rPr>
        <w:t>Mol. Microbiol</w:t>
      </w:r>
      <w:r w:rsidRPr="002C66A9">
        <w:rPr>
          <w:rFonts w:ascii="Times New Roman" w:hAnsi="Times New Roman" w:cs="Times New Roman"/>
        </w:rPr>
        <w:t>. 64, 195–206.</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Matias, V.R.F., Beveridge, T.J., 2008. </w:t>
      </w:r>
      <w:r w:rsidRPr="002C66A9">
        <w:rPr>
          <w:rFonts w:ascii="Times New Roman" w:hAnsi="Times New Roman" w:cs="Times New Roman"/>
        </w:rPr>
        <w:t xml:space="preserve">Lipoteichoic acid is a major component of the </w:t>
      </w:r>
      <w:r w:rsidRPr="002C66A9">
        <w:rPr>
          <w:rFonts w:ascii="Times New Roman" w:hAnsi="Times New Roman" w:cs="Times New Roman"/>
          <w:i/>
        </w:rPr>
        <w:t>Bacillus subtilis</w:t>
      </w:r>
      <w:r w:rsidRPr="002C66A9">
        <w:rPr>
          <w:rFonts w:ascii="Times New Roman" w:hAnsi="Times New Roman" w:cs="Times New Roman"/>
        </w:rPr>
        <w:t xml:space="preserve"> periplasm. </w:t>
      </w:r>
      <w:r w:rsidRPr="002C66A9">
        <w:rPr>
          <w:rFonts w:ascii="Times New Roman" w:hAnsi="Times New Roman" w:cs="Times New Roman"/>
          <w:i/>
        </w:rPr>
        <w:t>J. Bacteriol</w:t>
      </w:r>
      <w:r w:rsidRPr="002C66A9">
        <w:rPr>
          <w:rFonts w:ascii="Times New Roman" w:hAnsi="Times New Roman" w:cs="Times New Roman"/>
        </w:rPr>
        <w:t>. 190, 7414–7418.</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Mauck, J., Chan, L., Glaser, L., 1971.</w:t>
      </w:r>
      <w:r w:rsidRPr="002C66A9">
        <w:rPr>
          <w:rFonts w:ascii="Times New Roman" w:hAnsi="Times New Roman" w:cs="Times New Roman"/>
        </w:rPr>
        <w:t xml:space="preserve"> </w:t>
      </w:r>
      <w:proofErr w:type="gramStart"/>
      <w:r w:rsidRPr="002C66A9">
        <w:rPr>
          <w:rFonts w:ascii="Times New Roman" w:hAnsi="Times New Roman" w:cs="Times New Roman"/>
        </w:rPr>
        <w:t>Turnover of the cell wall of Gram-positive bacteria.</w:t>
      </w:r>
      <w:proofErr w:type="gramEnd"/>
      <w:r w:rsidRPr="002C66A9">
        <w:rPr>
          <w:rFonts w:ascii="Times New Roman" w:hAnsi="Times New Roman" w:cs="Times New Roman"/>
        </w:rPr>
        <w:t xml:space="preserve"> </w:t>
      </w:r>
      <w:r w:rsidRPr="002C66A9">
        <w:rPr>
          <w:rFonts w:ascii="Times New Roman" w:hAnsi="Times New Roman" w:cs="Times New Roman"/>
          <w:i/>
        </w:rPr>
        <w:t>J. Biol. Chem</w:t>
      </w:r>
      <w:r w:rsidRPr="002C66A9">
        <w:rPr>
          <w:rFonts w:ascii="Times New Roman" w:hAnsi="Times New Roman" w:cs="Times New Roman"/>
        </w:rPr>
        <w:t>. 246, 1820–1827.</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McArthur, S.L., 2006.</w:t>
      </w:r>
      <w:r w:rsidRPr="002C66A9">
        <w:rPr>
          <w:rFonts w:ascii="Times New Roman" w:hAnsi="Times New Roman" w:cs="Times New Roman"/>
        </w:rPr>
        <w:t xml:space="preserve"> </w:t>
      </w:r>
      <w:proofErr w:type="gramStart"/>
      <w:r w:rsidRPr="002C66A9">
        <w:rPr>
          <w:rFonts w:ascii="Times New Roman" w:hAnsi="Times New Roman" w:cs="Times New Roman"/>
        </w:rPr>
        <w:t>Applications of XPS in bioengineering.</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Surf.</w:t>
      </w:r>
      <w:proofErr w:type="gramEnd"/>
      <w:r w:rsidRPr="002C66A9">
        <w:rPr>
          <w:rFonts w:ascii="Times New Roman" w:hAnsi="Times New Roman" w:cs="Times New Roman"/>
          <w:i/>
        </w:rPr>
        <w:t xml:space="preserve"> Interface Anal</w:t>
      </w:r>
      <w:r w:rsidRPr="002C66A9">
        <w:rPr>
          <w:rFonts w:ascii="Times New Roman" w:hAnsi="Times New Roman" w:cs="Times New Roman"/>
        </w:rPr>
        <w:t>. 38, 1380–1385.</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Mercier, C., Durrieu, C., Briandet, R., Domakova, E., Tremblay, J., Buist, G., Kulakauskas, S., 2002.</w:t>
      </w:r>
      <w:proofErr w:type="gramEnd"/>
      <w:r w:rsidRPr="002C66A9">
        <w:rPr>
          <w:rFonts w:ascii="Times New Roman" w:hAnsi="Times New Roman" w:cs="Times New Roman"/>
        </w:rPr>
        <w:t xml:space="preserve"> Positive role of peptidoglycan breaks in lactococcal biofilm formation. </w:t>
      </w:r>
      <w:r w:rsidRPr="002C66A9">
        <w:rPr>
          <w:rFonts w:ascii="Times New Roman" w:hAnsi="Times New Roman" w:cs="Times New Roman"/>
          <w:i/>
        </w:rPr>
        <w:t>Mol. Microbiol</w:t>
      </w:r>
      <w:r w:rsidRPr="002C66A9">
        <w:rPr>
          <w:rFonts w:ascii="Times New Roman" w:hAnsi="Times New Roman" w:cs="Times New Roman"/>
        </w:rPr>
        <w:t>. 46, 235–243.</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Meroueh, S.O., Bencze, K.Z., Hesek, D., Lee, M., Fisher, J.F., Stemmler, T.L., Mobashery, S., 2006.</w:t>
      </w:r>
      <w:r w:rsidRPr="002C66A9">
        <w:rPr>
          <w:rFonts w:ascii="Times New Roman" w:hAnsi="Times New Roman" w:cs="Times New Roman"/>
        </w:rPr>
        <w:t xml:space="preserve"> </w:t>
      </w:r>
      <w:proofErr w:type="gramStart"/>
      <w:r w:rsidRPr="002C66A9">
        <w:rPr>
          <w:rFonts w:ascii="Times New Roman" w:hAnsi="Times New Roman" w:cs="Times New Roman"/>
        </w:rPr>
        <w:t>Three-dimensional structure of the bacterial cell wall peptidoglycan.</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Proc. Natl. Acad. Sci. U.S.A</w:t>
      </w:r>
      <w:r w:rsidRPr="002C66A9">
        <w:rPr>
          <w:rFonts w:ascii="Times New Roman" w:hAnsi="Times New Roman" w:cs="Times New Roman"/>
        </w:rPr>
        <w:t>. 103, 4404–4409.</w:t>
      </w:r>
      <w:proofErr w:type="gramEnd"/>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Mesnage, S., Chau, F., Dubost, L., Arthur, M., 2008.</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 xml:space="preserve">Role of </w:t>
      </w:r>
      <w:r w:rsidRPr="002C66A9">
        <w:rPr>
          <w:rFonts w:ascii="Times New Roman" w:hAnsi="Times New Roman" w:cs="Times New Roman"/>
          <w:i/>
        </w:rPr>
        <w:t>N</w:t>
      </w:r>
      <w:r w:rsidRPr="002C66A9">
        <w:rPr>
          <w:rFonts w:ascii="Times New Roman" w:hAnsi="Times New Roman" w:cs="Times New Roman"/>
        </w:rPr>
        <w:t xml:space="preserve">-acetylglucosaminidase and </w:t>
      </w:r>
      <w:r w:rsidRPr="002C66A9">
        <w:rPr>
          <w:rFonts w:ascii="Times New Roman" w:hAnsi="Times New Roman" w:cs="Times New Roman"/>
          <w:i/>
        </w:rPr>
        <w:t>N</w:t>
      </w:r>
      <w:r w:rsidRPr="002C66A9">
        <w:rPr>
          <w:rFonts w:ascii="Times New Roman" w:hAnsi="Times New Roman" w:cs="Times New Roman"/>
        </w:rPr>
        <w:t xml:space="preserve">-acetylmuramidase activities in </w:t>
      </w:r>
      <w:r w:rsidRPr="002C66A9">
        <w:rPr>
          <w:rFonts w:ascii="Times New Roman" w:hAnsi="Times New Roman" w:cs="Times New Roman"/>
          <w:i/>
        </w:rPr>
        <w:t>Enterococcus faecalis</w:t>
      </w:r>
      <w:r w:rsidRPr="002C66A9">
        <w:rPr>
          <w:rFonts w:ascii="Times New Roman" w:hAnsi="Times New Roman" w:cs="Times New Roman"/>
        </w:rPr>
        <w:t xml:space="preserve"> peptidoglycan metabolism.</w:t>
      </w:r>
      <w:proofErr w:type="gramEnd"/>
      <w:r w:rsidRPr="002C66A9">
        <w:rPr>
          <w:rFonts w:ascii="Times New Roman" w:hAnsi="Times New Roman" w:cs="Times New Roman"/>
        </w:rPr>
        <w:t xml:space="preserve"> </w:t>
      </w:r>
      <w:r w:rsidRPr="002C66A9">
        <w:rPr>
          <w:rFonts w:ascii="Times New Roman" w:hAnsi="Times New Roman" w:cs="Times New Roman"/>
          <w:i/>
        </w:rPr>
        <w:t>J. Biol. Chem</w:t>
      </w:r>
      <w:r w:rsidRPr="002C66A9">
        <w:rPr>
          <w:rFonts w:ascii="Times New Roman" w:hAnsi="Times New Roman" w:cs="Times New Roman"/>
        </w:rPr>
        <w:t>. 283, 19845–19853.</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Meyrand, M., Boughammoura, A., Courtin, P., Mézange, C., Guillot, A., Chapot-Chartier, M.-P., 2007.</w:t>
      </w:r>
      <w:proofErr w:type="gramEnd"/>
      <w:r w:rsidRPr="002C66A9">
        <w:rPr>
          <w:rFonts w:ascii="Times New Roman" w:hAnsi="Times New Roman" w:cs="Times New Roman"/>
        </w:rPr>
        <w:t xml:space="preserve"> Peptidoglycan </w:t>
      </w:r>
      <w:r w:rsidRPr="002C66A9">
        <w:rPr>
          <w:rFonts w:ascii="Times New Roman" w:hAnsi="Times New Roman" w:cs="Times New Roman"/>
          <w:i/>
        </w:rPr>
        <w:t>N</w:t>
      </w:r>
      <w:r w:rsidRPr="002C66A9">
        <w:rPr>
          <w:rFonts w:ascii="Times New Roman" w:hAnsi="Times New Roman" w:cs="Times New Roman"/>
        </w:rPr>
        <w:t xml:space="preserve">-acetylglucosamine deacetylation decreases autolysis in </w:t>
      </w:r>
      <w:r w:rsidRPr="002C66A9">
        <w:rPr>
          <w:rFonts w:ascii="Times New Roman" w:hAnsi="Times New Roman" w:cs="Times New Roman"/>
          <w:i/>
        </w:rPr>
        <w:t>Lactococcus lactis</w:t>
      </w:r>
      <w:r w:rsidRPr="002C66A9">
        <w:rPr>
          <w:rFonts w:ascii="Times New Roman" w:hAnsi="Times New Roman" w:cs="Times New Roman"/>
        </w:rPr>
        <w:t xml:space="preserve">. </w:t>
      </w:r>
      <w:proofErr w:type="gramStart"/>
      <w:r w:rsidRPr="002C66A9">
        <w:rPr>
          <w:rFonts w:ascii="Times New Roman" w:hAnsi="Times New Roman" w:cs="Times New Roman"/>
          <w:i/>
        </w:rPr>
        <w:t>Microbiology</w:t>
      </w:r>
      <w:r w:rsidRPr="002C66A9">
        <w:rPr>
          <w:rFonts w:ascii="Times New Roman" w:hAnsi="Times New Roman" w:cs="Times New Roman"/>
        </w:rPr>
        <w:t>.</w:t>
      </w:r>
      <w:proofErr w:type="gramEnd"/>
      <w:r w:rsidRPr="002C66A9">
        <w:rPr>
          <w:rFonts w:ascii="Times New Roman" w:hAnsi="Times New Roman" w:cs="Times New Roman"/>
        </w:rPr>
        <w:t xml:space="preserve"> 153, 3275–3285.</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Miller, R.C., Bowles, D.J., 1982.</w:t>
      </w:r>
      <w:r w:rsidRPr="002C66A9">
        <w:rPr>
          <w:rFonts w:ascii="Times New Roman" w:hAnsi="Times New Roman" w:cs="Times New Roman"/>
        </w:rPr>
        <w:t xml:space="preserve"> </w:t>
      </w:r>
      <w:proofErr w:type="gramStart"/>
      <w:r w:rsidRPr="002C66A9">
        <w:rPr>
          <w:rFonts w:ascii="Times New Roman" w:hAnsi="Times New Roman" w:cs="Times New Roman"/>
        </w:rPr>
        <w:t>A comparative study of the localization of wheat-germ agglutinin and its potential receptors in wheat grains.</w:t>
      </w:r>
      <w:proofErr w:type="gramEnd"/>
      <w:r w:rsidRPr="002C66A9">
        <w:rPr>
          <w:rFonts w:ascii="Times New Roman" w:hAnsi="Times New Roman" w:cs="Times New Roman"/>
        </w:rPr>
        <w:t xml:space="preserve"> </w:t>
      </w:r>
      <w:r w:rsidRPr="002C66A9">
        <w:rPr>
          <w:rFonts w:ascii="Times New Roman" w:hAnsi="Times New Roman" w:cs="Times New Roman"/>
          <w:i/>
        </w:rPr>
        <w:t>Biochem J</w:t>
      </w:r>
      <w:r w:rsidRPr="002C66A9">
        <w:rPr>
          <w:rFonts w:ascii="Times New Roman" w:hAnsi="Times New Roman" w:cs="Times New Roman"/>
        </w:rPr>
        <w:t xml:space="preserve"> 206, 571–576.</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Mobley, H.L., Koch, A.L., Doyle, R.J., Streips, U.N., 1984.</w:t>
      </w:r>
      <w:r w:rsidRPr="002C66A9">
        <w:rPr>
          <w:rFonts w:ascii="Times New Roman" w:hAnsi="Times New Roman" w:cs="Times New Roman"/>
        </w:rPr>
        <w:t xml:space="preserve"> </w:t>
      </w:r>
      <w:proofErr w:type="gramStart"/>
      <w:r w:rsidRPr="002C66A9">
        <w:rPr>
          <w:rFonts w:ascii="Times New Roman" w:hAnsi="Times New Roman" w:cs="Times New Roman"/>
        </w:rPr>
        <w:t xml:space="preserve">Insertion and fate of the cell wall in </w:t>
      </w:r>
      <w:r w:rsidRPr="002C66A9">
        <w:rPr>
          <w:rFonts w:ascii="Times New Roman" w:hAnsi="Times New Roman" w:cs="Times New Roman"/>
          <w:i/>
        </w:rPr>
        <w:t>Bacillus subtilis</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158, 169–179.</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lastRenderedPageBreak/>
        <w:t>Mohamad, S.A.S., 2007.</w:t>
      </w:r>
      <w:r w:rsidRPr="002C66A9">
        <w:rPr>
          <w:rFonts w:ascii="Times New Roman" w:hAnsi="Times New Roman" w:cs="Times New Roman"/>
        </w:rPr>
        <w:t xml:space="preserve"> </w:t>
      </w:r>
      <w:proofErr w:type="gramStart"/>
      <w:r w:rsidRPr="002C66A9">
        <w:rPr>
          <w:rFonts w:ascii="Times New Roman" w:hAnsi="Times New Roman" w:cs="Times New Roman"/>
        </w:rPr>
        <w:t xml:space="preserve">Analysis of the </w:t>
      </w:r>
      <w:r w:rsidRPr="002C66A9">
        <w:rPr>
          <w:rFonts w:ascii="Times New Roman" w:hAnsi="Times New Roman" w:cs="Times New Roman"/>
          <w:i/>
        </w:rPr>
        <w:t>N</w:t>
      </w:r>
      <w:r w:rsidRPr="002C66A9">
        <w:rPr>
          <w:rFonts w:ascii="Times New Roman" w:hAnsi="Times New Roman" w:cs="Times New Roman"/>
        </w:rPr>
        <w:t xml:space="preserve">-acetylglucosaminidase family of </w:t>
      </w:r>
      <w:r w:rsidRPr="002C66A9">
        <w:rPr>
          <w:rFonts w:ascii="Times New Roman" w:hAnsi="Times New Roman" w:cs="Times New Roman"/>
          <w:i/>
        </w:rPr>
        <w:t>Staphylococcus aureus</w:t>
      </w:r>
      <w:r w:rsidRPr="002C66A9">
        <w:rPr>
          <w:rFonts w:ascii="Times New Roman" w:hAnsi="Times New Roman" w:cs="Times New Roman"/>
        </w:rPr>
        <w:t>.</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PhD thesis, University of Sheffield.</w:t>
      </w:r>
      <w:proofErr w:type="gramEnd"/>
    </w:p>
    <w:p w:rsidR="009831BC" w:rsidRPr="002C66A9" w:rsidRDefault="009831BC" w:rsidP="009831BC">
      <w:pPr>
        <w:pStyle w:val="Bibliography"/>
        <w:spacing w:after="100"/>
        <w:ind w:left="284" w:hanging="284"/>
        <w:jc w:val="both"/>
        <w:rPr>
          <w:rFonts w:ascii="Times New Roman" w:hAnsi="Times New Roman" w:cs="Times New Roman"/>
          <w:lang w:val="de-DE"/>
        </w:rPr>
      </w:pPr>
      <w:r w:rsidRPr="002C66A9">
        <w:rPr>
          <w:rFonts w:ascii="Times New Roman" w:hAnsi="Times New Roman" w:cs="Times New Roman"/>
          <w:b/>
        </w:rPr>
        <w:t>Mohammadi, T., van Dam, V., Sijbrandi, R., Vernet, T., Zapun, A., Bouhss, A., Diepeveen-de Bruin, M., Nguyen-Distèche, M., de Kruijff, B., Breukink, E., 2011.</w:t>
      </w:r>
      <w:r w:rsidRPr="002C66A9">
        <w:rPr>
          <w:rFonts w:ascii="Times New Roman" w:hAnsi="Times New Roman" w:cs="Times New Roman"/>
        </w:rPr>
        <w:t xml:space="preserve"> </w:t>
      </w:r>
      <w:proofErr w:type="gramStart"/>
      <w:r w:rsidRPr="002C66A9">
        <w:rPr>
          <w:rFonts w:ascii="Times New Roman" w:hAnsi="Times New Roman" w:cs="Times New Roman"/>
        </w:rPr>
        <w:t>Identification of FtsW as a transporter of lipid-linked cell wall precursors across the membrane.</w:t>
      </w:r>
      <w:proofErr w:type="gramEnd"/>
      <w:r w:rsidRPr="002C66A9">
        <w:rPr>
          <w:rFonts w:ascii="Times New Roman" w:hAnsi="Times New Roman" w:cs="Times New Roman"/>
        </w:rPr>
        <w:t xml:space="preserve"> </w:t>
      </w:r>
      <w:r w:rsidRPr="002C66A9">
        <w:rPr>
          <w:rFonts w:ascii="Times New Roman" w:hAnsi="Times New Roman" w:cs="Times New Roman"/>
          <w:i/>
          <w:lang w:val="de-DE"/>
        </w:rPr>
        <w:t>EMBO J</w:t>
      </w:r>
      <w:r w:rsidRPr="002C66A9">
        <w:rPr>
          <w:rFonts w:ascii="Times New Roman" w:hAnsi="Times New Roman" w:cs="Times New Roman"/>
          <w:lang w:val="de-DE"/>
        </w:rPr>
        <w:t>. 30, 1425–1432.</w:t>
      </w:r>
    </w:p>
    <w:p w:rsidR="009831BC" w:rsidRPr="002C66A9" w:rsidRDefault="009831BC" w:rsidP="009831BC">
      <w:pPr>
        <w:pStyle w:val="Bibliography"/>
        <w:spacing w:after="100"/>
        <w:ind w:left="284" w:hanging="284"/>
        <w:jc w:val="both"/>
        <w:rPr>
          <w:rFonts w:ascii="Times New Roman" w:hAnsi="Times New Roman" w:cs="Times New Roman"/>
          <w:lang w:val="de-DE"/>
        </w:rPr>
      </w:pPr>
      <w:r w:rsidRPr="002C66A9">
        <w:rPr>
          <w:rFonts w:ascii="Times New Roman" w:hAnsi="Times New Roman" w:cs="Times New Roman"/>
          <w:b/>
          <w:lang w:val="de-DE"/>
        </w:rPr>
        <w:t xml:space="preserve">Möker, N., Brocker, M., Schaffer, S., Krämer, R., Morbach, S., Bott, M., 2004. </w:t>
      </w:r>
      <w:r w:rsidRPr="002C66A9">
        <w:rPr>
          <w:rFonts w:ascii="Times New Roman" w:hAnsi="Times New Roman" w:cs="Times New Roman"/>
        </w:rPr>
        <w:t xml:space="preserve">Deletion of the genes encoding the MtrA-MtrB two-component system of </w:t>
      </w:r>
      <w:r w:rsidRPr="002C66A9">
        <w:rPr>
          <w:rFonts w:ascii="Times New Roman" w:hAnsi="Times New Roman" w:cs="Times New Roman"/>
          <w:i/>
        </w:rPr>
        <w:t>Corynebacterium glutamicum</w:t>
      </w:r>
      <w:r w:rsidRPr="002C66A9">
        <w:rPr>
          <w:rFonts w:ascii="Times New Roman" w:hAnsi="Times New Roman" w:cs="Times New Roman"/>
        </w:rPr>
        <w:t xml:space="preserve"> has a strong influence on cell morphology, antibiotics susceptibility and expression of genes involved in osmoprotection. </w:t>
      </w:r>
      <w:r w:rsidRPr="002C66A9">
        <w:rPr>
          <w:rFonts w:ascii="Times New Roman" w:hAnsi="Times New Roman" w:cs="Times New Roman"/>
          <w:i/>
          <w:lang w:val="de-DE"/>
        </w:rPr>
        <w:t>Mol. Microbiol</w:t>
      </w:r>
      <w:r w:rsidRPr="002C66A9">
        <w:rPr>
          <w:rFonts w:ascii="Times New Roman" w:hAnsi="Times New Roman" w:cs="Times New Roman"/>
          <w:lang w:val="de-DE"/>
        </w:rPr>
        <w:t>. 54, 420–438.</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lang w:val="de-DE"/>
        </w:rPr>
        <w:t>Morlot, C., Zapun, A., Dideberg, O., Vernet, T., 2003.</w:t>
      </w:r>
      <w:r w:rsidRPr="002C66A9">
        <w:rPr>
          <w:rFonts w:ascii="Times New Roman" w:hAnsi="Times New Roman" w:cs="Times New Roman"/>
          <w:lang w:val="de-DE"/>
        </w:rPr>
        <w:t xml:space="preserve"> </w:t>
      </w:r>
      <w:r w:rsidRPr="002C66A9">
        <w:rPr>
          <w:rFonts w:ascii="Times New Roman" w:hAnsi="Times New Roman" w:cs="Times New Roman"/>
        </w:rPr>
        <w:t xml:space="preserve">Growth and division of </w:t>
      </w:r>
      <w:r w:rsidRPr="002C66A9">
        <w:rPr>
          <w:rFonts w:ascii="Times New Roman" w:hAnsi="Times New Roman" w:cs="Times New Roman"/>
          <w:i/>
        </w:rPr>
        <w:t>Streptococcus pneumoniae</w:t>
      </w:r>
      <w:r w:rsidRPr="002C66A9">
        <w:rPr>
          <w:rFonts w:ascii="Times New Roman" w:hAnsi="Times New Roman" w:cs="Times New Roman"/>
        </w:rPr>
        <w:t xml:space="preserve">: localization of the high molecular weight penicillin-binding proteins during the cell cycle. </w:t>
      </w:r>
      <w:r w:rsidRPr="002C66A9">
        <w:rPr>
          <w:rFonts w:ascii="Times New Roman" w:hAnsi="Times New Roman" w:cs="Times New Roman"/>
          <w:i/>
        </w:rPr>
        <w:t>Mol. Microbiol</w:t>
      </w:r>
      <w:r w:rsidRPr="002C66A9">
        <w:rPr>
          <w:rFonts w:ascii="Times New Roman" w:hAnsi="Times New Roman" w:cs="Times New Roman"/>
        </w:rPr>
        <w:t>. 50, 845–855.</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Moscoso, M., Claverys, J.-P., 2004.</w:t>
      </w:r>
      <w:proofErr w:type="gramEnd"/>
      <w:r w:rsidRPr="002C66A9">
        <w:rPr>
          <w:rFonts w:ascii="Times New Roman" w:hAnsi="Times New Roman" w:cs="Times New Roman"/>
        </w:rPr>
        <w:t xml:space="preserve"> Release of DNA into the medium by competent </w:t>
      </w:r>
      <w:r w:rsidRPr="002C66A9">
        <w:rPr>
          <w:rFonts w:ascii="Times New Roman" w:hAnsi="Times New Roman" w:cs="Times New Roman"/>
          <w:i/>
        </w:rPr>
        <w:t>Streptococcus pneumoniae</w:t>
      </w:r>
      <w:r w:rsidRPr="002C66A9">
        <w:rPr>
          <w:rFonts w:ascii="Times New Roman" w:hAnsi="Times New Roman" w:cs="Times New Roman"/>
        </w:rPr>
        <w:t xml:space="preserve">: kinetics, mechanism and stability of the liberated DNA. </w:t>
      </w:r>
      <w:r w:rsidRPr="002C66A9">
        <w:rPr>
          <w:rFonts w:ascii="Times New Roman" w:hAnsi="Times New Roman" w:cs="Times New Roman"/>
          <w:i/>
        </w:rPr>
        <w:t>Mol. Microbiol</w:t>
      </w:r>
      <w:r w:rsidRPr="002C66A9">
        <w:rPr>
          <w:rFonts w:ascii="Times New Roman" w:hAnsi="Times New Roman" w:cs="Times New Roman"/>
        </w:rPr>
        <w:t>. 54, 783–794.</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Moynihan, P.J., Clarke, A.J., 2010.</w:t>
      </w:r>
      <w:r w:rsidRPr="002C66A9">
        <w:rPr>
          <w:rFonts w:ascii="Times New Roman" w:hAnsi="Times New Roman" w:cs="Times New Roman"/>
        </w:rPr>
        <w:t xml:space="preserve"> </w:t>
      </w:r>
      <w:r w:rsidRPr="002C66A9">
        <w:rPr>
          <w:rFonts w:ascii="Times New Roman" w:hAnsi="Times New Roman" w:cs="Times New Roman"/>
          <w:i/>
        </w:rPr>
        <w:t>O</w:t>
      </w:r>
      <w:r w:rsidRPr="002C66A9">
        <w:rPr>
          <w:rFonts w:ascii="Times New Roman" w:hAnsi="Times New Roman" w:cs="Times New Roman"/>
        </w:rPr>
        <w:t xml:space="preserve">-acetylation of peptidoglycan in gram-negative bacteria: identification and characterization of peptidoglycan </w:t>
      </w:r>
      <w:r w:rsidRPr="002C66A9">
        <w:rPr>
          <w:rFonts w:ascii="Times New Roman" w:hAnsi="Times New Roman" w:cs="Times New Roman"/>
          <w:i/>
        </w:rPr>
        <w:t>O</w:t>
      </w:r>
      <w:r w:rsidRPr="002C66A9">
        <w:rPr>
          <w:rFonts w:ascii="Times New Roman" w:hAnsi="Times New Roman" w:cs="Times New Roman"/>
        </w:rPr>
        <w:t xml:space="preserve">-acetyltransferase in </w:t>
      </w:r>
      <w:r w:rsidRPr="002C66A9">
        <w:rPr>
          <w:rFonts w:ascii="Times New Roman" w:hAnsi="Times New Roman" w:cs="Times New Roman"/>
          <w:i/>
        </w:rPr>
        <w:t>Neisseria gonorrhoeae</w:t>
      </w:r>
      <w:r w:rsidRPr="002C66A9">
        <w:rPr>
          <w:rFonts w:ascii="Times New Roman" w:hAnsi="Times New Roman" w:cs="Times New Roman"/>
        </w:rPr>
        <w:t xml:space="preserve">. </w:t>
      </w:r>
      <w:r w:rsidRPr="002C66A9">
        <w:rPr>
          <w:rFonts w:ascii="Times New Roman" w:hAnsi="Times New Roman" w:cs="Times New Roman"/>
          <w:i/>
        </w:rPr>
        <w:t>J. Biol. Chem</w:t>
      </w:r>
      <w:r w:rsidRPr="002C66A9">
        <w:rPr>
          <w:rFonts w:ascii="Times New Roman" w:hAnsi="Times New Roman" w:cs="Times New Roman"/>
        </w:rPr>
        <w:t>. 285, 13264–13273.</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Mukamolova, G.V., Murzin, A.G., Salina, E.G., Demina, G.R., Kell, D.B., Kaprelyants, A.S., Young, M., 2006.</w:t>
      </w:r>
      <w:r w:rsidRPr="002C66A9">
        <w:rPr>
          <w:rFonts w:ascii="Times New Roman" w:hAnsi="Times New Roman" w:cs="Times New Roman"/>
        </w:rPr>
        <w:t xml:space="preserve"> </w:t>
      </w:r>
      <w:proofErr w:type="gramStart"/>
      <w:r w:rsidRPr="002C66A9">
        <w:rPr>
          <w:rFonts w:ascii="Times New Roman" w:hAnsi="Times New Roman" w:cs="Times New Roman"/>
        </w:rPr>
        <w:t xml:space="preserve">Muralytic activity of </w:t>
      </w:r>
      <w:r w:rsidRPr="002C66A9">
        <w:rPr>
          <w:rFonts w:ascii="Times New Roman" w:hAnsi="Times New Roman" w:cs="Times New Roman"/>
          <w:i/>
        </w:rPr>
        <w:t>Micrococcus luteus</w:t>
      </w:r>
      <w:r w:rsidRPr="002C66A9">
        <w:rPr>
          <w:rFonts w:ascii="Times New Roman" w:hAnsi="Times New Roman" w:cs="Times New Roman"/>
        </w:rPr>
        <w:t xml:space="preserve"> Rpf and its relationship to physiological activity in promoting bacterial growth and resuscitation.</w:t>
      </w:r>
      <w:proofErr w:type="gramEnd"/>
      <w:r w:rsidRPr="002C66A9">
        <w:rPr>
          <w:rFonts w:ascii="Times New Roman" w:hAnsi="Times New Roman" w:cs="Times New Roman"/>
        </w:rPr>
        <w:t xml:space="preserve"> </w:t>
      </w:r>
      <w:r w:rsidRPr="002C66A9">
        <w:rPr>
          <w:rFonts w:ascii="Times New Roman" w:hAnsi="Times New Roman" w:cs="Times New Roman"/>
          <w:i/>
        </w:rPr>
        <w:t>Mol. Microbiol</w:t>
      </w:r>
      <w:r w:rsidRPr="002C66A9">
        <w:rPr>
          <w:rFonts w:ascii="Times New Roman" w:hAnsi="Times New Roman" w:cs="Times New Roman"/>
        </w:rPr>
        <w:t>. 59, 84–98.</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Müller, D.J., Dufrêne, Y.F., 2011.</w:t>
      </w:r>
      <w:r w:rsidRPr="002C66A9">
        <w:rPr>
          <w:rFonts w:ascii="Times New Roman" w:hAnsi="Times New Roman" w:cs="Times New Roman"/>
        </w:rPr>
        <w:t xml:space="preserve"> Atomic force microscopy: a nanoscopic window on the cell surface. </w:t>
      </w:r>
      <w:r w:rsidRPr="002C66A9">
        <w:rPr>
          <w:rFonts w:ascii="Times New Roman" w:hAnsi="Times New Roman" w:cs="Times New Roman"/>
          <w:i/>
        </w:rPr>
        <w:t>Trends Cell Biol</w:t>
      </w:r>
      <w:r w:rsidRPr="002C66A9">
        <w:rPr>
          <w:rFonts w:ascii="Times New Roman" w:hAnsi="Times New Roman" w:cs="Times New Roman"/>
        </w:rPr>
        <w:t>. 21, 461–469.</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Murray, J., 2001. </w:t>
      </w:r>
      <w:proofErr w:type="gramStart"/>
      <w:r w:rsidRPr="002C66A9">
        <w:rPr>
          <w:rFonts w:ascii="Times New Roman" w:hAnsi="Times New Roman" w:cs="Times New Roman"/>
        </w:rPr>
        <w:t xml:space="preserve">Molecular analysis of the role and regulation of the autolysins of </w:t>
      </w:r>
      <w:r w:rsidRPr="002C66A9">
        <w:rPr>
          <w:rFonts w:ascii="Times New Roman" w:hAnsi="Times New Roman" w:cs="Times New Roman"/>
          <w:i/>
        </w:rPr>
        <w:t>Staphylococcus aureus</w:t>
      </w:r>
      <w:r w:rsidRPr="002C66A9">
        <w:rPr>
          <w:rFonts w:ascii="Times New Roman" w:hAnsi="Times New Roman" w:cs="Times New Roman"/>
        </w:rPr>
        <w:t>.</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PhD thesis, University of Sheffield.</w:t>
      </w:r>
      <w:proofErr w:type="gramEnd"/>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Nambu, T., Minamino, T., Macnab, R.M., Kutsukake, K., 1999.</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 xml:space="preserve">Peptidoglycan-hydrolyzing activity of the FlgJ protein, essential for flagellar rod formation in </w:t>
      </w:r>
      <w:r w:rsidRPr="002C66A9">
        <w:rPr>
          <w:rFonts w:ascii="Times New Roman" w:hAnsi="Times New Roman" w:cs="Times New Roman"/>
          <w:i/>
        </w:rPr>
        <w:t>Salmonella</w:t>
      </w:r>
      <w:r w:rsidRPr="002C66A9">
        <w:rPr>
          <w:rFonts w:ascii="Times New Roman" w:hAnsi="Times New Roman" w:cs="Times New Roman"/>
        </w:rPr>
        <w:t xml:space="preserve"> </w:t>
      </w:r>
      <w:r w:rsidRPr="002C66A9">
        <w:rPr>
          <w:rFonts w:ascii="Times New Roman" w:hAnsi="Times New Roman" w:cs="Times New Roman"/>
          <w:i/>
        </w:rPr>
        <w:t>typhimurium</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181, 1555–1561.</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rPr>
        <w:t>N</w:t>
      </w:r>
      <w:r w:rsidRPr="002C66A9">
        <w:rPr>
          <w:rFonts w:ascii="Times New Roman" w:hAnsi="Times New Roman" w:cs="Times New Roman"/>
          <w:b/>
        </w:rPr>
        <w:t xml:space="preserve">elson, D.E., Young, K.D., 2001. </w:t>
      </w:r>
      <w:r w:rsidRPr="002C66A9">
        <w:rPr>
          <w:rFonts w:ascii="Times New Roman" w:hAnsi="Times New Roman" w:cs="Times New Roman"/>
        </w:rPr>
        <w:t xml:space="preserve">Contributions of PBP 5 and </w:t>
      </w:r>
      <w:r w:rsidRPr="002C66A9">
        <w:rPr>
          <w:rFonts w:ascii="Times New Roman" w:hAnsi="Times New Roman" w:cs="Times New Roman"/>
          <w:sz w:val="16"/>
          <w:szCs w:val="16"/>
        </w:rPr>
        <w:t>DD</w:t>
      </w:r>
      <w:r w:rsidRPr="002C66A9">
        <w:rPr>
          <w:rFonts w:ascii="Times New Roman" w:hAnsi="Times New Roman" w:cs="Times New Roman"/>
        </w:rPr>
        <w:t xml:space="preserve">-carboxypeptidase penicillin binding proteins to maintenance of cell shape in </w:t>
      </w:r>
      <w:r w:rsidRPr="002C66A9">
        <w:rPr>
          <w:rFonts w:ascii="Times New Roman" w:hAnsi="Times New Roman" w:cs="Times New Roman"/>
          <w:i/>
        </w:rPr>
        <w:t>Escherichia coli</w:t>
      </w:r>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183, 3055–3064.</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Neuhaus, F.C., Baddiley, J., 2003.</w:t>
      </w:r>
      <w:r w:rsidRPr="002C66A9">
        <w:rPr>
          <w:rFonts w:ascii="Times New Roman" w:hAnsi="Times New Roman" w:cs="Times New Roman"/>
        </w:rPr>
        <w:t xml:space="preserve"> A continuum of anionic charge: structures and functions of </w:t>
      </w:r>
      <w:r w:rsidRPr="002C66A9">
        <w:rPr>
          <w:rFonts w:ascii="Times New Roman" w:hAnsi="Times New Roman" w:cs="Times New Roman"/>
          <w:sz w:val="16"/>
          <w:szCs w:val="16"/>
        </w:rPr>
        <w:t>D</w:t>
      </w:r>
      <w:r w:rsidRPr="002C66A9">
        <w:rPr>
          <w:rFonts w:ascii="Times New Roman" w:hAnsi="Times New Roman" w:cs="Times New Roman"/>
        </w:rPr>
        <w:t xml:space="preserve">-alanyl-teichoic acids in gram-positive bacteria. </w:t>
      </w:r>
      <w:proofErr w:type="gramStart"/>
      <w:r w:rsidRPr="002C66A9">
        <w:rPr>
          <w:rFonts w:ascii="Times New Roman" w:hAnsi="Times New Roman" w:cs="Times New Roman"/>
          <w:i/>
        </w:rPr>
        <w:t>Microbiol.</w:t>
      </w:r>
      <w:proofErr w:type="gramEnd"/>
      <w:r w:rsidRPr="002C66A9">
        <w:rPr>
          <w:rFonts w:ascii="Times New Roman" w:hAnsi="Times New Roman" w:cs="Times New Roman"/>
          <w:i/>
        </w:rPr>
        <w:t xml:space="preserve"> Mol. Biol. Rev</w:t>
      </w:r>
      <w:r w:rsidRPr="002C66A9">
        <w:rPr>
          <w:rFonts w:ascii="Times New Roman" w:hAnsi="Times New Roman" w:cs="Times New Roman"/>
        </w:rPr>
        <w:t>. 67, 686–723.</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Ng, W.-L., Robertson, G.T., Kazmierczak, K.M., Zhao, J., Gilmour, R., Winkler, M.E., 2003.</w:t>
      </w:r>
      <w:proofErr w:type="gramEnd"/>
      <w:r w:rsidRPr="002C66A9">
        <w:rPr>
          <w:rFonts w:ascii="Times New Roman" w:hAnsi="Times New Roman" w:cs="Times New Roman"/>
        </w:rPr>
        <w:t xml:space="preserve"> Constitutive expression of PcsB suppresses the requirement for the essential VicR (YycF) response regulator in </w:t>
      </w:r>
      <w:r w:rsidRPr="002C66A9">
        <w:rPr>
          <w:rFonts w:ascii="Times New Roman" w:hAnsi="Times New Roman" w:cs="Times New Roman"/>
          <w:i/>
        </w:rPr>
        <w:t>Streptococcus pneumoniae</w:t>
      </w:r>
      <w:r w:rsidRPr="002C66A9">
        <w:rPr>
          <w:rFonts w:ascii="Times New Roman" w:hAnsi="Times New Roman" w:cs="Times New Roman"/>
        </w:rPr>
        <w:t xml:space="preserve"> R6. </w:t>
      </w:r>
      <w:r w:rsidRPr="002C66A9">
        <w:rPr>
          <w:rFonts w:ascii="Times New Roman" w:hAnsi="Times New Roman" w:cs="Times New Roman"/>
          <w:i/>
        </w:rPr>
        <w:t>Mol. Microbiol</w:t>
      </w:r>
      <w:r w:rsidRPr="002C66A9">
        <w:rPr>
          <w:rFonts w:ascii="Times New Roman" w:hAnsi="Times New Roman" w:cs="Times New Roman"/>
        </w:rPr>
        <w:t>. 50, 1647–1663.</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Notredame, C., Higgins, D.G., Heringa, J., 2000.</w:t>
      </w:r>
      <w:r w:rsidRPr="002C66A9">
        <w:rPr>
          <w:rFonts w:ascii="Times New Roman" w:hAnsi="Times New Roman" w:cs="Times New Roman"/>
        </w:rPr>
        <w:t xml:space="preserve"> T-Coffee: A novel method for fast and accurate multiple sequence alignment. </w:t>
      </w:r>
      <w:r w:rsidRPr="002C66A9">
        <w:rPr>
          <w:rFonts w:ascii="Times New Roman" w:hAnsi="Times New Roman" w:cs="Times New Roman"/>
          <w:i/>
        </w:rPr>
        <w:t>J. Mol. Biol</w:t>
      </w:r>
      <w:r w:rsidRPr="002C66A9">
        <w:rPr>
          <w:rFonts w:ascii="Times New Roman" w:hAnsi="Times New Roman" w:cs="Times New Roman"/>
        </w:rPr>
        <w:t>. 302, 205–217.</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Novick, R.P., 1991.</w:t>
      </w:r>
      <w:r w:rsidRPr="002C66A9">
        <w:rPr>
          <w:rFonts w:ascii="Times New Roman" w:hAnsi="Times New Roman" w:cs="Times New Roman"/>
        </w:rPr>
        <w:t xml:space="preserve"> </w:t>
      </w:r>
      <w:proofErr w:type="gramStart"/>
      <w:r w:rsidRPr="002C66A9">
        <w:rPr>
          <w:rFonts w:ascii="Times New Roman" w:hAnsi="Times New Roman" w:cs="Times New Roman"/>
        </w:rPr>
        <w:t>Genetic systems in staphylococci.</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Meth.</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Enzymol</w:t>
      </w:r>
      <w:r w:rsidRPr="002C66A9">
        <w:rPr>
          <w:rFonts w:ascii="Times New Roman" w:hAnsi="Times New Roman" w:cs="Times New Roman"/>
        </w:rPr>
        <w:t>.</w:t>
      </w:r>
      <w:proofErr w:type="gramEnd"/>
      <w:r w:rsidRPr="002C66A9">
        <w:rPr>
          <w:rFonts w:ascii="Times New Roman" w:hAnsi="Times New Roman" w:cs="Times New Roman"/>
        </w:rPr>
        <w:t xml:space="preserve"> 204, 587–636.</w:t>
      </w:r>
    </w:p>
    <w:p w:rsidR="009831BC" w:rsidRPr="002C66A9" w:rsidRDefault="009831BC" w:rsidP="009831BC">
      <w:pPr>
        <w:pStyle w:val="Bibliography"/>
        <w:spacing w:after="100"/>
        <w:ind w:left="284" w:hanging="284"/>
        <w:jc w:val="both"/>
        <w:rPr>
          <w:rFonts w:ascii="Times New Roman" w:hAnsi="Times New Roman" w:cs="Times New Roman"/>
          <w:lang w:val="de-DE"/>
        </w:rPr>
      </w:pPr>
      <w:proofErr w:type="gramStart"/>
      <w:r w:rsidRPr="002C66A9">
        <w:rPr>
          <w:rFonts w:ascii="Times New Roman" w:hAnsi="Times New Roman" w:cs="Times New Roman"/>
          <w:b/>
        </w:rPr>
        <w:t>Nyström, T., 2007.</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A bacterial kind of aging.</w:t>
      </w:r>
      <w:proofErr w:type="gramEnd"/>
      <w:r w:rsidRPr="002C66A9">
        <w:rPr>
          <w:rFonts w:ascii="Times New Roman" w:hAnsi="Times New Roman" w:cs="Times New Roman"/>
        </w:rPr>
        <w:t xml:space="preserve"> </w:t>
      </w:r>
      <w:r w:rsidRPr="002C66A9">
        <w:rPr>
          <w:rFonts w:ascii="Times New Roman" w:hAnsi="Times New Roman" w:cs="Times New Roman"/>
          <w:i/>
          <w:lang w:val="de-DE"/>
        </w:rPr>
        <w:t>PLoS Genet</w:t>
      </w:r>
      <w:r w:rsidRPr="002C66A9">
        <w:rPr>
          <w:rFonts w:ascii="Times New Roman" w:hAnsi="Times New Roman" w:cs="Times New Roman"/>
          <w:lang w:val="de-DE"/>
        </w:rPr>
        <w:t>. 3, e224.</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lang w:val="de-DE"/>
        </w:rPr>
        <w:t xml:space="preserve">Ohnishi, R., Ishikawa, S., Sekiguchi, J., 1999. </w:t>
      </w:r>
      <w:r w:rsidRPr="002C66A9">
        <w:rPr>
          <w:rFonts w:ascii="Times New Roman" w:hAnsi="Times New Roman" w:cs="Times New Roman"/>
        </w:rPr>
        <w:t xml:space="preserve">Peptidoglycan hydrolase LytF plays a role in cell separation with CwlF during vegetative growth of </w:t>
      </w:r>
      <w:r w:rsidRPr="002C66A9">
        <w:rPr>
          <w:rFonts w:ascii="Times New Roman" w:hAnsi="Times New Roman" w:cs="Times New Roman"/>
          <w:i/>
        </w:rPr>
        <w:t>Bacillus subtilis</w:t>
      </w:r>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181, 3178–3184.</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Ohno, N., Yadomae, T., Miyazaki, T., 1982.</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 xml:space="preserve">Identification of 2-amino-2-deoxyglucose residues in the peptidoglucan of </w:t>
      </w:r>
      <w:r w:rsidRPr="002C66A9">
        <w:rPr>
          <w:rFonts w:ascii="Times New Roman" w:hAnsi="Times New Roman" w:cs="Times New Roman"/>
          <w:i/>
        </w:rPr>
        <w:t>Streptococcus pneumoniae</w:t>
      </w:r>
      <w:r w:rsidRPr="002C66A9">
        <w:rPr>
          <w:rFonts w:ascii="Times New Roman" w:hAnsi="Times New Roman" w:cs="Times New Roman"/>
        </w:rPr>
        <w:t>.</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Carbohydr.</w:t>
      </w:r>
      <w:proofErr w:type="gramEnd"/>
      <w:r w:rsidRPr="002C66A9">
        <w:rPr>
          <w:rFonts w:ascii="Times New Roman" w:hAnsi="Times New Roman" w:cs="Times New Roman"/>
          <w:i/>
        </w:rPr>
        <w:t xml:space="preserve"> Res</w:t>
      </w:r>
      <w:r w:rsidRPr="002C66A9">
        <w:rPr>
          <w:rFonts w:ascii="Times New Roman" w:hAnsi="Times New Roman" w:cs="Times New Roman"/>
        </w:rPr>
        <w:t>. 107, 152–155.</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lastRenderedPageBreak/>
        <w:t>Oku, Y., Kurokawa, K., Matsuo, M., Yamada, S., Lee, B.-L., Sekimizu, K., 2009.</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 xml:space="preserve">Pleiotropic roles of polyglycerolphosphate synthase of lipoteichoic acid in growth of </w:t>
      </w:r>
      <w:r w:rsidRPr="002C66A9">
        <w:rPr>
          <w:rFonts w:ascii="Times New Roman" w:hAnsi="Times New Roman" w:cs="Times New Roman"/>
          <w:i/>
        </w:rPr>
        <w:t>Staphylococcus aureus</w:t>
      </w:r>
      <w:r w:rsidRPr="002C66A9">
        <w:rPr>
          <w:rFonts w:ascii="Times New Roman" w:hAnsi="Times New Roman" w:cs="Times New Roman"/>
        </w:rPr>
        <w:t xml:space="preserve"> cells.</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191, 141–151.</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Olrichs, N.K., Aarsman, M.E.G., Verheul, J., Arnusch, C.J., Martin, N.I., Hervé, M., Vollmer, W., de Kruijff, B., Breukink, E., den Blaauwen, T., 2011.</w:t>
      </w:r>
      <w:proofErr w:type="gramEnd"/>
      <w:r w:rsidRPr="002C66A9">
        <w:rPr>
          <w:rFonts w:ascii="Times New Roman" w:hAnsi="Times New Roman" w:cs="Times New Roman"/>
          <w:b/>
        </w:rPr>
        <w:t xml:space="preserve"> </w:t>
      </w:r>
      <w:r w:rsidRPr="002C66A9">
        <w:rPr>
          <w:rFonts w:ascii="Times New Roman" w:hAnsi="Times New Roman" w:cs="Times New Roman"/>
        </w:rPr>
        <w:t xml:space="preserve">A novel in vivo cell-wall labeling approach sheds new light on peptidoglycan synthesis in </w:t>
      </w:r>
      <w:r w:rsidRPr="002C66A9">
        <w:rPr>
          <w:rFonts w:ascii="Times New Roman" w:hAnsi="Times New Roman" w:cs="Times New Roman"/>
          <w:i/>
        </w:rPr>
        <w:t>Escherichia coli</w:t>
      </w:r>
      <w:r w:rsidRPr="002C66A9">
        <w:rPr>
          <w:rFonts w:ascii="Times New Roman" w:hAnsi="Times New Roman" w:cs="Times New Roman"/>
        </w:rPr>
        <w:t xml:space="preserve">. </w:t>
      </w:r>
      <w:proofErr w:type="gramStart"/>
      <w:r w:rsidRPr="002C66A9">
        <w:rPr>
          <w:rFonts w:ascii="Times New Roman" w:hAnsi="Times New Roman" w:cs="Times New Roman"/>
          <w:i/>
        </w:rPr>
        <w:t>CheMBiochem</w:t>
      </w:r>
      <w:r w:rsidRPr="002C66A9">
        <w:rPr>
          <w:rFonts w:ascii="Times New Roman" w:hAnsi="Times New Roman" w:cs="Times New Roman"/>
        </w:rPr>
        <w:t>.</w:t>
      </w:r>
      <w:proofErr w:type="gramEnd"/>
      <w:r w:rsidRPr="002C66A9">
        <w:rPr>
          <w:rFonts w:ascii="Times New Roman" w:hAnsi="Times New Roman" w:cs="Times New Roman"/>
        </w:rPr>
        <w:t xml:space="preserve"> 12, 1124–1133.</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Oshida, T., Sugai, M., Komatsuzawa, H., Hong, Y.M., Suginaka, H., Tomasz, A., 1995.</w:t>
      </w:r>
      <w:proofErr w:type="gramEnd"/>
      <w:r w:rsidRPr="002C66A9">
        <w:rPr>
          <w:rFonts w:ascii="Times New Roman" w:hAnsi="Times New Roman" w:cs="Times New Roman"/>
        </w:rPr>
        <w:t xml:space="preserve"> A </w:t>
      </w:r>
      <w:r w:rsidRPr="002C66A9">
        <w:rPr>
          <w:rFonts w:ascii="Times New Roman" w:hAnsi="Times New Roman" w:cs="Times New Roman"/>
          <w:i/>
        </w:rPr>
        <w:t>Staphylococcus aureus</w:t>
      </w:r>
      <w:r w:rsidRPr="002C66A9">
        <w:rPr>
          <w:rFonts w:ascii="Times New Roman" w:hAnsi="Times New Roman" w:cs="Times New Roman"/>
        </w:rPr>
        <w:t xml:space="preserve"> autolysin that has an </w:t>
      </w:r>
      <w:r w:rsidRPr="002C66A9">
        <w:rPr>
          <w:rFonts w:ascii="Times New Roman" w:hAnsi="Times New Roman" w:cs="Times New Roman"/>
          <w:i/>
        </w:rPr>
        <w:t>N</w:t>
      </w:r>
      <w:r w:rsidRPr="002C66A9">
        <w:rPr>
          <w:rFonts w:ascii="Times New Roman" w:hAnsi="Times New Roman" w:cs="Times New Roman"/>
        </w:rPr>
        <w:t>-acetylmuramoyl-</w:t>
      </w:r>
      <w:r w:rsidRPr="002C66A9">
        <w:rPr>
          <w:rFonts w:ascii="Times New Roman" w:hAnsi="Times New Roman" w:cs="Times New Roman"/>
          <w:sz w:val="16"/>
          <w:szCs w:val="16"/>
        </w:rPr>
        <w:t>L</w:t>
      </w:r>
      <w:r w:rsidRPr="002C66A9">
        <w:rPr>
          <w:rFonts w:ascii="Times New Roman" w:hAnsi="Times New Roman" w:cs="Times New Roman"/>
        </w:rPr>
        <w:t>-alanine amidase domain and an endo-beta-</w:t>
      </w:r>
      <w:r w:rsidRPr="002C66A9">
        <w:rPr>
          <w:rFonts w:ascii="Times New Roman" w:hAnsi="Times New Roman" w:cs="Times New Roman"/>
          <w:i/>
        </w:rPr>
        <w:t>N</w:t>
      </w:r>
      <w:r w:rsidRPr="002C66A9">
        <w:rPr>
          <w:rFonts w:ascii="Times New Roman" w:hAnsi="Times New Roman" w:cs="Times New Roman"/>
        </w:rPr>
        <w:t xml:space="preserve">-acetylglucosaminidase domain: cloning, sequence analysis, and characterization. </w:t>
      </w:r>
      <w:r w:rsidRPr="002C66A9">
        <w:rPr>
          <w:rFonts w:ascii="Times New Roman" w:hAnsi="Times New Roman" w:cs="Times New Roman"/>
          <w:i/>
        </w:rPr>
        <w:t>Proc. Natl. Acad. Sci. U.S.A</w:t>
      </w:r>
      <w:r w:rsidRPr="002C66A9">
        <w:rPr>
          <w:rFonts w:ascii="Times New Roman" w:hAnsi="Times New Roman" w:cs="Times New Roman"/>
        </w:rPr>
        <w:t>. 92, 285–289.</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Parfentjev, I.A., Catelli, A.R., 1964.</w:t>
      </w:r>
      <w:r w:rsidRPr="002C66A9">
        <w:rPr>
          <w:rFonts w:ascii="Times New Roman" w:hAnsi="Times New Roman" w:cs="Times New Roman"/>
        </w:rPr>
        <w:t xml:space="preserve"> </w:t>
      </w:r>
      <w:proofErr w:type="gramStart"/>
      <w:r w:rsidRPr="002C66A9">
        <w:rPr>
          <w:rFonts w:ascii="Times New Roman" w:hAnsi="Times New Roman" w:cs="Times New Roman"/>
        </w:rPr>
        <w:t xml:space="preserve">Tolerance of </w:t>
      </w:r>
      <w:r w:rsidRPr="002C66A9">
        <w:rPr>
          <w:rFonts w:ascii="Times New Roman" w:hAnsi="Times New Roman" w:cs="Times New Roman"/>
          <w:i/>
        </w:rPr>
        <w:t>Staphylococcus aureus</w:t>
      </w:r>
      <w:r w:rsidRPr="002C66A9">
        <w:rPr>
          <w:rFonts w:ascii="Times New Roman" w:hAnsi="Times New Roman" w:cs="Times New Roman"/>
        </w:rPr>
        <w:t xml:space="preserve"> to sodium chloride.</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88, 1–3.</w:t>
      </w:r>
    </w:p>
    <w:p w:rsidR="009831BC" w:rsidRPr="000B02E4"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Park, J.T., 1993.</w:t>
      </w:r>
      <w:r w:rsidRPr="002C66A9">
        <w:rPr>
          <w:rFonts w:ascii="Times New Roman" w:hAnsi="Times New Roman" w:cs="Times New Roman"/>
        </w:rPr>
        <w:t xml:space="preserve"> Turnover and recycling of the murein sacculus in oligopeptide permease-negative strains of </w:t>
      </w:r>
      <w:r w:rsidRPr="002C66A9">
        <w:rPr>
          <w:rFonts w:ascii="Times New Roman" w:hAnsi="Times New Roman" w:cs="Times New Roman"/>
          <w:i/>
        </w:rPr>
        <w:t>Escherichia coli</w:t>
      </w:r>
      <w:r w:rsidRPr="002C66A9">
        <w:rPr>
          <w:rFonts w:ascii="Times New Roman" w:hAnsi="Times New Roman" w:cs="Times New Roman"/>
        </w:rPr>
        <w:t xml:space="preserve">: indirect evidence for an alternative permease system and for a monolayered sacculus. </w:t>
      </w:r>
      <w:r w:rsidRPr="000B02E4">
        <w:rPr>
          <w:rFonts w:ascii="Times New Roman" w:hAnsi="Times New Roman" w:cs="Times New Roman"/>
          <w:i/>
        </w:rPr>
        <w:t>J. Bacteriol</w:t>
      </w:r>
      <w:r w:rsidRPr="000B02E4">
        <w:rPr>
          <w:rFonts w:ascii="Times New Roman" w:hAnsi="Times New Roman" w:cs="Times New Roman"/>
        </w:rPr>
        <w:t>. 175, 7–11.</w:t>
      </w:r>
    </w:p>
    <w:p w:rsidR="009831BC" w:rsidRPr="000B02E4" w:rsidRDefault="009831BC" w:rsidP="009831BC">
      <w:pPr>
        <w:pStyle w:val="Bibliography"/>
        <w:spacing w:after="100"/>
        <w:rPr>
          <w:rFonts w:ascii="Times New Roman" w:hAnsi="Times New Roman" w:cs="Times New Roman"/>
          <w:lang w:val="de-DE"/>
        </w:rPr>
      </w:pPr>
      <w:r w:rsidRPr="000B02E4">
        <w:rPr>
          <w:rFonts w:ascii="Times New Roman" w:hAnsi="Times New Roman" w:cs="Times New Roman"/>
          <w:b/>
        </w:rPr>
        <w:t>Park, J.T., Strominger, J.L., 1957.</w:t>
      </w:r>
      <w:r w:rsidRPr="000B02E4">
        <w:rPr>
          <w:rFonts w:ascii="Times New Roman" w:hAnsi="Times New Roman" w:cs="Times New Roman"/>
        </w:rPr>
        <w:t xml:space="preserve"> </w:t>
      </w:r>
      <w:proofErr w:type="gramStart"/>
      <w:r w:rsidRPr="002C66A9">
        <w:rPr>
          <w:rFonts w:ascii="Times New Roman" w:hAnsi="Times New Roman" w:cs="Times New Roman"/>
        </w:rPr>
        <w:t>Mode of action of penicillin.</w:t>
      </w:r>
      <w:proofErr w:type="gramEnd"/>
      <w:r w:rsidRPr="002C66A9">
        <w:rPr>
          <w:rFonts w:ascii="Times New Roman" w:hAnsi="Times New Roman" w:cs="Times New Roman"/>
        </w:rPr>
        <w:t xml:space="preserve"> </w:t>
      </w:r>
      <w:r w:rsidRPr="000B02E4">
        <w:rPr>
          <w:rFonts w:ascii="Times New Roman" w:hAnsi="Times New Roman" w:cs="Times New Roman"/>
          <w:i/>
          <w:lang w:val="de-DE"/>
        </w:rPr>
        <w:t>Science</w:t>
      </w:r>
      <w:r w:rsidRPr="000B02E4">
        <w:rPr>
          <w:rFonts w:ascii="Times New Roman" w:hAnsi="Times New Roman" w:cs="Times New Roman"/>
          <w:lang w:val="de-DE"/>
        </w:rPr>
        <w:t>. 125, 99–101.</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lang w:val="de-DE"/>
        </w:rPr>
        <w:t>Pasztor, L., Ziebandt, A.-K., Nega, M., Schlag, M., Haase, S., Franz-Wachtel, M., Madlung, J., Nordheim, A., Heinrichs, D.E., Götz, F., 2010.</w:t>
      </w:r>
      <w:r w:rsidRPr="002C66A9">
        <w:rPr>
          <w:rFonts w:ascii="Times New Roman" w:hAnsi="Times New Roman" w:cs="Times New Roman"/>
          <w:lang w:val="de-DE"/>
        </w:rPr>
        <w:t xml:space="preserve"> </w:t>
      </w:r>
      <w:r w:rsidRPr="002C66A9">
        <w:rPr>
          <w:rFonts w:ascii="Times New Roman" w:hAnsi="Times New Roman" w:cs="Times New Roman"/>
        </w:rPr>
        <w:t xml:space="preserve">Staphylococcal major autolysin (Atl) is involved in excretion of cytoplasmic proteins. </w:t>
      </w:r>
      <w:r w:rsidRPr="002C66A9">
        <w:rPr>
          <w:rFonts w:ascii="Times New Roman" w:hAnsi="Times New Roman" w:cs="Times New Roman"/>
          <w:i/>
        </w:rPr>
        <w:t>J. Biol. Chem</w:t>
      </w:r>
      <w:r w:rsidRPr="002C66A9">
        <w:rPr>
          <w:rFonts w:ascii="Times New Roman" w:hAnsi="Times New Roman" w:cs="Times New Roman"/>
        </w:rPr>
        <w:t>. 285, 36794–36803.</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Patti, G.J., Chen, J., Schaefer, J., Gross, M.L., 2008.</w:t>
      </w:r>
      <w:r w:rsidRPr="002C66A9">
        <w:rPr>
          <w:rFonts w:ascii="Times New Roman" w:hAnsi="Times New Roman" w:cs="Times New Roman"/>
        </w:rPr>
        <w:t xml:space="preserve"> Characterization of structural variations in the peptidoglycan of vancomycin-susceptible </w:t>
      </w:r>
      <w:r w:rsidRPr="002C66A9">
        <w:rPr>
          <w:rFonts w:ascii="Times New Roman" w:hAnsi="Times New Roman" w:cs="Times New Roman"/>
          <w:i/>
        </w:rPr>
        <w:t>Enterococcus faecium</w:t>
      </w:r>
      <w:r w:rsidRPr="002C66A9">
        <w:rPr>
          <w:rFonts w:ascii="Times New Roman" w:hAnsi="Times New Roman" w:cs="Times New Roman"/>
        </w:rPr>
        <w:t xml:space="preserve">: understanding glycopeptide-antibiotic binding sites using mass spectrometry. </w:t>
      </w:r>
      <w:proofErr w:type="gramStart"/>
      <w:r w:rsidRPr="002C66A9">
        <w:rPr>
          <w:rFonts w:ascii="Times New Roman" w:hAnsi="Times New Roman" w:cs="Times New Roman"/>
          <w:i/>
        </w:rPr>
        <w:t>J. Am. Soc. Mass Spectrom</w:t>
      </w:r>
      <w:r w:rsidRPr="002C66A9">
        <w:rPr>
          <w:rFonts w:ascii="Times New Roman" w:hAnsi="Times New Roman" w:cs="Times New Roman"/>
        </w:rPr>
        <w:t>.</w:t>
      </w:r>
      <w:proofErr w:type="gramEnd"/>
      <w:r w:rsidRPr="002C66A9">
        <w:rPr>
          <w:rFonts w:ascii="Times New Roman" w:hAnsi="Times New Roman" w:cs="Times New Roman"/>
        </w:rPr>
        <w:t xml:space="preserve"> 19, 1467–1475.</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Payie, K.G., Strating, H., Clarke, A.J., 1996. </w:t>
      </w:r>
      <w:proofErr w:type="gramStart"/>
      <w:r w:rsidRPr="002C66A9">
        <w:rPr>
          <w:rFonts w:ascii="Times New Roman" w:hAnsi="Times New Roman" w:cs="Times New Roman"/>
        </w:rPr>
        <w:t xml:space="preserve">The role of O-acetylation in the metabolism of peptidoglycan in </w:t>
      </w:r>
      <w:r w:rsidRPr="002C66A9">
        <w:rPr>
          <w:rFonts w:ascii="Times New Roman" w:hAnsi="Times New Roman" w:cs="Times New Roman"/>
          <w:i/>
        </w:rPr>
        <w:t>Providencia stuartii</w:t>
      </w:r>
      <w:r w:rsidRPr="002C66A9">
        <w:rPr>
          <w:rFonts w:ascii="Times New Roman" w:hAnsi="Times New Roman" w:cs="Times New Roman"/>
        </w:rPr>
        <w:t>.</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Microb.</w:t>
      </w:r>
      <w:proofErr w:type="gramEnd"/>
      <w:r w:rsidRPr="002C66A9">
        <w:rPr>
          <w:rFonts w:ascii="Times New Roman" w:hAnsi="Times New Roman" w:cs="Times New Roman"/>
          <w:i/>
        </w:rPr>
        <w:t xml:space="preserve"> Drug Resist</w:t>
      </w:r>
      <w:r w:rsidRPr="002C66A9">
        <w:rPr>
          <w:rFonts w:ascii="Times New Roman" w:hAnsi="Times New Roman" w:cs="Times New Roman"/>
        </w:rPr>
        <w:t>. 2, 135–140.</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Pereira, S.F.F., Henriques, A.O., Pinho, M.G., de Lencastre, H., Tomasz, A., 2007.</w:t>
      </w:r>
      <w:r w:rsidRPr="002C66A9">
        <w:rPr>
          <w:rFonts w:ascii="Times New Roman" w:hAnsi="Times New Roman" w:cs="Times New Roman"/>
        </w:rPr>
        <w:t xml:space="preserve"> </w:t>
      </w:r>
      <w:proofErr w:type="gramStart"/>
      <w:r w:rsidRPr="002C66A9">
        <w:rPr>
          <w:rFonts w:ascii="Times New Roman" w:hAnsi="Times New Roman" w:cs="Times New Roman"/>
        </w:rPr>
        <w:t xml:space="preserve">Role of PBP1 in cell division of </w:t>
      </w:r>
      <w:r w:rsidRPr="002C66A9">
        <w:rPr>
          <w:rFonts w:ascii="Times New Roman" w:hAnsi="Times New Roman" w:cs="Times New Roman"/>
          <w:i/>
        </w:rPr>
        <w:t>Staphylococcus aureus</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189, 3525–3531.</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Pérez-Núñez, D., Briandet, R., David, B., Gautier, C., Renault, P., Hallet, B., Hols, P., Carballido-López, R., Guédon, E., 2011.</w:t>
      </w:r>
      <w:proofErr w:type="gramEnd"/>
      <w:r w:rsidRPr="002C66A9">
        <w:rPr>
          <w:rFonts w:ascii="Times New Roman" w:hAnsi="Times New Roman" w:cs="Times New Roman"/>
        </w:rPr>
        <w:t xml:space="preserve"> A new morphogenesis pathway in bacteria: unbalanced activity of cell wall synthesis machineries leads to coccus-to-rod transition and filamentation in ovococci. </w:t>
      </w:r>
      <w:r w:rsidRPr="002C66A9">
        <w:rPr>
          <w:rFonts w:ascii="Times New Roman" w:hAnsi="Times New Roman" w:cs="Times New Roman"/>
          <w:i/>
        </w:rPr>
        <w:t>Mol. Microbiol</w:t>
      </w:r>
      <w:r w:rsidRPr="002C66A9">
        <w:rPr>
          <w:rFonts w:ascii="Times New Roman" w:hAnsi="Times New Roman" w:cs="Times New Roman"/>
        </w:rPr>
        <w:t>. 79, 759–771.</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Piggot, P.J., Hilbert, D.W., 2004.</w:t>
      </w:r>
      <w:r w:rsidRPr="002C66A9">
        <w:rPr>
          <w:rFonts w:ascii="Times New Roman" w:hAnsi="Times New Roman" w:cs="Times New Roman"/>
        </w:rPr>
        <w:t xml:space="preserve"> </w:t>
      </w:r>
      <w:proofErr w:type="gramStart"/>
      <w:r w:rsidRPr="002C66A9">
        <w:rPr>
          <w:rFonts w:ascii="Times New Roman" w:hAnsi="Times New Roman" w:cs="Times New Roman"/>
        </w:rPr>
        <w:t xml:space="preserve">Sporulation of </w:t>
      </w:r>
      <w:r w:rsidRPr="002C66A9">
        <w:rPr>
          <w:rFonts w:ascii="Times New Roman" w:hAnsi="Times New Roman" w:cs="Times New Roman"/>
          <w:i/>
        </w:rPr>
        <w:t>Bacillus subtilis</w:t>
      </w:r>
      <w:r w:rsidRPr="002C66A9">
        <w:rPr>
          <w:rFonts w:ascii="Times New Roman" w:hAnsi="Times New Roman" w:cs="Times New Roman"/>
        </w:rPr>
        <w:t>.</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Curr.</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Opin.</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Microbiol</w:t>
      </w:r>
      <w:r w:rsidRPr="002C66A9">
        <w:rPr>
          <w:rFonts w:ascii="Times New Roman" w:hAnsi="Times New Roman" w:cs="Times New Roman"/>
        </w:rPr>
        <w:t>.</w:t>
      </w:r>
      <w:proofErr w:type="gramEnd"/>
      <w:r w:rsidRPr="002C66A9">
        <w:rPr>
          <w:rFonts w:ascii="Times New Roman" w:hAnsi="Times New Roman" w:cs="Times New Roman"/>
        </w:rPr>
        <w:t xml:space="preserve"> 7, 579–586.</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Pinho, M.G., Errington, J., 2003.</w:t>
      </w:r>
      <w:r w:rsidRPr="002C66A9">
        <w:rPr>
          <w:rFonts w:ascii="Times New Roman" w:hAnsi="Times New Roman" w:cs="Times New Roman"/>
        </w:rPr>
        <w:t xml:space="preserve"> </w:t>
      </w:r>
      <w:proofErr w:type="gramStart"/>
      <w:r w:rsidRPr="002C66A9">
        <w:rPr>
          <w:rFonts w:ascii="Times New Roman" w:hAnsi="Times New Roman" w:cs="Times New Roman"/>
        </w:rPr>
        <w:t xml:space="preserve">Dispersed mode of </w:t>
      </w:r>
      <w:r w:rsidRPr="002C66A9">
        <w:rPr>
          <w:rFonts w:ascii="Times New Roman" w:hAnsi="Times New Roman" w:cs="Times New Roman"/>
          <w:i/>
        </w:rPr>
        <w:t>Staphylococcus aureus</w:t>
      </w:r>
      <w:r w:rsidRPr="002C66A9">
        <w:rPr>
          <w:rFonts w:ascii="Times New Roman" w:hAnsi="Times New Roman" w:cs="Times New Roman"/>
        </w:rPr>
        <w:t xml:space="preserve"> cell wall synthesis in the absence of the division machinery.</w:t>
      </w:r>
      <w:proofErr w:type="gramEnd"/>
      <w:r w:rsidRPr="002C66A9">
        <w:rPr>
          <w:rFonts w:ascii="Times New Roman" w:hAnsi="Times New Roman" w:cs="Times New Roman"/>
        </w:rPr>
        <w:t xml:space="preserve"> </w:t>
      </w:r>
      <w:r w:rsidRPr="002C66A9">
        <w:rPr>
          <w:rFonts w:ascii="Times New Roman" w:hAnsi="Times New Roman" w:cs="Times New Roman"/>
          <w:i/>
        </w:rPr>
        <w:t>Mol. Microbiol</w:t>
      </w:r>
      <w:r w:rsidRPr="002C66A9">
        <w:rPr>
          <w:rFonts w:ascii="Times New Roman" w:hAnsi="Times New Roman" w:cs="Times New Roman"/>
        </w:rPr>
        <w:t>. 50, 871–881.</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Pinho, M.G., Errington, J., 2004. </w:t>
      </w:r>
      <w:r w:rsidRPr="002C66A9">
        <w:rPr>
          <w:rFonts w:ascii="Times New Roman" w:hAnsi="Times New Roman" w:cs="Times New Roman"/>
        </w:rPr>
        <w:t xml:space="preserve">A </w:t>
      </w:r>
      <w:r w:rsidRPr="002C66A9">
        <w:rPr>
          <w:rFonts w:ascii="Times New Roman" w:hAnsi="Times New Roman" w:cs="Times New Roman"/>
          <w:i/>
        </w:rPr>
        <w:t>divIVA</w:t>
      </w:r>
      <w:r w:rsidRPr="002C66A9">
        <w:rPr>
          <w:rFonts w:ascii="Times New Roman" w:hAnsi="Times New Roman" w:cs="Times New Roman"/>
        </w:rPr>
        <w:t xml:space="preserve"> null mutant of </w:t>
      </w:r>
      <w:r w:rsidRPr="002C66A9">
        <w:rPr>
          <w:rFonts w:ascii="Times New Roman" w:hAnsi="Times New Roman" w:cs="Times New Roman"/>
          <w:i/>
        </w:rPr>
        <w:t>Staphylococcus aureus</w:t>
      </w:r>
      <w:r w:rsidRPr="002C66A9">
        <w:rPr>
          <w:rFonts w:ascii="Times New Roman" w:hAnsi="Times New Roman" w:cs="Times New Roman"/>
        </w:rPr>
        <w:t xml:space="preserve"> undergoes normal cell division. </w:t>
      </w:r>
      <w:proofErr w:type="gramStart"/>
      <w:r w:rsidRPr="002C66A9">
        <w:rPr>
          <w:rFonts w:ascii="Times New Roman" w:hAnsi="Times New Roman" w:cs="Times New Roman"/>
          <w:i/>
        </w:rPr>
        <w:t>FEMS Microbiol.</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Lett</w:t>
      </w:r>
      <w:r w:rsidRPr="002C66A9">
        <w:rPr>
          <w:rFonts w:ascii="Times New Roman" w:hAnsi="Times New Roman" w:cs="Times New Roman"/>
        </w:rPr>
        <w:t>.</w:t>
      </w:r>
      <w:proofErr w:type="gramEnd"/>
      <w:r w:rsidRPr="002C66A9">
        <w:rPr>
          <w:rFonts w:ascii="Times New Roman" w:hAnsi="Times New Roman" w:cs="Times New Roman"/>
        </w:rPr>
        <w:t xml:space="preserve"> 240, 145–149.</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Pinho, M.G., Errington, J., 2005. </w:t>
      </w:r>
      <w:r w:rsidRPr="002C66A9">
        <w:rPr>
          <w:rFonts w:ascii="Times New Roman" w:hAnsi="Times New Roman" w:cs="Times New Roman"/>
        </w:rPr>
        <w:t xml:space="preserve">Recruitment of penicillin-binding protein PBP2 to the division site of </w:t>
      </w:r>
      <w:r w:rsidRPr="002C66A9">
        <w:rPr>
          <w:rFonts w:ascii="Times New Roman" w:hAnsi="Times New Roman" w:cs="Times New Roman"/>
          <w:i/>
        </w:rPr>
        <w:t>Staphylococcus aureus</w:t>
      </w:r>
      <w:r w:rsidRPr="002C66A9">
        <w:rPr>
          <w:rFonts w:ascii="Times New Roman" w:hAnsi="Times New Roman" w:cs="Times New Roman"/>
        </w:rPr>
        <w:t xml:space="preserve"> is dependent on its transpeptidation substrates. </w:t>
      </w:r>
      <w:r w:rsidRPr="002C66A9">
        <w:rPr>
          <w:rFonts w:ascii="Times New Roman" w:hAnsi="Times New Roman" w:cs="Times New Roman"/>
          <w:i/>
        </w:rPr>
        <w:t>Mol. Microbiol</w:t>
      </w:r>
      <w:r w:rsidRPr="002C66A9">
        <w:rPr>
          <w:rFonts w:ascii="Times New Roman" w:hAnsi="Times New Roman" w:cs="Times New Roman"/>
        </w:rPr>
        <w:t>. 55, 799–807.</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Popham, D.L., Helin, J., Costello, C.E., Setlow, P., 1996.</w:t>
      </w:r>
      <w:r w:rsidRPr="002C66A9">
        <w:rPr>
          <w:rFonts w:ascii="Times New Roman" w:hAnsi="Times New Roman" w:cs="Times New Roman"/>
        </w:rPr>
        <w:t xml:space="preserve"> Muramic lactam in peptidoglycan of </w:t>
      </w:r>
      <w:r w:rsidRPr="002C66A9">
        <w:rPr>
          <w:rFonts w:ascii="Times New Roman" w:hAnsi="Times New Roman" w:cs="Times New Roman"/>
          <w:i/>
        </w:rPr>
        <w:t>Bacillus subtilis</w:t>
      </w:r>
      <w:r w:rsidRPr="002C66A9">
        <w:rPr>
          <w:rFonts w:ascii="Times New Roman" w:hAnsi="Times New Roman" w:cs="Times New Roman"/>
        </w:rPr>
        <w:t xml:space="preserve"> spores is required for spore outgrowth but not for spore dehydration or heat resistance. </w:t>
      </w:r>
      <w:r w:rsidRPr="002C66A9">
        <w:rPr>
          <w:rFonts w:ascii="Times New Roman" w:hAnsi="Times New Roman" w:cs="Times New Roman"/>
          <w:i/>
        </w:rPr>
        <w:t>Proc. Natl. Acad. Sci. U.S.A</w:t>
      </w:r>
      <w:r w:rsidRPr="002C66A9">
        <w:rPr>
          <w:rFonts w:ascii="Times New Roman" w:hAnsi="Times New Roman" w:cs="Times New Roman"/>
        </w:rPr>
        <w:t>. 93, 15405–15410.</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Posch, M., Khoudoli, G.A., Swift, S., King, E.M., Deluca, J.G., Swedlow, J.R., 2010.</w:t>
      </w:r>
      <w:proofErr w:type="gramEnd"/>
      <w:r w:rsidRPr="002C66A9">
        <w:rPr>
          <w:rFonts w:ascii="Times New Roman" w:hAnsi="Times New Roman" w:cs="Times New Roman"/>
        </w:rPr>
        <w:t xml:space="preserve"> Sds22 regulates aurora B activity and microtubule-kinetochore interactions at mitosis. </w:t>
      </w:r>
      <w:r w:rsidRPr="002C66A9">
        <w:rPr>
          <w:rFonts w:ascii="Times New Roman" w:hAnsi="Times New Roman" w:cs="Times New Roman"/>
          <w:i/>
        </w:rPr>
        <w:t>J. Cell Biol</w:t>
      </w:r>
      <w:r w:rsidRPr="002C66A9">
        <w:rPr>
          <w:rFonts w:ascii="Times New Roman" w:hAnsi="Times New Roman" w:cs="Times New Roman"/>
        </w:rPr>
        <w:t>. 191, 61–74.</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lastRenderedPageBreak/>
        <w:t xml:space="preserve">Potluri, L.-P., de Pedro, M.A., Young, K.D., 2012. </w:t>
      </w:r>
      <w:r w:rsidRPr="002C66A9">
        <w:rPr>
          <w:rFonts w:ascii="Times New Roman" w:hAnsi="Times New Roman" w:cs="Times New Roman"/>
          <w:i/>
        </w:rPr>
        <w:t>Escherichia coli</w:t>
      </w:r>
      <w:r w:rsidRPr="002C66A9">
        <w:rPr>
          <w:rFonts w:ascii="Times New Roman" w:hAnsi="Times New Roman" w:cs="Times New Roman"/>
        </w:rPr>
        <w:t xml:space="preserve"> low-molecular-weight penicillin-binding proteins help orient septal FtsZ, and their absence leads to asymmetric cell division and branching. </w:t>
      </w:r>
      <w:r w:rsidRPr="002C66A9">
        <w:rPr>
          <w:rFonts w:ascii="Times New Roman" w:hAnsi="Times New Roman" w:cs="Times New Roman"/>
          <w:i/>
        </w:rPr>
        <w:t>Mol. Microbiol</w:t>
      </w:r>
      <w:r w:rsidRPr="002C66A9">
        <w:rPr>
          <w:rFonts w:ascii="Times New Roman" w:hAnsi="Times New Roman" w:cs="Times New Roman"/>
        </w:rPr>
        <w:t>. 84, 203-224.</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Pourmand, M.R., Clarke, S.R., Schuman, R.F., Mond, J.J., Foster, S.J., 2006.</w:t>
      </w:r>
      <w:r w:rsidRPr="002C66A9">
        <w:rPr>
          <w:rFonts w:ascii="Times New Roman" w:hAnsi="Times New Roman" w:cs="Times New Roman"/>
        </w:rPr>
        <w:t xml:space="preserve"> Identification of antigenic components of </w:t>
      </w:r>
      <w:r w:rsidRPr="002C66A9">
        <w:rPr>
          <w:rFonts w:ascii="Times New Roman" w:hAnsi="Times New Roman" w:cs="Times New Roman"/>
          <w:i/>
        </w:rPr>
        <w:t>Staphylococcus epidermidis</w:t>
      </w:r>
      <w:r w:rsidRPr="002C66A9">
        <w:rPr>
          <w:rFonts w:ascii="Times New Roman" w:hAnsi="Times New Roman" w:cs="Times New Roman"/>
        </w:rPr>
        <w:t xml:space="preserve"> expressed during human infection. </w:t>
      </w:r>
      <w:r w:rsidRPr="002C66A9">
        <w:rPr>
          <w:rFonts w:ascii="Times New Roman" w:hAnsi="Times New Roman" w:cs="Times New Roman"/>
          <w:i/>
        </w:rPr>
        <w:t xml:space="preserve">Infect. </w:t>
      </w:r>
      <w:proofErr w:type="gramStart"/>
      <w:r w:rsidRPr="002C66A9">
        <w:rPr>
          <w:rFonts w:ascii="Times New Roman" w:hAnsi="Times New Roman" w:cs="Times New Roman"/>
          <w:i/>
        </w:rPr>
        <w:t>Immun</w:t>
      </w:r>
      <w:r w:rsidRPr="002C66A9">
        <w:rPr>
          <w:rFonts w:ascii="Times New Roman" w:hAnsi="Times New Roman" w:cs="Times New Roman"/>
        </w:rPr>
        <w:t>. 74, 4644–4654.</w:t>
      </w:r>
      <w:proofErr w:type="gramEnd"/>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Pratt, R.F., 2008.</w:t>
      </w:r>
      <w:r w:rsidRPr="002C66A9">
        <w:rPr>
          <w:rFonts w:ascii="Times New Roman" w:hAnsi="Times New Roman" w:cs="Times New Roman"/>
        </w:rPr>
        <w:t xml:space="preserve"> </w:t>
      </w:r>
      <w:proofErr w:type="gramStart"/>
      <w:r w:rsidRPr="002C66A9">
        <w:rPr>
          <w:rFonts w:ascii="Times New Roman" w:hAnsi="Times New Roman" w:cs="Times New Roman"/>
        </w:rPr>
        <w:t xml:space="preserve">Substrate specificity of bacterial </w:t>
      </w:r>
      <w:r w:rsidRPr="002C66A9">
        <w:rPr>
          <w:rFonts w:ascii="Times New Roman" w:hAnsi="Times New Roman" w:cs="Times New Roman"/>
          <w:sz w:val="16"/>
          <w:szCs w:val="16"/>
        </w:rPr>
        <w:t>DD</w:t>
      </w:r>
      <w:r w:rsidRPr="002C66A9">
        <w:rPr>
          <w:rFonts w:ascii="Times New Roman" w:hAnsi="Times New Roman" w:cs="Times New Roman"/>
        </w:rPr>
        <w:t>-peptidases (penicillin-binding proteins).</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Cell.</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Mol. Life Sci</w:t>
      </w:r>
      <w:r w:rsidRPr="002C66A9">
        <w:rPr>
          <w:rFonts w:ascii="Times New Roman" w:hAnsi="Times New Roman" w:cs="Times New Roman"/>
        </w:rPr>
        <w:t>. 65, 2138–2155.</w:t>
      </w:r>
      <w:proofErr w:type="gramEnd"/>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Qian, Z., Yin, Y., Zhang, Y., Lu, L., Li, Y., Jiang, Y., 2006.</w:t>
      </w:r>
      <w:r w:rsidRPr="002C66A9">
        <w:rPr>
          <w:rFonts w:ascii="Times New Roman" w:hAnsi="Times New Roman" w:cs="Times New Roman"/>
        </w:rPr>
        <w:t xml:space="preserve"> Genomic characterization of ribitol teichoic acid synthesis in </w:t>
      </w:r>
      <w:r w:rsidRPr="002C66A9">
        <w:rPr>
          <w:rFonts w:ascii="Times New Roman" w:hAnsi="Times New Roman" w:cs="Times New Roman"/>
          <w:i/>
        </w:rPr>
        <w:t>Staphylococcus aureus</w:t>
      </w:r>
      <w:r w:rsidRPr="002C66A9">
        <w:rPr>
          <w:rFonts w:ascii="Times New Roman" w:hAnsi="Times New Roman" w:cs="Times New Roman"/>
        </w:rPr>
        <w:t xml:space="preserve">: genes, genomic organization and gene duplication. </w:t>
      </w:r>
      <w:proofErr w:type="gramStart"/>
      <w:r w:rsidRPr="002C66A9">
        <w:rPr>
          <w:rFonts w:ascii="Times New Roman" w:hAnsi="Times New Roman" w:cs="Times New Roman"/>
          <w:i/>
        </w:rPr>
        <w:t>BMC Genomics</w:t>
      </w:r>
      <w:r w:rsidRPr="002C66A9">
        <w:rPr>
          <w:rFonts w:ascii="Times New Roman" w:hAnsi="Times New Roman" w:cs="Times New Roman"/>
        </w:rPr>
        <w:t xml:space="preserve"> 7, 74.</w:t>
      </w:r>
      <w:proofErr w:type="gramEnd"/>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Quintela, J.C., Caparrós, M., de Pedro, M.A., 1995.</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Variability of peptidoglycan structural parameters in Gram-negative bacteria.</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FEMS Microbiol.</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Lett</w:t>
      </w:r>
      <w:r w:rsidRPr="002C66A9">
        <w:rPr>
          <w:rFonts w:ascii="Times New Roman" w:hAnsi="Times New Roman" w:cs="Times New Roman"/>
        </w:rPr>
        <w:t>.</w:t>
      </w:r>
      <w:proofErr w:type="gramEnd"/>
      <w:r w:rsidRPr="002C66A9">
        <w:rPr>
          <w:rFonts w:ascii="Times New Roman" w:hAnsi="Times New Roman" w:cs="Times New Roman"/>
        </w:rPr>
        <w:t xml:space="preserve"> 125, 95–100.</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Radhakrishnan, S.K., Thanbichler, M., Viollier, P.H., 2008.</w:t>
      </w:r>
      <w:proofErr w:type="gramEnd"/>
      <w:r w:rsidRPr="002C66A9">
        <w:rPr>
          <w:rFonts w:ascii="Times New Roman" w:hAnsi="Times New Roman" w:cs="Times New Roman"/>
          <w:b/>
        </w:rPr>
        <w:t xml:space="preserve"> </w:t>
      </w:r>
      <w:r w:rsidRPr="002C66A9">
        <w:rPr>
          <w:rFonts w:ascii="Times New Roman" w:hAnsi="Times New Roman" w:cs="Times New Roman"/>
        </w:rPr>
        <w:t xml:space="preserve">The dynamic interplay between a cell fate determinant and a lysozyme homolog drives the asymmetric division cycle of </w:t>
      </w:r>
      <w:r w:rsidRPr="002C66A9">
        <w:rPr>
          <w:rFonts w:ascii="Times New Roman" w:hAnsi="Times New Roman" w:cs="Times New Roman"/>
          <w:i/>
        </w:rPr>
        <w:t>Caulobacter crescentus</w:t>
      </w:r>
      <w:r w:rsidRPr="002C66A9">
        <w:rPr>
          <w:rFonts w:ascii="Times New Roman" w:hAnsi="Times New Roman" w:cs="Times New Roman"/>
        </w:rPr>
        <w:t xml:space="preserve">. </w:t>
      </w:r>
      <w:r w:rsidRPr="002C66A9">
        <w:rPr>
          <w:rFonts w:ascii="Times New Roman" w:hAnsi="Times New Roman" w:cs="Times New Roman"/>
          <w:i/>
        </w:rPr>
        <w:t>Genes Dev</w:t>
      </w:r>
      <w:r w:rsidRPr="002C66A9">
        <w:rPr>
          <w:rFonts w:ascii="Times New Roman" w:hAnsi="Times New Roman" w:cs="Times New Roman"/>
        </w:rPr>
        <w:t>. 22, 212–225.</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Ramadurai, L., Jayaswal, R.K., 1997.</w:t>
      </w:r>
      <w:r w:rsidRPr="002C66A9">
        <w:rPr>
          <w:rFonts w:ascii="Times New Roman" w:hAnsi="Times New Roman" w:cs="Times New Roman"/>
        </w:rPr>
        <w:t xml:space="preserve"> </w:t>
      </w:r>
      <w:proofErr w:type="gramStart"/>
      <w:r w:rsidRPr="002C66A9">
        <w:rPr>
          <w:rFonts w:ascii="Times New Roman" w:hAnsi="Times New Roman" w:cs="Times New Roman"/>
        </w:rPr>
        <w:t xml:space="preserve">Molecular cloning, sequencing, and expression of </w:t>
      </w:r>
      <w:r w:rsidRPr="002C66A9">
        <w:rPr>
          <w:rFonts w:ascii="Times New Roman" w:hAnsi="Times New Roman" w:cs="Times New Roman"/>
          <w:i/>
        </w:rPr>
        <w:t>lytM</w:t>
      </w:r>
      <w:r w:rsidRPr="002C66A9">
        <w:rPr>
          <w:rFonts w:ascii="Times New Roman" w:hAnsi="Times New Roman" w:cs="Times New Roman"/>
        </w:rPr>
        <w:t xml:space="preserve">, a unique autolytic gene of </w:t>
      </w:r>
      <w:r w:rsidRPr="002C66A9">
        <w:rPr>
          <w:rFonts w:ascii="Times New Roman" w:hAnsi="Times New Roman" w:cs="Times New Roman"/>
          <w:i/>
        </w:rPr>
        <w:t>Staphylococcus aureus</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179, 3625–3631.</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Ramadurai, L., Lockwood, K.J., Nadakavukaren, M.J., Jayaswal, R.K., 1999. </w:t>
      </w:r>
      <w:proofErr w:type="gramStart"/>
      <w:r w:rsidRPr="002C66A9">
        <w:rPr>
          <w:rFonts w:ascii="Times New Roman" w:hAnsi="Times New Roman" w:cs="Times New Roman"/>
        </w:rPr>
        <w:t xml:space="preserve">Characterization of a chromosomally encoded glycylglycine endopeptidase of </w:t>
      </w:r>
      <w:r w:rsidRPr="002C66A9">
        <w:rPr>
          <w:rFonts w:ascii="Times New Roman" w:hAnsi="Times New Roman" w:cs="Times New Roman"/>
          <w:i/>
        </w:rPr>
        <w:t>Staphylococcus aureus</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Microbiology</w:t>
      </w:r>
      <w:r w:rsidRPr="002C66A9">
        <w:rPr>
          <w:rFonts w:ascii="Times New Roman" w:hAnsi="Times New Roman" w:cs="Times New Roman"/>
        </w:rPr>
        <w:t xml:space="preserve"> 145, 801–808.</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Ramirez-Arcos, S., Szeto, J., Dillon, J.-A.R., Margolin, W., 2002.</w:t>
      </w:r>
      <w:proofErr w:type="gramEnd"/>
      <w:r w:rsidRPr="002C66A9">
        <w:rPr>
          <w:rFonts w:ascii="Times New Roman" w:hAnsi="Times New Roman" w:cs="Times New Roman"/>
        </w:rPr>
        <w:t xml:space="preserve"> Conservation of dynamic localization among MinD and MinE orthologues: oscillation of </w:t>
      </w:r>
      <w:r w:rsidRPr="002C66A9">
        <w:rPr>
          <w:rFonts w:ascii="Times New Roman" w:hAnsi="Times New Roman" w:cs="Times New Roman"/>
          <w:i/>
        </w:rPr>
        <w:t>Neisseria gonorrhoeae</w:t>
      </w:r>
      <w:r w:rsidRPr="002C66A9">
        <w:rPr>
          <w:rFonts w:ascii="Times New Roman" w:hAnsi="Times New Roman" w:cs="Times New Roman"/>
        </w:rPr>
        <w:t xml:space="preserve"> proteins in </w:t>
      </w:r>
      <w:r w:rsidRPr="002C66A9">
        <w:rPr>
          <w:rFonts w:ascii="Times New Roman" w:hAnsi="Times New Roman" w:cs="Times New Roman"/>
          <w:i/>
        </w:rPr>
        <w:t>Escherichia coli</w:t>
      </w:r>
      <w:r w:rsidRPr="002C66A9">
        <w:rPr>
          <w:rFonts w:ascii="Times New Roman" w:hAnsi="Times New Roman" w:cs="Times New Roman"/>
        </w:rPr>
        <w:t xml:space="preserve">. </w:t>
      </w:r>
      <w:r w:rsidRPr="002C66A9">
        <w:rPr>
          <w:rFonts w:ascii="Times New Roman" w:hAnsi="Times New Roman" w:cs="Times New Roman"/>
          <w:i/>
        </w:rPr>
        <w:t>Mol. Microbiol</w:t>
      </w:r>
      <w:r w:rsidRPr="002C66A9">
        <w:rPr>
          <w:rFonts w:ascii="Times New Roman" w:hAnsi="Times New Roman" w:cs="Times New Roman"/>
        </w:rPr>
        <w:t>. 46, 493–504.</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Rang, C.U., Peng, A.Y., Chao, L., 2011.</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Temporal dynamics of bacterial aging and rejuvenation.</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Curr.</w:t>
      </w:r>
      <w:proofErr w:type="gramEnd"/>
      <w:r w:rsidRPr="002C66A9">
        <w:rPr>
          <w:rFonts w:ascii="Times New Roman" w:hAnsi="Times New Roman" w:cs="Times New Roman"/>
          <w:i/>
        </w:rPr>
        <w:t xml:space="preserve"> Biol</w:t>
      </w:r>
      <w:r w:rsidRPr="002C66A9">
        <w:rPr>
          <w:rFonts w:ascii="Times New Roman" w:hAnsi="Times New Roman" w:cs="Times New Roman"/>
        </w:rPr>
        <w:t>. 21, 1813–1816.</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Raskin, D.M., de Boer, P.A., 1999.</w:t>
      </w:r>
      <w:r w:rsidRPr="002C66A9">
        <w:rPr>
          <w:rFonts w:ascii="Times New Roman" w:hAnsi="Times New Roman" w:cs="Times New Roman"/>
        </w:rPr>
        <w:t xml:space="preserve"> Rapid pole-to-pole oscillation of a protein required for directing division to the middle of </w:t>
      </w:r>
      <w:r w:rsidRPr="002C66A9">
        <w:rPr>
          <w:rFonts w:ascii="Times New Roman" w:hAnsi="Times New Roman" w:cs="Times New Roman"/>
          <w:i/>
        </w:rPr>
        <w:t>Escherichia coli</w:t>
      </w:r>
      <w:r w:rsidRPr="002C66A9">
        <w:rPr>
          <w:rFonts w:ascii="Times New Roman" w:hAnsi="Times New Roman" w:cs="Times New Roman"/>
        </w:rPr>
        <w:t xml:space="preserve">. </w:t>
      </w:r>
      <w:proofErr w:type="gramStart"/>
      <w:r w:rsidRPr="002C66A9">
        <w:rPr>
          <w:rFonts w:ascii="Times New Roman" w:hAnsi="Times New Roman" w:cs="Times New Roman"/>
          <w:i/>
        </w:rPr>
        <w:t>Proc. Natl. Acad. Sci. U.S.A</w:t>
      </w:r>
      <w:r w:rsidRPr="002C66A9">
        <w:rPr>
          <w:rFonts w:ascii="Times New Roman" w:hAnsi="Times New Roman" w:cs="Times New Roman"/>
        </w:rPr>
        <w:t>. 96, 4971–4976.</w:t>
      </w:r>
      <w:proofErr w:type="gramEnd"/>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Raymond, J.B., Mahapatra, S., Crick, D.C., Pavelka, M.S., Jr, 2005.</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 xml:space="preserve">Identification of the </w:t>
      </w:r>
      <w:r w:rsidRPr="002C66A9">
        <w:rPr>
          <w:rFonts w:ascii="Times New Roman" w:hAnsi="Times New Roman" w:cs="Times New Roman"/>
          <w:i/>
        </w:rPr>
        <w:t>namH</w:t>
      </w:r>
      <w:r w:rsidRPr="002C66A9">
        <w:rPr>
          <w:rFonts w:ascii="Times New Roman" w:hAnsi="Times New Roman" w:cs="Times New Roman"/>
        </w:rPr>
        <w:t xml:space="preserve"> gene, encoding the hydroxylase responsible for the </w:t>
      </w:r>
      <w:r w:rsidRPr="002C66A9">
        <w:rPr>
          <w:rFonts w:ascii="Times New Roman" w:hAnsi="Times New Roman" w:cs="Times New Roman"/>
          <w:i/>
        </w:rPr>
        <w:t>N</w:t>
      </w:r>
      <w:r w:rsidRPr="002C66A9">
        <w:rPr>
          <w:rFonts w:ascii="Times New Roman" w:hAnsi="Times New Roman" w:cs="Times New Roman"/>
        </w:rPr>
        <w:t>-glycolylation of the mycobacterial peptidoglycan.</w:t>
      </w:r>
      <w:proofErr w:type="gramEnd"/>
      <w:r w:rsidRPr="002C66A9">
        <w:rPr>
          <w:rFonts w:ascii="Times New Roman" w:hAnsi="Times New Roman" w:cs="Times New Roman"/>
        </w:rPr>
        <w:t xml:space="preserve"> </w:t>
      </w:r>
      <w:r w:rsidRPr="002C66A9">
        <w:rPr>
          <w:rFonts w:ascii="Times New Roman" w:hAnsi="Times New Roman" w:cs="Times New Roman"/>
          <w:i/>
        </w:rPr>
        <w:t>J. Biol. Chem</w:t>
      </w:r>
      <w:r w:rsidRPr="002C66A9">
        <w:rPr>
          <w:rFonts w:ascii="Times New Roman" w:hAnsi="Times New Roman" w:cs="Times New Roman"/>
        </w:rPr>
        <w:t>. 280, 326–333.</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Reichmann, N.T., Gründling, A., 2011. </w:t>
      </w:r>
      <w:proofErr w:type="gramStart"/>
      <w:r w:rsidRPr="002C66A9">
        <w:rPr>
          <w:rFonts w:ascii="Times New Roman" w:hAnsi="Times New Roman" w:cs="Times New Roman"/>
        </w:rPr>
        <w:t xml:space="preserve">Location, synthesis and function of glycolipids and polyglycerolphosphate lipoteichoic acid in Gram-positive bacteria of the phylum </w:t>
      </w:r>
      <w:r w:rsidRPr="002C66A9">
        <w:rPr>
          <w:rFonts w:ascii="Times New Roman" w:hAnsi="Times New Roman" w:cs="Times New Roman"/>
          <w:i/>
        </w:rPr>
        <w:t>Firmicutes</w:t>
      </w:r>
      <w:r w:rsidRPr="002C66A9">
        <w:rPr>
          <w:rFonts w:ascii="Times New Roman" w:hAnsi="Times New Roman" w:cs="Times New Roman"/>
        </w:rPr>
        <w:t>.</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FEMS Microbiol.</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Lett</w:t>
      </w:r>
      <w:r w:rsidRPr="002C66A9">
        <w:rPr>
          <w:rFonts w:ascii="Times New Roman" w:hAnsi="Times New Roman" w:cs="Times New Roman"/>
        </w:rPr>
        <w:t>.</w:t>
      </w:r>
      <w:proofErr w:type="gramEnd"/>
      <w:r w:rsidRPr="002C66A9">
        <w:rPr>
          <w:rFonts w:ascii="Times New Roman" w:hAnsi="Times New Roman" w:cs="Times New Roman"/>
        </w:rPr>
        <w:t xml:space="preserve"> 319, 97–105.</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Reith, J., Mayer, C., 2011.</w:t>
      </w:r>
      <w:r w:rsidRPr="002C66A9">
        <w:rPr>
          <w:rFonts w:ascii="Times New Roman" w:hAnsi="Times New Roman" w:cs="Times New Roman"/>
        </w:rPr>
        <w:t xml:space="preserve"> </w:t>
      </w:r>
      <w:proofErr w:type="gramStart"/>
      <w:r w:rsidRPr="002C66A9">
        <w:rPr>
          <w:rFonts w:ascii="Times New Roman" w:hAnsi="Times New Roman" w:cs="Times New Roman"/>
        </w:rPr>
        <w:t>Peptidoglycan turnover and recycling in Gram-positive bacteria.</w:t>
      </w:r>
      <w:proofErr w:type="gramEnd"/>
      <w:r w:rsidRPr="002C66A9">
        <w:rPr>
          <w:rFonts w:ascii="Times New Roman" w:hAnsi="Times New Roman" w:cs="Times New Roman"/>
        </w:rPr>
        <w:t xml:space="preserve"> </w:t>
      </w:r>
      <w:r w:rsidRPr="002C66A9">
        <w:rPr>
          <w:rFonts w:ascii="Times New Roman" w:hAnsi="Times New Roman" w:cs="Times New Roman"/>
          <w:i/>
        </w:rPr>
        <w:t xml:space="preserve">Appl. Microbiol. </w:t>
      </w:r>
      <w:proofErr w:type="gramStart"/>
      <w:r w:rsidRPr="002C66A9">
        <w:rPr>
          <w:rFonts w:ascii="Times New Roman" w:hAnsi="Times New Roman" w:cs="Times New Roman"/>
          <w:i/>
        </w:rPr>
        <w:t>Biotechnol</w:t>
      </w:r>
      <w:r w:rsidRPr="002C66A9">
        <w:rPr>
          <w:rFonts w:ascii="Times New Roman" w:hAnsi="Times New Roman" w:cs="Times New Roman"/>
        </w:rPr>
        <w:t>.</w:t>
      </w:r>
      <w:proofErr w:type="gramEnd"/>
      <w:r w:rsidRPr="002C66A9">
        <w:rPr>
          <w:rFonts w:ascii="Times New Roman" w:hAnsi="Times New Roman" w:cs="Times New Roman"/>
        </w:rPr>
        <w:t xml:space="preserve"> 92, 1–11.</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Reynolds, E.S., 1963.</w:t>
      </w:r>
      <w:r w:rsidRPr="002C66A9">
        <w:rPr>
          <w:rFonts w:ascii="Times New Roman" w:hAnsi="Times New Roman" w:cs="Times New Roman"/>
        </w:rPr>
        <w:t xml:space="preserve"> </w:t>
      </w:r>
      <w:proofErr w:type="gramStart"/>
      <w:r w:rsidRPr="002C66A9">
        <w:rPr>
          <w:rFonts w:ascii="Times New Roman" w:hAnsi="Times New Roman" w:cs="Times New Roman"/>
        </w:rPr>
        <w:t>The use of lead citrate at high pH as an electron-opaque stain in electron microscopy.</w:t>
      </w:r>
      <w:proofErr w:type="gramEnd"/>
      <w:r w:rsidRPr="002C66A9">
        <w:rPr>
          <w:rFonts w:ascii="Times New Roman" w:hAnsi="Times New Roman" w:cs="Times New Roman"/>
        </w:rPr>
        <w:t xml:space="preserve"> </w:t>
      </w:r>
      <w:r w:rsidRPr="002C66A9">
        <w:rPr>
          <w:rFonts w:ascii="Times New Roman" w:hAnsi="Times New Roman" w:cs="Times New Roman"/>
          <w:i/>
        </w:rPr>
        <w:t>J. Cell Biol</w:t>
      </w:r>
      <w:r w:rsidRPr="002C66A9">
        <w:rPr>
          <w:rFonts w:ascii="Times New Roman" w:hAnsi="Times New Roman" w:cs="Times New Roman"/>
        </w:rPr>
        <w:t>. 17, 208–212.</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Reynolds, P.E., 1989.</w:t>
      </w:r>
      <w:r w:rsidRPr="002C66A9">
        <w:rPr>
          <w:rFonts w:ascii="Times New Roman" w:hAnsi="Times New Roman" w:cs="Times New Roman"/>
        </w:rPr>
        <w:t xml:space="preserve"> </w:t>
      </w:r>
      <w:proofErr w:type="gramStart"/>
      <w:r w:rsidRPr="002C66A9">
        <w:rPr>
          <w:rFonts w:ascii="Times New Roman" w:hAnsi="Times New Roman" w:cs="Times New Roman"/>
        </w:rPr>
        <w:t>Structure, biochemistry and mechanism of action of glycopeptide antibiotics.</w:t>
      </w:r>
      <w:proofErr w:type="gramEnd"/>
      <w:r w:rsidRPr="002C66A9">
        <w:rPr>
          <w:rFonts w:ascii="Times New Roman" w:hAnsi="Times New Roman" w:cs="Times New Roman"/>
        </w:rPr>
        <w:t xml:space="preserve"> </w:t>
      </w:r>
      <w:r w:rsidRPr="002C66A9">
        <w:rPr>
          <w:rFonts w:ascii="Times New Roman" w:hAnsi="Times New Roman" w:cs="Times New Roman"/>
          <w:i/>
        </w:rPr>
        <w:t xml:space="preserve">Eur. J. Clin. </w:t>
      </w:r>
      <w:proofErr w:type="gramStart"/>
      <w:r w:rsidRPr="002C66A9">
        <w:rPr>
          <w:rFonts w:ascii="Times New Roman" w:hAnsi="Times New Roman" w:cs="Times New Roman"/>
          <w:i/>
        </w:rPr>
        <w:t>Microbiol.</w:t>
      </w:r>
      <w:proofErr w:type="gramEnd"/>
      <w:r w:rsidRPr="002C66A9">
        <w:rPr>
          <w:rFonts w:ascii="Times New Roman" w:hAnsi="Times New Roman" w:cs="Times New Roman"/>
          <w:i/>
        </w:rPr>
        <w:t xml:space="preserve"> Infect. Dis</w:t>
      </w:r>
      <w:r w:rsidRPr="002C66A9">
        <w:rPr>
          <w:rFonts w:ascii="Times New Roman" w:hAnsi="Times New Roman" w:cs="Times New Roman"/>
        </w:rPr>
        <w:t>. 8, 943–950.</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Ries, W., Hotzy, C., Schocher, I., Sleytr, U.B., Sára, M., 1997.</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 xml:space="preserve">Evidence that the N-terminal part of the S-layer protein from </w:t>
      </w:r>
      <w:r w:rsidRPr="002C66A9">
        <w:rPr>
          <w:rFonts w:ascii="Times New Roman" w:hAnsi="Times New Roman" w:cs="Times New Roman"/>
          <w:i/>
        </w:rPr>
        <w:t>Bacillus stearothermophilus</w:t>
      </w:r>
      <w:r w:rsidRPr="002C66A9">
        <w:rPr>
          <w:rFonts w:ascii="Times New Roman" w:hAnsi="Times New Roman" w:cs="Times New Roman"/>
        </w:rPr>
        <w:t xml:space="preserve"> PV72/p2 recognizes a secondary cell wall polymer.</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179, 3892–3898.</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Rigden, D.J., Jedrzejas, M.J., Galperin, M.Y., 2003.</w:t>
      </w:r>
      <w:r w:rsidRPr="002C66A9">
        <w:rPr>
          <w:rFonts w:ascii="Times New Roman" w:hAnsi="Times New Roman" w:cs="Times New Roman"/>
        </w:rPr>
        <w:t xml:space="preserve"> Amidase domains from bacterial and phage autolysins define a family of gamma-</w:t>
      </w:r>
      <w:r w:rsidRPr="002C66A9">
        <w:rPr>
          <w:rFonts w:ascii="Times New Roman" w:hAnsi="Times New Roman" w:cs="Times New Roman"/>
          <w:sz w:val="16"/>
          <w:szCs w:val="16"/>
        </w:rPr>
        <w:t>D</w:t>
      </w:r>
      <w:proofErr w:type="gramStart"/>
      <w:r w:rsidRPr="002C66A9">
        <w:rPr>
          <w:rFonts w:ascii="Times New Roman" w:hAnsi="Times New Roman" w:cs="Times New Roman"/>
        </w:rPr>
        <w:t>,</w:t>
      </w:r>
      <w:r w:rsidRPr="002C66A9">
        <w:rPr>
          <w:rFonts w:ascii="Times New Roman" w:hAnsi="Times New Roman" w:cs="Times New Roman"/>
          <w:sz w:val="16"/>
          <w:szCs w:val="16"/>
        </w:rPr>
        <w:t>L</w:t>
      </w:r>
      <w:proofErr w:type="gramEnd"/>
      <w:r w:rsidRPr="002C66A9">
        <w:rPr>
          <w:rFonts w:ascii="Times New Roman" w:hAnsi="Times New Roman" w:cs="Times New Roman"/>
        </w:rPr>
        <w:t xml:space="preserve">-glutamate-specific amidohydrolases. </w:t>
      </w:r>
      <w:proofErr w:type="gramStart"/>
      <w:r w:rsidRPr="002C66A9">
        <w:rPr>
          <w:rFonts w:ascii="Times New Roman" w:hAnsi="Times New Roman" w:cs="Times New Roman"/>
          <w:i/>
        </w:rPr>
        <w:t>Trends Biochem</w:t>
      </w:r>
      <w:r w:rsidRPr="002C66A9">
        <w:rPr>
          <w:rFonts w:ascii="Times New Roman" w:hAnsi="Times New Roman" w:cs="Times New Roman"/>
        </w:rPr>
        <w:t>.</w:t>
      </w:r>
      <w:proofErr w:type="gramEnd"/>
      <w:r w:rsidRPr="002C66A9">
        <w:rPr>
          <w:rFonts w:ascii="Times New Roman" w:hAnsi="Times New Roman" w:cs="Times New Roman"/>
        </w:rPr>
        <w:t xml:space="preserve"> Sci. 28, 230–234.</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lastRenderedPageBreak/>
        <w:t>Roche, F.M., Massey, R., Peacock, S.J., Day, N.P.J., Visai, L., Speziale, P., Lam, A., Pallen, M., Foster, T.J., 2003.</w:t>
      </w:r>
      <w:proofErr w:type="gramEnd"/>
      <w:r w:rsidRPr="002C66A9">
        <w:rPr>
          <w:rFonts w:ascii="Times New Roman" w:hAnsi="Times New Roman" w:cs="Times New Roman"/>
        </w:rPr>
        <w:t xml:space="preserve"> Characterization of novel LPXTG-containing proteins of </w:t>
      </w:r>
      <w:r w:rsidRPr="002C66A9">
        <w:rPr>
          <w:rFonts w:ascii="Times New Roman" w:hAnsi="Times New Roman" w:cs="Times New Roman"/>
          <w:i/>
        </w:rPr>
        <w:t>Staphylococcus aureus</w:t>
      </w:r>
      <w:r w:rsidRPr="002C66A9">
        <w:rPr>
          <w:rFonts w:ascii="Times New Roman" w:hAnsi="Times New Roman" w:cs="Times New Roman"/>
        </w:rPr>
        <w:t xml:space="preserve"> identified from genome sequences. </w:t>
      </w:r>
      <w:r w:rsidRPr="002C66A9">
        <w:rPr>
          <w:rFonts w:ascii="Times New Roman" w:hAnsi="Times New Roman" w:cs="Times New Roman"/>
          <w:i/>
        </w:rPr>
        <w:t>Microbiology</w:t>
      </w:r>
      <w:r w:rsidRPr="002C66A9">
        <w:rPr>
          <w:rFonts w:ascii="Times New Roman" w:hAnsi="Times New Roman" w:cs="Times New Roman"/>
        </w:rPr>
        <w:t xml:space="preserve"> 149, 643–654.</w:t>
      </w:r>
    </w:p>
    <w:p w:rsidR="009831BC"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Romero, P., López, R., García, E., 2007.</w:t>
      </w:r>
      <w:r w:rsidRPr="002C66A9">
        <w:rPr>
          <w:rFonts w:ascii="Times New Roman" w:hAnsi="Times New Roman" w:cs="Times New Roman"/>
        </w:rPr>
        <w:t xml:space="preserve"> </w:t>
      </w:r>
      <w:proofErr w:type="gramStart"/>
      <w:r w:rsidRPr="002C66A9">
        <w:rPr>
          <w:rFonts w:ascii="Times New Roman" w:hAnsi="Times New Roman" w:cs="Times New Roman"/>
        </w:rPr>
        <w:t xml:space="preserve">Key role of amino acid residues in the dimerization and catalytic activation of the autolysin LytA, an important virulence factor in </w:t>
      </w:r>
      <w:r w:rsidRPr="002C66A9">
        <w:rPr>
          <w:rFonts w:ascii="Times New Roman" w:hAnsi="Times New Roman" w:cs="Times New Roman"/>
          <w:i/>
        </w:rPr>
        <w:t>Streptococcus pneumoniae</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J. Biol. Chem</w:t>
      </w:r>
      <w:r w:rsidRPr="002C66A9">
        <w:rPr>
          <w:rFonts w:ascii="Times New Roman" w:hAnsi="Times New Roman" w:cs="Times New Roman"/>
        </w:rPr>
        <w:t>. 282, 17729–17737.</w:t>
      </w:r>
    </w:p>
    <w:p w:rsidR="009831BC" w:rsidRPr="000426C0" w:rsidRDefault="009831BC" w:rsidP="009831BC">
      <w:pPr>
        <w:spacing w:after="100" w:line="240" w:lineRule="auto"/>
        <w:ind w:left="284" w:hanging="284"/>
        <w:jc w:val="both"/>
        <w:rPr>
          <w:rFonts w:ascii="Times New Roman" w:hAnsi="Times New Roman" w:cs="Times New Roman"/>
        </w:rPr>
      </w:pPr>
      <w:r>
        <w:rPr>
          <w:rFonts w:ascii="Times New Roman" w:hAnsi="Times New Roman" w:cs="Times New Roman"/>
          <w:b/>
        </w:rPr>
        <w:t>Royet, J., Dziarski, R., 2007.</w:t>
      </w:r>
      <w:r>
        <w:rPr>
          <w:rFonts w:ascii="Times New Roman" w:hAnsi="Times New Roman" w:cs="Times New Roman"/>
        </w:rPr>
        <w:t xml:space="preserve"> Peptidoglycan recognition proteins: pleitropic sensors and effectors of antimicrobial defences. </w:t>
      </w:r>
      <w:proofErr w:type="gramStart"/>
      <w:r w:rsidRPr="002C66A9">
        <w:rPr>
          <w:rFonts w:ascii="Times New Roman" w:hAnsi="Times New Roman" w:cs="Times New Roman"/>
          <w:i/>
        </w:rPr>
        <w:t>Nature.</w:t>
      </w:r>
      <w:proofErr w:type="gramEnd"/>
      <w:r w:rsidRPr="002C66A9">
        <w:rPr>
          <w:rFonts w:ascii="Times New Roman" w:hAnsi="Times New Roman" w:cs="Times New Roman"/>
        </w:rPr>
        <w:t xml:space="preserve"> 5, </w:t>
      </w:r>
      <w:r>
        <w:rPr>
          <w:rFonts w:ascii="Times New Roman" w:hAnsi="Times New Roman" w:cs="Times New Roman"/>
        </w:rPr>
        <w:t>264</w:t>
      </w:r>
      <w:r w:rsidRPr="002C66A9">
        <w:rPr>
          <w:rFonts w:ascii="Times New Roman" w:hAnsi="Times New Roman" w:cs="Times New Roman"/>
        </w:rPr>
        <w:t>–</w:t>
      </w:r>
      <w:r>
        <w:rPr>
          <w:rFonts w:ascii="Times New Roman" w:hAnsi="Times New Roman" w:cs="Times New Roman"/>
        </w:rPr>
        <w:t>27</w:t>
      </w:r>
      <w:r w:rsidRPr="002C66A9">
        <w:rPr>
          <w:rFonts w:ascii="Times New Roman" w:hAnsi="Times New Roman" w:cs="Times New Roman"/>
        </w:rPr>
        <w:t>7</w:t>
      </w:r>
      <w:r>
        <w:rPr>
          <w:rFonts w:ascii="Times New Roman" w:hAnsi="Times New Roman" w:cs="Times New Roman"/>
        </w:rPr>
        <w:t>.</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Russell, A.B., Hood, R.D., Bui, N.K., LeRoux, M., Vollmer, W., Mougous, J.D., 2011.</w:t>
      </w:r>
      <w:proofErr w:type="gramEnd"/>
      <w:r w:rsidRPr="002C66A9">
        <w:rPr>
          <w:rFonts w:ascii="Times New Roman" w:hAnsi="Times New Roman" w:cs="Times New Roman"/>
        </w:rPr>
        <w:t xml:space="preserve"> Type VI secretion delivers bacteriolytic effectors to target cells</w:t>
      </w:r>
      <w:r w:rsidRPr="002C66A9">
        <w:rPr>
          <w:rFonts w:ascii="Times New Roman" w:hAnsi="Times New Roman" w:cs="Times New Roman"/>
          <w:i/>
        </w:rPr>
        <w:t xml:space="preserve">. </w:t>
      </w:r>
      <w:proofErr w:type="gramStart"/>
      <w:r w:rsidRPr="002C66A9">
        <w:rPr>
          <w:rFonts w:ascii="Times New Roman" w:hAnsi="Times New Roman" w:cs="Times New Roman"/>
          <w:i/>
        </w:rPr>
        <w:t>Nature.</w:t>
      </w:r>
      <w:proofErr w:type="gramEnd"/>
      <w:r w:rsidRPr="002C66A9">
        <w:rPr>
          <w:rFonts w:ascii="Times New Roman" w:hAnsi="Times New Roman" w:cs="Times New Roman"/>
        </w:rPr>
        <w:t xml:space="preserve"> 475, 343–347.</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Rust, M.J., Bates, M., Zhuang, X., 2006.</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Sub-diffraction-limit imaging by stochastic optical reconstruction microscopy (STORM).</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Nat. Methods</w:t>
      </w:r>
      <w:r w:rsidRPr="002C66A9">
        <w:rPr>
          <w:rFonts w:ascii="Times New Roman" w:hAnsi="Times New Roman" w:cs="Times New Roman"/>
        </w:rPr>
        <w:t>.</w:t>
      </w:r>
      <w:proofErr w:type="gramEnd"/>
      <w:r w:rsidRPr="002C66A9">
        <w:rPr>
          <w:rFonts w:ascii="Times New Roman" w:hAnsi="Times New Roman" w:cs="Times New Roman"/>
        </w:rPr>
        <w:t xml:space="preserve"> 3, 793–795.</w:t>
      </w:r>
    </w:p>
    <w:p w:rsidR="009831BC" w:rsidRPr="002C66A9" w:rsidRDefault="009831BC" w:rsidP="009831BC">
      <w:pPr>
        <w:pStyle w:val="Bibliography"/>
        <w:spacing w:after="100"/>
        <w:ind w:left="284" w:hanging="284"/>
        <w:jc w:val="both"/>
        <w:rPr>
          <w:rFonts w:ascii="Times New Roman" w:hAnsi="Times New Roman" w:cs="Times New Roman"/>
        </w:rPr>
      </w:pPr>
      <w:r w:rsidRPr="009831BC">
        <w:rPr>
          <w:rFonts w:ascii="Times New Roman" w:hAnsi="Times New Roman" w:cs="Times New Roman"/>
          <w:b/>
        </w:rPr>
        <w:t>Sambrook, J., Russel, D.W., 2001</w:t>
      </w:r>
      <w:r w:rsidRPr="009831BC">
        <w:rPr>
          <w:rFonts w:ascii="Times New Roman" w:hAnsi="Times New Roman" w:cs="Times New Roman"/>
        </w:rPr>
        <w:t xml:space="preserve">. </w:t>
      </w:r>
      <w:r w:rsidRPr="002C66A9">
        <w:rPr>
          <w:rFonts w:ascii="Times New Roman" w:hAnsi="Times New Roman" w:cs="Times New Roman"/>
        </w:rPr>
        <w:t>Molecular cloning : a laboratory manual. Cold Spring Harbor Laboratory Press, New York.</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Sauvage, E., Kerff, F., Terrak, M., Ayala, J.A., Charlier, P., 2008.</w:t>
      </w:r>
      <w:proofErr w:type="gramEnd"/>
      <w:r w:rsidRPr="002C66A9">
        <w:rPr>
          <w:rFonts w:ascii="Times New Roman" w:hAnsi="Times New Roman" w:cs="Times New Roman"/>
        </w:rPr>
        <w:t xml:space="preserve"> The penicillin-binding proteins: structure and role in peptidoglycan biosynthesis. </w:t>
      </w:r>
      <w:proofErr w:type="gramStart"/>
      <w:r w:rsidRPr="002C66A9">
        <w:rPr>
          <w:rFonts w:ascii="Times New Roman" w:hAnsi="Times New Roman" w:cs="Times New Roman"/>
          <w:i/>
        </w:rPr>
        <w:t>FEMS Microbiol.</w:t>
      </w:r>
      <w:proofErr w:type="gramEnd"/>
      <w:r w:rsidRPr="002C66A9">
        <w:rPr>
          <w:rFonts w:ascii="Times New Roman" w:hAnsi="Times New Roman" w:cs="Times New Roman"/>
          <w:i/>
        </w:rPr>
        <w:t xml:space="preserve"> Rev</w:t>
      </w:r>
      <w:r w:rsidRPr="002C66A9">
        <w:rPr>
          <w:rFonts w:ascii="Times New Roman" w:hAnsi="Times New Roman" w:cs="Times New Roman"/>
        </w:rPr>
        <w:t>. 32, 234–258.</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Scheffers, D.-J., Pinho, M.G., 2005.</w:t>
      </w:r>
      <w:proofErr w:type="gramEnd"/>
      <w:r w:rsidRPr="002C66A9">
        <w:rPr>
          <w:rFonts w:ascii="Times New Roman" w:hAnsi="Times New Roman" w:cs="Times New Roman"/>
        </w:rPr>
        <w:t xml:space="preserve"> Bacterial cell wall synthesis: new insights from localization studies. </w:t>
      </w:r>
      <w:proofErr w:type="gramStart"/>
      <w:r w:rsidRPr="002C66A9">
        <w:rPr>
          <w:rFonts w:ascii="Times New Roman" w:hAnsi="Times New Roman" w:cs="Times New Roman"/>
          <w:i/>
        </w:rPr>
        <w:t>Microbiol.</w:t>
      </w:r>
      <w:proofErr w:type="gramEnd"/>
      <w:r w:rsidRPr="002C66A9">
        <w:rPr>
          <w:rFonts w:ascii="Times New Roman" w:hAnsi="Times New Roman" w:cs="Times New Roman"/>
          <w:i/>
        </w:rPr>
        <w:t xml:space="preserve"> Mol. Biol. Rev</w:t>
      </w:r>
      <w:r w:rsidRPr="002C66A9">
        <w:rPr>
          <w:rFonts w:ascii="Times New Roman" w:hAnsi="Times New Roman" w:cs="Times New Roman"/>
        </w:rPr>
        <w:t>. 69, 585–607.</w:t>
      </w:r>
    </w:p>
    <w:p w:rsidR="009831BC" w:rsidRPr="002C66A9" w:rsidRDefault="009831BC" w:rsidP="009831BC">
      <w:pPr>
        <w:pStyle w:val="Bibliography"/>
        <w:spacing w:after="100"/>
        <w:ind w:left="284" w:hanging="284"/>
        <w:jc w:val="both"/>
        <w:rPr>
          <w:rFonts w:ascii="Times New Roman" w:hAnsi="Times New Roman" w:cs="Times New Roman"/>
          <w:lang w:val="de-DE"/>
        </w:rPr>
      </w:pPr>
      <w:proofErr w:type="gramStart"/>
      <w:r w:rsidRPr="002C66A9">
        <w:rPr>
          <w:rFonts w:ascii="Times New Roman" w:hAnsi="Times New Roman" w:cs="Times New Roman"/>
          <w:b/>
        </w:rPr>
        <w:t>Schirner, K., Marles-Wright, J., Lewis, R.J., Errington, J., 2009.</w:t>
      </w:r>
      <w:proofErr w:type="gramEnd"/>
      <w:r w:rsidRPr="002C66A9">
        <w:rPr>
          <w:rFonts w:ascii="Times New Roman" w:hAnsi="Times New Roman" w:cs="Times New Roman"/>
          <w:b/>
        </w:rPr>
        <w:t xml:space="preserve"> </w:t>
      </w:r>
      <w:r w:rsidRPr="002C66A9">
        <w:rPr>
          <w:rFonts w:ascii="Times New Roman" w:hAnsi="Times New Roman" w:cs="Times New Roman"/>
        </w:rPr>
        <w:t xml:space="preserve">Distinct and essential morphogenic functions for wall- and lipo-teichoic acids in </w:t>
      </w:r>
      <w:r w:rsidRPr="002C66A9">
        <w:rPr>
          <w:rFonts w:ascii="Times New Roman" w:hAnsi="Times New Roman" w:cs="Times New Roman"/>
          <w:i/>
        </w:rPr>
        <w:t>Bacillus subtilis</w:t>
      </w:r>
      <w:r w:rsidRPr="002C66A9">
        <w:rPr>
          <w:rFonts w:ascii="Times New Roman" w:hAnsi="Times New Roman" w:cs="Times New Roman"/>
        </w:rPr>
        <w:t xml:space="preserve">. </w:t>
      </w:r>
      <w:r w:rsidRPr="002C66A9">
        <w:rPr>
          <w:rFonts w:ascii="Times New Roman" w:hAnsi="Times New Roman" w:cs="Times New Roman"/>
          <w:i/>
          <w:lang w:val="de-DE"/>
        </w:rPr>
        <w:t>EMBO J</w:t>
      </w:r>
      <w:r w:rsidRPr="002C66A9">
        <w:rPr>
          <w:rFonts w:ascii="Times New Roman" w:hAnsi="Times New Roman" w:cs="Times New Roman"/>
          <w:lang w:val="de-DE"/>
        </w:rPr>
        <w:t>. 28, 830–842.</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lang w:val="de-DE"/>
        </w:rPr>
        <w:t xml:space="preserve">Schlag, M., Biswas, R., Krismer, B., Kohler, T., Zoll, S., Yu, W., Schwarz, H., Peschel, A., Götz, F., 2010. </w:t>
      </w:r>
      <w:proofErr w:type="gramStart"/>
      <w:r w:rsidRPr="002C66A9">
        <w:rPr>
          <w:rFonts w:ascii="Times New Roman" w:hAnsi="Times New Roman" w:cs="Times New Roman"/>
        </w:rPr>
        <w:t xml:space="preserve">Role of staphylococcal wall teichoic acid in targeting the major autolysin Atl. </w:t>
      </w:r>
      <w:r w:rsidRPr="002C66A9">
        <w:rPr>
          <w:rFonts w:ascii="Times New Roman" w:hAnsi="Times New Roman" w:cs="Times New Roman"/>
          <w:i/>
        </w:rPr>
        <w:t>Mol. Microbiol</w:t>
      </w:r>
      <w:r w:rsidRPr="002C66A9">
        <w:rPr>
          <w:rFonts w:ascii="Times New Roman" w:hAnsi="Times New Roman" w:cs="Times New Roman"/>
        </w:rPr>
        <w:t>.</w:t>
      </w:r>
      <w:proofErr w:type="gramEnd"/>
      <w:r w:rsidRPr="002C66A9">
        <w:rPr>
          <w:rFonts w:ascii="Times New Roman" w:hAnsi="Times New Roman" w:cs="Times New Roman"/>
        </w:rPr>
        <w:t xml:space="preserve"> 75, 864–873.</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Schleifer, K.H., Kandler, O., 1972.</w:t>
      </w:r>
      <w:r w:rsidRPr="002C66A9">
        <w:rPr>
          <w:rFonts w:ascii="Times New Roman" w:hAnsi="Times New Roman" w:cs="Times New Roman"/>
        </w:rPr>
        <w:t xml:space="preserve"> Peptidoglycan types of bacterial cell walls and their taxonomic implications. </w:t>
      </w:r>
      <w:r w:rsidRPr="002C66A9">
        <w:rPr>
          <w:rFonts w:ascii="Times New Roman" w:hAnsi="Times New Roman" w:cs="Times New Roman"/>
          <w:i/>
        </w:rPr>
        <w:t>Bacteriol Rev</w:t>
      </w:r>
      <w:r w:rsidRPr="002C66A9">
        <w:rPr>
          <w:rFonts w:ascii="Times New Roman" w:hAnsi="Times New Roman" w:cs="Times New Roman"/>
        </w:rPr>
        <w:t xml:space="preserve"> 36, 407–477.</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Schofield, W.B., Lim, H.C., Jacobs-Wagner, C., 2010.</w:t>
      </w:r>
      <w:proofErr w:type="gramEnd"/>
      <w:r w:rsidRPr="002C66A9">
        <w:rPr>
          <w:rFonts w:ascii="Times New Roman" w:hAnsi="Times New Roman" w:cs="Times New Roman"/>
        </w:rPr>
        <w:t xml:space="preserve"> Cell cycle coordination and regulation of bacterial chromosome segregation dynamics by polarly localized proteins. </w:t>
      </w:r>
      <w:proofErr w:type="gramStart"/>
      <w:r w:rsidRPr="002C66A9">
        <w:rPr>
          <w:rFonts w:ascii="Times New Roman" w:hAnsi="Times New Roman" w:cs="Times New Roman"/>
          <w:i/>
        </w:rPr>
        <w:t>EMBO J</w:t>
      </w:r>
      <w:r w:rsidRPr="002C66A9">
        <w:rPr>
          <w:rFonts w:ascii="Times New Roman" w:hAnsi="Times New Roman" w:cs="Times New Roman"/>
        </w:rPr>
        <w:t>. 29, 3068–3081.</w:t>
      </w:r>
      <w:proofErr w:type="gramEnd"/>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Schouten, J.A., Bagga, S., Lloyd, A.J., de Pascale, G., Dowson, C.G., Roper, D.I., Bugg, T.D.H., 2006.</w:t>
      </w:r>
      <w:r w:rsidRPr="002C66A9">
        <w:rPr>
          <w:rFonts w:ascii="Times New Roman" w:hAnsi="Times New Roman" w:cs="Times New Roman"/>
        </w:rPr>
        <w:t xml:space="preserve"> Fluorescent reagents for in vitro studies of lipid-linked steps of bacterial peptidoglycan biosynthesis: derivatives of UDPMurNAc-pentapeptide containing </w:t>
      </w:r>
      <w:r w:rsidRPr="002C66A9">
        <w:rPr>
          <w:rFonts w:ascii="Times New Roman" w:hAnsi="Times New Roman" w:cs="Times New Roman"/>
          <w:sz w:val="16"/>
          <w:szCs w:val="16"/>
        </w:rPr>
        <w:t>D</w:t>
      </w:r>
      <w:r w:rsidRPr="002C66A9">
        <w:rPr>
          <w:rFonts w:ascii="Times New Roman" w:hAnsi="Times New Roman" w:cs="Times New Roman"/>
        </w:rPr>
        <w:t xml:space="preserve">-cysteine at position 4 or 5. </w:t>
      </w:r>
      <w:proofErr w:type="gramStart"/>
      <w:r w:rsidRPr="002C66A9">
        <w:rPr>
          <w:rFonts w:ascii="Times New Roman" w:hAnsi="Times New Roman" w:cs="Times New Roman"/>
          <w:i/>
        </w:rPr>
        <w:t>Mol Biosyst</w:t>
      </w:r>
      <w:r w:rsidRPr="002C66A9">
        <w:rPr>
          <w:rFonts w:ascii="Times New Roman" w:hAnsi="Times New Roman" w:cs="Times New Roman"/>
        </w:rPr>
        <w:t>.</w:t>
      </w:r>
      <w:proofErr w:type="gramEnd"/>
      <w:r w:rsidRPr="002C66A9">
        <w:rPr>
          <w:rFonts w:ascii="Times New Roman" w:hAnsi="Times New Roman" w:cs="Times New Roman"/>
        </w:rPr>
        <w:t xml:space="preserve"> 2, 484–491.</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Schuster, C., Dobrinski, B., Hakenbeck, R., 1990.</w:t>
      </w:r>
      <w:r w:rsidRPr="002C66A9">
        <w:rPr>
          <w:rFonts w:ascii="Times New Roman" w:hAnsi="Times New Roman" w:cs="Times New Roman"/>
        </w:rPr>
        <w:t xml:space="preserve"> Unusual septum formation in </w:t>
      </w:r>
      <w:r w:rsidRPr="002C66A9">
        <w:rPr>
          <w:rFonts w:ascii="Times New Roman" w:hAnsi="Times New Roman" w:cs="Times New Roman"/>
          <w:i/>
        </w:rPr>
        <w:t>Streptococcus pneumoniae</w:t>
      </w:r>
      <w:r w:rsidRPr="002C66A9">
        <w:rPr>
          <w:rFonts w:ascii="Times New Roman" w:hAnsi="Times New Roman" w:cs="Times New Roman"/>
        </w:rPr>
        <w:t xml:space="preserve"> mutants with an alteration in the </w:t>
      </w:r>
      <w:r w:rsidRPr="002C66A9">
        <w:rPr>
          <w:rFonts w:ascii="Times New Roman" w:hAnsi="Times New Roman" w:cs="Times New Roman"/>
          <w:sz w:val="16"/>
          <w:szCs w:val="16"/>
        </w:rPr>
        <w:t>D</w:t>
      </w:r>
      <w:proofErr w:type="gramStart"/>
      <w:r w:rsidRPr="002C66A9">
        <w:rPr>
          <w:rFonts w:ascii="Times New Roman" w:hAnsi="Times New Roman" w:cs="Times New Roman"/>
          <w:sz w:val="16"/>
          <w:szCs w:val="16"/>
        </w:rPr>
        <w:t>,D</w:t>
      </w:r>
      <w:proofErr w:type="gramEnd"/>
      <w:r w:rsidRPr="002C66A9">
        <w:rPr>
          <w:rFonts w:ascii="Times New Roman" w:hAnsi="Times New Roman" w:cs="Times New Roman"/>
        </w:rPr>
        <w:t xml:space="preserve">-carboxypeptidase penicillin-binding protein 3. </w:t>
      </w:r>
      <w:r w:rsidRPr="002C66A9">
        <w:rPr>
          <w:rFonts w:ascii="Times New Roman" w:hAnsi="Times New Roman" w:cs="Times New Roman"/>
          <w:i/>
        </w:rPr>
        <w:t>J. Bacteriol</w:t>
      </w:r>
      <w:r w:rsidRPr="002C66A9">
        <w:rPr>
          <w:rFonts w:ascii="Times New Roman" w:hAnsi="Times New Roman" w:cs="Times New Roman"/>
        </w:rPr>
        <w:t>. 172, 6499–6505.</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Senadheera, M.D., Guggenheim, B., Spatafora, G.A., Huang, Y.-C.C., Choi, J., Hung, D.C.I., Treglown, J.S., Goodman, S.D., Ellen, R.P., Cvitkovitch, D.G., 2005.</w:t>
      </w:r>
      <w:r w:rsidRPr="002C66A9">
        <w:rPr>
          <w:rFonts w:ascii="Times New Roman" w:hAnsi="Times New Roman" w:cs="Times New Roman"/>
        </w:rPr>
        <w:t xml:space="preserve"> A VicRK signal transduction system in </w:t>
      </w:r>
      <w:r w:rsidRPr="002C66A9">
        <w:rPr>
          <w:rFonts w:ascii="Times New Roman" w:hAnsi="Times New Roman" w:cs="Times New Roman"/>
          <w:i/>
        </w:rPr>
        <w:t>Streptococcus mutans</w:t>
      </w:r>
      <w:r w:rsidRPr="002C66A9">
        <w:rPr>
          <w:rFonts w:ascii="Times New Roman" w:hAnsi="Times New Roman" w:cs="Times New Roman"/>
        </w:rPr>
        <w:t xml:space="preserve"> affects </w:t>
      </w:r>
      <w:r w:rsidRPr="002C66A9">
        <w:rPr>
          <w:rFonts w:ascii="Times New Roman" w:hAnsi="Times New Roman" w:cs="Times New Roman"/>
          <w:i/>
        </w:rPr>
        <w:t>gtfBCD</w:t>
      </w:r>
      <w:r w:rsidRPr="002C66A9">
        <w:rPr>
          <w:rFonts w:ascii="Times New Roman" w:hAnsi="Times New Roman" w:cs="Times New Roman"/>
        </w:rPr>
        <w:t xml:space="preserve">, </w:t>
      </w:r>
      <w:r w:rsidRPr="002C66A9">
        <w:rPr>
          <w:rFonts w:ascii="Times New Roman" w:hAnsi="Times New Roman" w:cs="Times New Roman"/>
          <w:i/>
        </w:rPr>
        <w:t>gbpB</w:t>
      </w:r>
      <w:r w:rsidRPr="002C66A9">
        <w:rPr>
          <w:rFonts w:ascii="Times New Roman" w:hAnsi="Times New Roman" w:cs="Times New Roman"/>
        </w:rPr>
        <w:t xml:space="preserve">, and </w:t>
      </w:r>
      <w:r w:rsidRPr="002C66A9">
        <w:rPr>
          <w:rFonts w:ascii="Times New Roman" w:hAnsi="Times New Roman" w:cs="Times New Roman"/>
          <w:i/>
        </w:rPr>
        <w:t>ftf</w:t>
      </w:r>
      <w:r w:rsidRPr="002C66A9">
        <w:rPr>
          <w:rFonts w:ascii="Times New Roman" w:hAnsi="Times New Roman" w:cs="Times New Roman"/>
        </w:rPr>
        <w:t xml:space="preserve"> expression, biofilm formation, and genetic competence development. </w:t>
      </w:r>
      <w:r w:rsidRPr="002C66A9">
        <w:rPr>
          <w:rFonts w:ascii="Times New Roman" w:hAnsi="Times New Roman" w:cs="Times New Roman"/>
          <w:i/>
        </w:rPr>
        <w:t>J. Bacteriol</w:t>
      </w:r>
      <w:r w:rsidRPr="002C66A9">
        <w:rPr>
          <w:rFonts w:ascii="Times New Roman" w:hAnsi="Times New Roman" w:cs="Times New Roman"/>
        </w:rPr>
        <w:t>. 187, 4064–4076.</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Severin, A., Tomasz, A., 1996. </w:t>
      </w:r>
      <w:proofErr w:type="gramStart"/>
      <w:r w:rsidRPr="002C66A9">
        <w:rPr>
          <w:rFonts w:ascii="Times New Roman" w:hAnsi="Times New Roman" w:cs="Times New Roman"/>
        </w:rPr>
        <w:t xml:space="preserve">Naturally occurring peptidoglycan variants of </w:t>
      </w:r>
      <w:r w:rsidRPr="002C66A9">
        <w:rPr>
          <w:rFonts w:ascii="Times New Roman" w:hAnsi="Times New Roman" w:cs="Times New Roman"/>
          <w:i/>
        </w:rPr>
        <w:t>Streptococcus pneumoniae</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178, 168–174.</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Sham, L.-T., Barendt, S.M., Kopecky, K.E., Winkler, M.E., 2011.</w:t>
      </w:r>
      <w:proofErr w:type="gramEnd"/>
      <w:r w:rsidRPr="002C66A9">
        <w:rPr>
          <w:rFonts w:ascii="Times New Roman" w:hAnsi="Times New Roman" w:cs="Times New Roman"/>
        </w:rPr>
        <w:t xml:space="preserve"> Essential PcsB putative peptidoglycan hydrolase interacts with the essential FtsXSpn cell division protein in </w:t>
      </w:r>
      <w:r w:rsidRPr="002C66A9">
        <w:rPr>
          <w:rFonts w:ascii="Times New Roman" w:hAnsi="Times New Roman" w:cs="Times New Roman"/>
          <w:i/>
        </w:rPr>
        <w:t>Streptococcus pneumoniae</w:t>
      </w:r>
      <w:r w:rsidRPr="002C66A9">
        <w:rPr>
          <w:rFonts w:ascii="Times New Roman" w:hAnsi="Times New Roman" w:cs="Times New Roman"/>
        </w:rPr>
        <w:t xml:space="preserve"> D39. </w:t>
      </w:r>
      <w:proofErr w:type="gramStart"/>
      <w:r w:rsidRPr="002C66A9">
        <w:rPr>
          <w:rFonts w:ascii="Times New Roman" w:hAnsi="Times New Roman" w:cs="Times New Roman"/>
          <w:i/>
        </w:rPr>
        <w:t>Proc. Natl. Acad. Sci. U.S.A</w:t>
      </w:r>
      <w:r w:rsidRPr="002C66A9">
        <w:rPr>
          <w:rFonts w:ascii="Times New Roman" w:hAnsi="Times New Roman" w:cs="Times New Roman"/>
        </w:rPr>
        <w:t>. 108, E1061–1069.</w:t>
      </w:r>
      <w:proofErr w:type="gramEnd"/>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Silhavy, T.J., Kahne, D., Walker, S., 2010.</w:t>
      </w:r>
      <w:proofErr w:type="gramEnd"/>
      <w:r w:rsidRPr="002C66A9">
        <w:rPr>
          <w:rFonts w:ascii="Times New Roman" w:hAnsi="Times New Roman" w:cs="Times New Roman"/>
          <w:b/>
        </w:rPr>
        <w:t xml:space="preserve"> </w:t>
      </w:r>
      <w:proofErr w:type="gramStart"/>
      <w:r w:rsidRPr="002C66A9">
        <w:rPr>
          <w:rFonts w:ascii="Times New Roman" w:hAnsi="Times New Roman" w:cs="Times New Roman"/>
        </w:rPr>
        <w:t>The bacterial cell envelope.</w:t>
      </w:r>
      <w:proofErr w:type="gramEnd"/>
      <w:r w:rsidRPr="002C66A9">
        <w:rPr>
          <w:rFonts w:ascii="Times New Roman" w:hAnsi="Times New Roman" w:cs="Times New Roman"/>
        </w:rPr>
        <w:t xml:space="preserve"> </w:t>
      </w:r>
      <w:r w:rsidRPr="002C66A9">
        <w:rPr>
          <w:rFonts w:ascii="Times New Roman" w:hAnsi="Times New Roman" w:cs="Times New Roman"/>
          <w:i/>
        </w:rPr>
        <w:t xml:space="preserve">Cold Spring Harb Perspect. </w:t>
      </w:r>
      <w:proofErr w:type="gramStart"/>
      <w:r w:rsidRPr="002C66A9">
        <w:rPr>
          <w:rFonts w:ascii="Times New Roman" w:hAnsi="Times New Roman" w:cs="Times New Roman"/>
          <w:i/>
        </w:rPr>
        <w:t>Biol.</w:t>
      </w:r>
      <w:r w:rsidRPr="002C66A9">
        <w:rPr>
          <w:rFonts w:ascii="Times New Roman" w:hAnsi="Times New Roman" w:cs="Times New Roman"/>
        </w:rPr>
        <w:t xml:space="preserve"> 2, a000414.</w:t>
      </w:r>
      <w:proofErr w:type="gramEnd"/>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lastRenderedPageBreak/>
        <w:t>Singh, B.N., 1947.</w:t>
      </w:r>
      <w:r w:rsidRPr="002C66A9">
        <w:rPr>
          <w:rFonts w:ascii="Times New Roman" w:hAnsi="Times New Roman" w:cs="Times New Roman"/>
        </w:rPr>
        <w:t xml:space="preserve"> </w:t>
      </w:r>
      <w:proofErr w:type="gramStart"/>
      <w:r w:rsidRPr="002C66A9">
        <w:rPr>
          <w:rFonts w:ascii="Times New Roman" w:hAnsi="Times New Roman" w:cs="Times New Roman"/>
        </w:rPr>
        <w:t>Myxobacteria in soils and composts; their distribution, number and lytic action on bacteria.</w:t>
      </w:r>
      <w:proofErr w:type="gramEnd"/>
      <w:r w:rsidRPr="002C66A9">
        <w:rPr>
          <w:rFonts w:ascii="Times New Roman" w:hAnsi="Times New Roman" w:cs="Times New Roman"/>
        </w:rPr>
        <w:t xml:space="preserve"> </w:t>
      </w:r>
      <w:r w:rsidRPr="002C66A9">
        <w:rPr>
          <w:rFonts w:ascii="Times New Roman" w:hAnsi="Times New Roman" w:cs="Times New Roman"/>
          <w:i/>
        </w:rPr>
        <w:t>J. Gen. Microbiol</w:t>
      </w:r>
      <w:r w:rsidRPr="002C66A9">
        <w:rPr>
          <w:rFonts w:ascii="Times New Roman" w:hAnsi="Times New Roman" w:cs="Times New Roman"/>
        </w:rPr>
        <w:t>. 1, 1–10.</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Singh, V.K., Carlos, M.R., Singh, K., 2010.</w:t>
      </w:r>
      <w:r w:rsidRPr="002C66A9">
        <w:rPr>
          <w:rFonts w:ascii="Times New Roman" w:hAnsi="Times New Roman" w:cs="Times New Roman"/>
        </w:rPr>
        <w:t xml:space="preserve"> </w:t>
      </w:r>
      <w:proofErr w:type="gramStart"/>
      <w:r w:rsidRPr="002C66A9">
        <w:rPr>
          <w:rFonts w:ascii="Times New Roman" w:hAnsi="Times New Roman" w:cs="Times New Roman"/>
        </w:rPr>
        <w:t xml:space="preserve">Physiological significance of the peptidoglycan hydrolase, LytM, in </w:t>
      </w:r>
      <w:r w:rsidRPr="002C66A9">
        <w:rPr>
          <w:rFonts w:ascii="Times New Roman" w:hAnsi="Times New Roman" w:cs="Times New Roman"/>
          <w:i/>
        </w:rPr>
        <w:t>Staphylococcus aureus</w:t>
      </w:r>
      <w:r w:rsidRPr="002C66A9">
        <w:rPr>
          <w:rFonts w:ascii="Times New Roman" w:hAnsi="Times New Roman" w:cs="Times New Roman"/>
        </w:rPr>
        <w:t>.</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FEMS Microbiol.</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Lett</w:t>
      </w:r>
      <w:r w:rsidRPr="002C66A9">
        <w:rPr>
          <w:rFonts w:ascii="Times New Roman" w:hAnsi="Times New Roman" w:cs="Times New Roman"/>
        </w:rPr>
        <w:t>.</w:t>
      </w:r>
      <w:proofErr w:type="gramEnd"/>
      <w:r w:rsidRPr="002C66A9">
        <w:rPr>
          <w:rFonts w:ascii="Times New Roman" w:hAnsi="Times New Roman" w:cs="Times New Roman"/>
        </w:rPr>
        <w:t xml:space="preserve"> 311, 167–175.</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Smith, T.J., Blackman, S.A., Foster, S.J., 2000.</w:t>
      </w:r>
      <w:r w:rsidRPr="002C66A9">
        <w:rPr>
          <w:rFonts w:ascii="Times New Roman" w:hAnsi="Times New Roman" w:cs="Times New Roman"/>
        </w:rPr>
        <w:t xml:space="preserve"> Autolysins of </w:t>
      </w:r>
      <w:r w:rsidRPr="002C66A9">
        <w:rPr>
          <w:rFonts w:ascii="Times New Roman" w:hAnsi="Times New Roman" w:cs="Times New Roman"/>
          <w:i/>
        </w:rPr>
        <w:t>Bacillus subtilis</w:t>
      </w:r>
      <w:r w:rsidRPr="002C66A9">
        <w:rPr>
          <w:rFonts w:ascii="Times New Roman" w:hAnsi="Times New Roman" w:cs="Times New Roman"/>
        </w:rPr>
        <w:t xml:space="preserve">: multiple enzymes with multiple functions. </w:t>
      </w:r>
      <w:r w:rsidRPr="002C66A9">
        <w:rPr>
          <w:rFonts w:ascii="Times New Roman" w:hAnsi="Times New Roman" w:cs="Times New Roman"/>
          <w:i/>
        </w:rPr>
        <w:t>Microbiology</w:t>
      </w:r>
      <w:r w:rsidRPr="002C66A9">
        <w:rPr>
          <w:rFonts w:ascii="Times New Roman" w:hAnsi="Times New Roman" w:cs="Times New Roman"/>
        </w:rPr>
        <w:t xml:space="preserve"> 146, 249–262.</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Spratt, B.G., Zhou, J., Taylor, M., Merrick, M.J., 1996.</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Monofunctional biosynthetic peptidoglycan transglycosylases.</w:t>
      </w:r>
      <w:proofErr w:type="gramEnd"/>
      <w:r w:rsidRPr="002C66A9">
        <w:rPr>
          <w:rFonts w:ascii="Times New Roman" w:hAnsi="Times New Roman" w:cs="Times New Roman"/>
        </w:rPr>
        <w:t xml:space="preserve"> </w:t>
      </w:r>
      <w:r w:rsidRPr="002C66A9">
        <w:rPr>
          <w:rFonts w:ascii="Times New Roman" w:hAnsi="Times New Roman" w:cs="Times New Roman"/>
          <w:i/>
        </w:rPr>
        <w:t>Mol. Microbiol</w:t>
      </w:r>
      <w:r w:rsidRPr="002C66A9">
        <w:rPr>
          <w:rFonts w:ascii="Times New Roman" w:hAnsi="Times New Roman" w:cs="Times New Roman"/>
        </w:rPr>
        <w:t>. 19, 639–640.</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Stapleton, M.R., Horsburgh, M.J., Hayhurst, E.J., Wright, L., Jonsson, I.-M., Tarkowski, A., Kokai-Kun, J.F., Mond, J.J., Foster, S.J., 2007.</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 xml:space="preserve">Characterization of IsaA and SceD, Two Putative Lytic Transglycosylases of </w:t>
      </w:r>
      <w:r w:rsidRPr="002C66A9">
        <w:rPr>
          <w:rFonts w:ascii="Times New Roman" w:hAnsi="Times New Roman" w:cs="Times New Roman"/>
          <w:i/>
        </w:rPr>
        <w:t>Staphylococcus aureus</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189, 7316–7325.</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Steele, V.R., Bottomley, A.L., Garcia-Lara, J., Kasturiarachchi, J., Foster, S.J., 2011.</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 xml:space="preserve">Multiple essential roles for EzrA in cell division of </w:t>
      </w:r>
      <w:r w:rsidRPr="002C66A9">
        <w:rPr>
          <w:rFonts w:ascii="Times New Roman" w:hAnsi="Times New Roman" w:cs="Times New Roman"/>
          <w:i/>
        </w:rPr>
        <w:t>Staphylococcus aureus</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Mol. Microbiol</w:t>
      </w:r>
      <w:r w:rsidRPr="002C66A9">
        <w:rPr>
          <w:rFonts w:ascii="Times New Roman" w:hAnsi="Times New Roman" w:cs="Times New Roman"/>
        </w:rPr>
        <w:t>. 80, 542–555.</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Steen, A., Buist, G., Leenhouts, K.J., El Khattabi, M., Grijpstra, F., Zomer, A.L., Venema, G., Kuipers, O.P., Kok, J., 2003.</w:t>
      </w:r>
      <w:proofErr w:type="gramEnd"/>
      <w:r w:rsidRPr="002C66A9">
        <w:rPr>
          <w:rFonts w:ascii="Times New Roman" w:hAnsi="Times New Roman" w:cs="Times New Roman"/>
        </w:rPr>
        <w:t xml:space="preserve"> Cell wall attachment of a widely distributed peptidoglycan binding domain is hindered by cell wall constituents. </w:t>
      </w:r>
      <w:r w:rsidRPr="002C66A9">
        <w:rPr>
          <w:rFonts w:ascii="Times New Roman" w:hAnsi="Times New Roman" w:cs="Times New Roman"/>
          <w:i/>
        </w:rPr>
        <w:t>J. Biol. Chem</w:t>
      </w:r>
      <w:r w:rsidRPr="002C66A9">
        <w:rPr>
          <w:rFonts w:ascii="Times New Roman" w:hAnsi="Times New Roman" w:cs="Times New Roman"/>
        </w:rPr>
        <w:t>. 278, 23874–23881.</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Stewart, E.J., Madden, R., Paul, G., Taddei, F., 2005.</w:t>
      </w:r>
      <w:r w:rsidRPr="002C66A9">
        <w:rPr>
          <w:rFonts w:ascii="Times New Roman" w:hAnsi="Times New Roman" w:cs="Times New Roman"/>
        </w:rPr>
        <w:t xml:space="preserve"> </w:t>
      </w:r>
      <w:proofErr w:type="gramStart"/>
      <w:r w:rsidRPr="002C66A9">
        <w:rPr>
          <w:rFonts w:ascii="Times New Roman" w:hAnsi="Times New Roman" w:cs="Times New Roman"/>
        </w:rPr>
        <w:t>Aging and death in an organism that reproduces by morphologically symmetric division.</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PLoS Biol</w:t>
      </w:r>
      <w:r w:rsidRPr="002C66A9">
        <w:rPr>
          <w:rFonts w:ascii="Times New Roman" w:hAnsi="Times New Roman" w:cs="Times New Roman"/>
        </w:rPr>
        <w:t>. 3, e45.</w:t>
      </w:r>
      <w:proofErr w:type="gramEnd"/>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Sudo, S., Dworkin, M., 1972.</w:t>
      </w:r>
      <w:proofErr w:type="gramEnd"/>
      <w:r w:rsidRPr="002C66A9">
        <w:rPr>
          <w:rFonts w:ascii="Times New Roman" w:hAnsi="Times New Roman" w:cs="Times New Roman"/>
        </w:rPr>
        <w:t xml:space="preserve"> Bacteriolytic enzymes produced by </w:t>
      </w:r>
      <w:r w:rsidRPr="002C66A9">
        <w:rPr>
          <w:rFonts w:ascii="Times New Roman" w:hAnsi="Times New Roman" w:cs="Times New Roman"/>
          <w:i/>
        </w:rPr>
        <w:t xml:space="preserve">Myxococcus </w:t>
      </w:r>
      <w:proofErr w:type="gramStart"/>
      <w:r w:rsidRPr="002C66A9">
        <w:rPr>
          <w:rFonts w:ascii="Times New Roman" w:hAnsi="Times New Roman" w:cs="Times New Roman"/>
          <w:i/>
        </w:rPr>
        <w:t>xanthus</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110, 236–245.</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Sugai, M., Fujiwara, T., Komatsuzawa, H., SuginakaH, 1998.</w:t>
      </w:r>
      <w:proofErr w:type="gramEnd"/>
      <w:r w:rsidRPr="002C66A9">
        <w:rPr>
          <w:rFonts w:ascii="Times New Roman" w:hAnsi="Times New Roman" w:cs="Times New Roman"/>
          <w:b/>
        </w:rPr>
        <w:t xml:space="preserve"> </w:t>
      </w:r>
      <w:proofErr w:type="gramStart"/>
      <w:r w:rsidRPr="002C66A9">
        <w:rPr>
          <w:rFonts w:ascii="Times New Roman" w:hAnsi="Times New Roman" w:cs="Times New Roman"/>
        </w:rPr>
        <w:t xml:space="preserve">Identification and molecular characterization of a gene homologous to </w:t>
      </w:r>
      <w:r w:rsidRPr="002C66A9">
        <w:rPr>
          <w:rFonts w:ascii="Times New Roman" w:hAnsi="Times New Roman" w:cs="Times New Roman"/>
          <w:i/>
        </w:rPr>
        <w:t>epr</w:t>
      </w:r>
      <w:r w:rsidRPr="002C66A9">
        <w:rPr>
          <w:rFonts w:ascii="Times New Roman" w:hAnsi="Times New Roman" w:cs="Times New Roman"/>
        </w:rPr>
        <w:t xml:space="preserve"> (endopeptidase resistance gene) in </w:t>
      </w:r>
      <w:r w:rsidRPr="002C66A9">
        <w:rPr>
          <w:rFonts w:ascii="Times New Roman" w:hAnsi="Times New Roman" w:cs="Times New Roman"/>
          <w:i/>
        </w:rPr>
        <w:t>Staphylococcus aureus</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Gene</w:t>
      </w:r>
      <w:r w:rsidRPr="002C66A9">
        <w:rPr>
          <w:rFonts w:ascii="Times New Roman" w:hAnsi="Times New Roman" w:cs="Times New Roman"/>
        </w:rPr>
        <w:t>. 224, 67–75.</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Suginaka, H., Blumberg, P.M., Strominger, J.L., 1972.</w:t>
      </w:r>
      <w:r w:rsidRPr="002C66A9">
        <w:rPr>
          <w:rFonts w:ascii="Times New Roman" w:hAnsi="Times New Roman" w:cs="Times New Roman"/>
        </w:rPr>
        <w:t xml:space="preserve"> </w:t>
      </w:r>
      <w:proofErr w:type="gramStart"/>
      <w:r w:rsidRPr="002C66A9">
        <w:rPr>
          <w:rFonts w:ascii="Times New Roman" w:hAnsi="Times New Roman" w:cs="Times New Roman"/>
        </w:rPr>
        <w:t xml:space="preserve">Multiple penicillin-binding components in </w:t>
      </w:r>
      <w:r w:rsidRPr="002C66A9">
        <w:rPr>
          <w:rFonts w:ascii="Times New Roman" w:hAnsi="Times New Roman" w:cs="Times New Roman"/>
          <w:i/>
        </w:rPr>
        <w:t>Bacillus subtilis</w:t>
      </w:r>
      <w:r w:rsidRPr="002C66A9">
        <w:rPr>
          <w:rFonts w:ascii="Times New Roman" w:hAnsi="Times New Roman" w:cs="Times New Roman"/>
        </w:rPr>
        <w:t xml:space="preserve">, </w:t>
      </w:r>
      <w:r w:rsidRPr="002C66A9">
        <w:rPr>
          <w:rFonts w:ascii="Times New Roman" w:hAnsi="Times New Roman" w:cs="Times New Roman"/>
          <w:i/>
        </w:rPr>
        <w:t>Bacillus cereus</w:t>
      </w:r>
      <w:r w:rsidRPr="002C66A9">
        <w:rPr>
          <w:rFonts w:ascii="Times New Roman" w:hAnsi="Times New Roman" w:cs="Times New Roman"/>
        </w:rPr>
        <w:t xml:space="preserve">, </w:t>
      </w:r>
      <w:r w:rsidRPr="002C66A9">
        <w:rPr>
          <w:rFonts w:ascii="Times New Roman" w:hAnsi="Times New Roman" w:cs="Times New Roman"/>
          <w:i/>
        </w:rPr>
        <w:t>Staphylococcus aureus</w:t>
      </w:r>
      <w:r w:rsidRPr="002C66A9">
        <w:rPr>
          <w:rFonts w:ascii="Times New Roman" w:hAnsi="Times New Roman" w:cs="Times New Roman"/>
        </w:rPr>
        <w:t xml:space="preserve">, and </w:t>
      </w:r>
      <w:r w:rsidRPr="002C66A9">
        <w:rPr>
          <w:rFonts w:ascii="Times New Roman" w:hAnsi="Times New Roman" w:cs="Times New Roman"/>
          <w:i/>
        </w:rPr>
        <w:t>Escherichia coli</w:t>
      </w:r>
      <w:r w:rsidRPr="002C66A9">
        <w:rPr>
          <w:rFonts w:ascii="Times New Roman" w:hAnsi="Times New Roman" w:cs="Times New Roman"/>
        </w:rPr>
        <w:t>.</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J. Biol. Chem</w:t>
      </w:r>
      <w:r w:rsidRPr="002C66A9">
        <w:rPr>
          <w:rFonts w:ascii="Times New Roman" w:hAnsi="Times New Roman" w:cs="Times New Roman"/>
        </w:rPr>
        <w:t>. 247, 5279–5288.</w:t>
      </w:r>
      <w:proofErr w:type="gramEnd"/>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Sutcliffe, I.C., 1998.</w:t>
      </w:r>
      <w:r w:rsidRPr="002C66A9">
        <w:rPr>
          <w:rFonts w:ascii="Times New Roman" w:hAnsi="Times New Roman" w:cs="Times New Roman"/>
        </w:rPr>
        <w:t xml:space="preserve"> </w:t>
      </w:r>
      <w:proofErr w:type="gramStart"/>
      <w:r w:rsidRPr="002C66A9">
        <w:rPr>
          <w:rFonts w:ascii="Times New Roman" w:hAnsi="Times New Roman" w:cs="Times New Roman"/>
        </w:rPr>
        <w:t xml:space="preserve">Cell envelope composition and organisation in the genus </w:t>
      </w:r>
      <w:r w:rsidRPr="002C66A9">
        <w:rPr>
          <w:rFonts w:ascii="Times New Roman" w:hAnsi="Times New Roman" w:cs="Times New Roman"/>
          <w:i/>
        </w:rPr>
        <w:t>Rhodococcus</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Antonie Van Leeuwenhoek</w:t>
      </w:r>
      <w:r w:rsidRPr="002C66A9">
        <w:rPr>
          <w:rFonts w:ascii="Times New Roman" w:hAnsi="Times New Roman" w:cs="Times New Roman"/>
        </w:rPr>
        <w:t>. 74, 49–58.</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Swoboda, J.G., Campbell, J., Meredith, T.C., Walker, S., 2010.</w:t>
      </w:r>
      <w:r w:rsidRPr="002C66A9">
        <w:rPr>
          <w:rFonts w:ascii="Times New Roman" w:hAnsi="Times New Roman" w:cs="Times New Roman"/>
        </w:rPr>
        <w:t xml:space="preserve"> </w:t>
      </w:r>
      <w:proofErr w:type="gramStart"/>
      <w:r w:rsidRPr="002C66A9">
        <w:rPr>
          <w:rFonts w:ascii="Times New Roman" w:hAnsi="Times New Roman" w:cs="Times New Roman"/>
        </w:rPr>
        <w:t>Wall teichoic acid function, biosynthesis, and inhibition.</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CheMBiochem</w:t>
      </w:r>
      <w:r w:rsidRPr="002C66A9">
        <w:rPr>
          <w:rFonts w:ascii="Times New Roman" w:hAnsi="Times New Roman" w:cs="Times New Roman"/>
        </w:rPr>
        <w:t>.</w:t>
      </w:r>
      <w:proofErr w:type="gramEnd"/>
      <w:r w:rsidRPr="002C66A9">
        <w:rPr>
          <w:rFonts w:ascii="Times New Roman" w:hAnsi="Times New Roman" w:cs="Times New Roman"/>
        </w:rPr>
        <w:t xml:space="preserve"> 11, 35–45.</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Swulius, M.T., Chen, S., Jane Ding, H., Li, Z., Briegel, A., Pilhofer, M., Tocheva, E.I., Lybarger, S.R., Johnson, T.L., Sandkvist, M., Jensen, G.J., 2011.</w:t>
      </w:r>
      <w:r w:rsidRPr="002C66A9">
        <w:rPr>
          <w:rFonts w:ascii="Times New Roman" w:hAnsi="Times New Roman" w:cs="Times New Roman"/>
        </w:rPr>
        <w:t xml:space="preserve"> Long helical filaments are not seen encircling cells in electron cryotomograms of rod-shaped bacteria. </w:t>
      </w:r>
      <w:proofErr w:type="gramStart"/>
      <w:r w:rsidRPr="002C66A9">
        <w:rPr>
          <w:rFonts w:ascii="Times New Roman" w:hAnsi="Times New Roman" w:cs="Times New Roman"/>
          <w:i/>
        </w:rPr>
        <w:t>Biochem.</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Biophys.</w:t>
      </w:r>
      <w:proofErr w:type="gramEnd"/>
      <w:r w:rsidRPr="002C66A9">
        <w:rPr>
          <w:rFonts w:ascii="Times New Roman" w:hAnsi="Times New Roman" w:cs="Times New Roman"/>
          <w:i/>
        </w:rPr>
        <w:t xml:space="preserve"> Res. Commun</w:t>
      </w:r>
      <w:r w:rsidRPr="002C66A9">
        <w:rPr>
          <w:rFonts w:ascii="Times New Roman" w:hAnsi="Times New Roman" w:cs="Times New Roman"/>
        </w:rPr>
        <w:t>. 407, 650–655.</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Takahashi, J., Komatsuzawa, H., Yamada, S., Nishida, T., Labischinski, H., Fujiwara, T., Ohara, M., Yamagishi, J., Sugai, M., 2002.</w:t>
      </w:r>
      <w:r w:rsidRPr="002C66A9">
        <w:rPr>
          <w:rFonts w:ascii="Times New Roman" w:hAnsi="Times New Roman" w:cs="Times New Roman"/>
        </w:rPr>
        <w:t xml:space="preserve"> </w:t>
      </w:r>
      <w:proofErr w:type="gramStart"/>
      <w:r w:rsidRPr="002C66A9">
        <w:rPr>
          <w:rFonts w:ascii="Times New Roman" w:hAnsi="Times New Roman" w:cs="Times New Roman"/>
        </w:rPr>
        <w:t xml:space="preserve">Molecular characterization of an </w:t>
      </w:r>
      <w:r w:rsidRPr="002C66A9">
        <w:rPr>
          <w:rFonts w:ascii="Times New Roman" w:hAnsi="Times New Roman" w:cs="Times New Roman"/>
          <w:i/>
        </w:rPr>
        <w:t>atl</w:t>
      </w:r>
      <w:r w:rsidRPr="002C66A9">
        <w:rPr>
          <w:rFonts w:ascii="Times New Roman" w:hAnsi="Times New Roman" w:cs="Times New Roman"/>
        </w:rPr>
        <w:t xml:space="preserve"> null mutant of </w:t>
      </w:r>
      <w:r w:rsidRPr="002C66A9">
        <w:rPr>
          <w:rFonts w:ascii="Times New Roman" w:hAnsi="Times New Roman" w:cs="Times New Roman"/>
          <w:i/>
        </w:rPr>
        <w:t>Staphylococcus aureus</w:t>
      </w:r>
      <w:r w:rsidRPr="002C66A9">
        <w:rPr>
          <w:rFonts w:ascii="Times New Roman" w:hAnsi="Times New Roman" w:cs="Times New Roman"/>
        </w:rPr>
        <w:t>.</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Microbiol.</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Immunol</w:t>
      </w:r>
      <w:r w:rsidRPr="002C66A9">
        <w:rPr>
          <w:rFonts w:ascii="Times New Roman" w:hAnsi="Times New Roman" w:cs="Times New Roman"/>
        </w:rPr>
        <w:t>.</w:t>
      </w:r>
      <w:proofErr w:type="gramEnd"/>
      <w:r w:rsidRPr="002C66A9">
        <w:rPr>
          <w:rFonts w:ascii="Times New Roman" w:hAnsi="Times New Roman" w:cs="Times New Roman"/>
        </w:rPr>
        <w:t xml:space="preserve"> 46, 601–612.</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Thibessard, A., Fernandez, A., Gintz, B., Leblond-Bourget, N., Decaris, B., 2002.</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 xml:space="preserve">Effects of </w:t>
      </w:r>
      <w:r w:rsidRPr="002C66A9">
        <w:rPr>
          <w:rFonts w:ascii="Times New Roman" w:hAnsi="Times New Roman" w:cs="Times New Roman"/>
          <w:i/>
        </w:rPr>
        <w:t>rodA</w:t>
      </w:r>
      <w:r w:rsidRPr="002C66A9">
        <w:rPr>
          <w:rFonts w:ascii="Times New Roman" w:hAnsi="Times New Roman" w:cs="Times New Roman"/>
        </w:rPr>
        <w:t xml:space="preserve"> and </w:t>
      </w:r>
      <w:r w:rsidRPr="002C66A9">
        <w:rPr>
          <w:rFonts w:ascii="Times New Roman" w:hAnsi="Times New Roman" w:cs="Times New Roman"/>
          <w:i/>
        </w:rPr>
        <w:t>pbp2b</w:t>
      </w:r>
      <w:r w:rsidRPr="002C66A9">
        <w:rPr>
          <w:rFonts w:ascii="Times New Roman" w:hAnsi="Times New Roman" w:cs="Times New Roman"/>
        </w:rPr>
        <w:t xml:space="preserve"> disruption on cell morphology and oxidative stress response of </w:t>
      </w:r>
      <w:r w:rsidRPr="002C66A9">
        <w:rPr>
          <w:rFonts w:ascii="Times New Roman" w:hAnsi="Times New Roman" w:cs="Times New Roman"/>
          <w:i/>
        </w:rPr>
        <w:t>Streptococcus thermophilus</w:t>
      </w:r>
      <w:r w:rsidRPr="002C66A9">
        <w:rPr>
          <w:rFonts w:ascii="Times New Roman" w:hAnsi="Times New Roman" w:cs="Times New Roman"/>
        </w:rPr>
        <w:t xml:space="preserve"> CNRZ368.</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184, 2821–2826.</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Tobin, P.J., Mani, N., Jayaswal, R.K., 1994. </w:t>
      </w:r>
      <w:proofErr w:type="gramStart"/>
      <w:r w:rsidRPr="002C66A9">
        <w:rPr>
          <w:rFonts w:ascii="Times New Roman" w:hAnsi="Times New Roman" w:cs="Times New Roman"/>
        </w:rPr>
        <w:t xml:space="preserve">Effect of physiological conditions on the autolysis of </w:t>
      </w:r>
      <w:r w:rsidRPr="002C66A9">
        <w:rPr>
          <w:rFonts w:ascii="Times New Roman" w:hAnsi="Times New Roman" w:cs="Times New Roman"/>
          <w:i/>
        </w:rPr>
        <w:t>Staphylococcus aureus</w:t>
      </w:r>
      <w:r w:rsidRPr="002C66A9">
        <w:rPr>
          <w:rFonts w:ascii="Times New Roman" w:hAnsi="Times New Roman" w:cs="Times New Roman"/>
        </w:rPr>
        <w:t xml:space="preserve"> strains.</w:t>
      </w:r>
      <w:proofErr w:type="gramEnd"/>
      <w:r w:rsidRPr="002C66A9">
        <w:rPr>
          <w:rFonts w:ascii="Times New Roman" w:hAnsi="Times New Roman" w:cs="Times New Roman"/>
        </w:rPr>
        <w:t xml:space="preserve"> </w:t>
      </w:r>
      <w:r w:rsidRPr="002C66A9">
        <w:rPr>
          <w:rFonts w:ascii="Times New Roman" w:hAnsi="Times New Roman" w:cs="Times New Roman"/>
          <w:i/>
        </w:rPr>
        <w:t>Antonie Van Leeuwenhoek</w:t>
      </w:r>
      <w:r w:rsidRPr="002C66A9">
        <w:rPr>
          <w:rFonts w:ascii="Times New Roman" w:hAnsi="Times New Roman" w:cs="Times New Roman"/>
        </w:rPr>
        <w:t>. 65, 71–78.</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Touhami, A., Jericho, M.H., Beveridge, T.J., 2004.</w:t>
      </w:r>
      <w:r w:rsidRPr="002C66A9">
        <w:rPr>
          <w:rFonts w:ascii="Times New Roman" w:hAnsi="Times New Roman" w:cs="Times New Roman"/>
        </w:rPr>
        <w:t xml:space="preserve"> </w:t>
      </w:r>
      <w:proofErr w:type="gramStart"/>
      <w:r w:rsidRPr="002C66A9">
        <w:rPr>
          <w:rFonts w:ascii="Times New Roman" w:hAnsi="Times New Roman" w:cs="Times New Roman"/>
        </w:rPr>
        <w:t xml:space="preserve">Atomic force microscopy of cell growth and division in </w:t>
      </w:r>
      <w:r w:rsidRPr="002C66A9">
        <w:rPr>
          <w:rFonts w:ascii="Times New Roman" w:hAnsi="Times New Roman" w:cs="Times New Roman"/>
          <w:i/>
        </w:rPr>
        <w:t>Staphylococcus aureus</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186, 3286–3295.</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lastRenderedPageBreak/>
        <w:t>Tripathi, P., Beaussart, A., Andre, G., Rolain, T., Lebeer, S., Vanderleyden, J., Hols, P., Dufrêne, Y.F., 2012.</w:t>
      </w:r>
      <w:proofErr w:type="gramEnd"/>
      <w:r w:rsidRPr="002C66A9">
        <w:rPr>
          <w:rFonts w:ascii="Times New Roman" w:hAnsi="Times New Roman" w:cs="Times New Roman"/>
        </w:rPr>
        <w:t xml:space="preserve"> [Epub ahead of print Jan 2012] </w:t>
      </w:r>
      <w:proofErr w:type="gramStart"/>
      <w:r w:rsidRPr="002C66A9">
        <w:rPr>
          <w:rFonts w:ascii="Times New Roman" w:hAnsi="Times New Roman" w:cs="Times New Roman"/>
        </w:rPr>
        <w:t>Towards a nanoscale view of lactic acid bacteria.</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Micron</w:t>
      </w:r>
      <w:r w:rsidRPr="002C66A9">
        <w:rPr>
          <w:rFonts w:ascii="Times New Roman" w:hAnsi="Times New Roman" w:cs="Times New Roman"/>
        </w:rPr>
        <w:t>.</w:t>
      </w:r>
      <w:proofErr w:type="gramEnd"/>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Tseng, C.-L., Chen, J.-T., Lin, J.-H., Huang, W.-Z., Shaw, G.-C., 2011.</w:t>
      </w:r>
      <w:proofErr w:type="gramEnd"/>
      <w:r w:rsidRPr="002C66A9">
        <w:rPr>
          <w:rFonts w:ascii="Times New Roman" w:hAnsi="Times New Roman" w:cs="Times New Roman"/>
        </w:rPr>
        <w:t xml:space="preserve"> Genetic evidence for involvement of the alternative sigma factor SigI in controlling expression of the cell wall hydrolase gene </w:t>
      </w:r>
      <w:r w:rsidRPr="002C66A9">
        <w:rPr>
          <w:rFonts w:ascii="Times New Roman" w:hAnsi="Times New Roman" w:cs="Times New Roman"/>
          <w:i/>
        </w:rPr>
        <w:t>lytE</w:t>
      </w:r>
      <w:r w:rsidRPr="002C66A9">
        <w:rPr>
          <w:rFonts w:ascii="Times New Roman" w:hAnsi="Times New Roman" w:cs="Times New Roman"/>
        </w:rPr>
        <w:t xml:space="preserve"> and contribution of LytE to heat survival of </w:t>
      </w:r>
      <w:r w:rsidRPr="002C66A9">
        <w:rPr>
          <w:rFonts w:ascii="Times New Roman" w:hAnsi="Times New Roman" w:cs="Times New Roman"/>
          <w:i/>
        </w:rPr>
        <w:t>Bacillus subtilis</w:t>
      </w:r>
      <w:r w:rsidRPr="002C66A9">
        <w:rPr>
          <w:rFonts w:ascii="Times New Roman" w:hAnsi="Times New Roman" w:cs="Times New Roman"/>
        </w:rPr>
        <w:t xml:space="preserve">. </w:t>
      </w:r>
      <w:r w:rsidRPr="002C66A9">
        <w:rPr>
          <w:rFonts w:ascii="Times New Roman" w:hAnsi="Times New Roman" w:cs="Times New Roman"/>
          <w:i/>
        </w:rPr>
        <w:t>Arch. Microbiol</w:t>
      </w:r>
      <w:r w:rsidRPr="002C66A9">
        <w:rPr>
          <w:rFonts w:ascii="Times New Roman" w:hAnsi="Times New Roman" w:cs="Times New Roman"/>
        </w:rPr>
        <w:t>. 193, 677–685.</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Tsui, H.-C.T., Keen, S.K., Sham, L.-T., Wayne, K.J., Winkler, M.E., 2011.</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 xml:space="preserve">Dynamic distribution of the SecA and SecY translocase subunits and septal localization of the HtrA surface chaperone/protease during </w:t>
      </w:r>
      <w:r w:rsidRPr="002C66A9">
        <w:rPr>
          <w:rFonts w:ascii="Times New Roman" w:hAnsi="Times New Roman" w:cs="Times New Roman"/>
          <w:i/>
        </w:rPr>
        <w:t>Streptococcus pneumoniae</w:t>
      </w:r>
      <w:r w:rsidRPr="002C66A9">
        <w:rPr>
          <w:rFonts w:ascii="Times New Roman" w:hAnsi="Times New Roman" w:cs="Times New Roman"/>
        </w:rPr>
        <w:t xml:space="preserve"> D39 cell division.</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MBio</w:t>
      </w:r>
      <w:r w:rsidRPr="002C66A9">
        <w:rPr>
          <w:rFonts w:ascii="Times New Roman" w:hAnsi="Times New Roman" w:cs="Times New Roman"/>
        </w:rPr>
        <w:t xml:space="preserve"> 2, </w:t>
      </w:r>
      <w:r w:rsidRPr="002C66A9">
        <w:rPr>
          <w:rStyle w:val="slug-elocation"/>
          <w:rFonts w:ascii="Times New Roman" w:hAnsi="Times New Roman" w:cs="Times New Roman"/>
          <w:iCs/>
        </w:rPr>
        <w:t>e00202-11.</w:t>
      </w:r>
      <w:proofErr w:type="gramEnd"/>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Typas, A., Banzhaf, M., Gross, C.A., Vollmer, W., 2012.</w:t>
      </w:r>
      <w:r w:rsidRPr="002C66A9">
        <w:rPr>
          <w:rFonts w:ascii="Times New Roman" w:hAnsi="Times New Roman" w:cs="Times New Roman"/>
        </w:rPr>
        <w:t xml:space="preserve"> </w:t>
      </w:r>
      <w:proofErr w:type="gramStart"/>
      <w:r w:rsidRPr="002C66A9">
        <w:rPr>
          <w:rFonts w:ascii="Times New Roman" w:hAnsi="Times New Roman" w:cs="Times New Roman"/>
        </w:rPr>
        <w:t>From the regulation of peptidoglycan synthesis to bacterial growth and morphology.</w:t>
      </w:r>
      <w:proofErr w:type="gramEnd"/>
      <w:r w:rsidRPr="002C66A9">
        <w:rPr>
          <w:rFonts w:ascii="Times New Roman" w:hAnsi="Times New Roman" w:cs="Times New Roman"/>
        </w:rPr>
        <w:t xml:space="preserve"> </w:t>
      </w:r>
      <w:r w:rsidRPr="002C66A9">
        <w:rPr>
          <w:rFonts w:ascii="Times New Roman" w:hAnsi="Times New Roman" w:cs="Times New Roman"/>
          <w:i/>
        </w:rPr>
        <w:t>Nat. Rev. Microbiol</w:t>
      </w:r>
      <w:r w:rsidRPr="002C66A9">
        <w:rPr>
          <w:rFonts w:ascii="Times New Roman" w:hAnsi="Times New Roman" w:cs="Times New Roman"/>
        </w:rPr>
        <w:t>. 10, 123–136.</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Tzagoloff, H., Novick, R., 1977.</w:t>
      </w:r>
      <w:r w:rsidRPr="002C66A9">
        <w:rPr>
          <w:rFonts w:ascii="Times New Roman" w:hAnsi="Times New Roman" w:cs="Times New Roman"/>
        </w:rPr>
        <w:t xml:space="preserve"> </w:t>
      </w:r>
      <w:proofErr w:type="gramStart"/>
      <w:r w:rsidRPr="002C66A9">
        <w:rPr>
          <w:rFonts w:ascii="Times New Roman" w:hAnsi="Times New Roman" w:cs="Times New Roman"/>
        </w:rPr>
        <w:t xml:space="preserve">Geometry of cell division in </w:t>
      </w:r>
      <w:r w:rsidRPr="002C66A9">
        <w:rPr>
          <w:rFonts w:ascii="Times New Roman" w:hAnsi="Times New Roman" w:cs="Times New Roman"/>
          <w:i/>
        </w:rPr>
        <w:t>Staphylococcus aureus</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129, 343–350.</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Vagner, V., Dervyn, E., Ehrlich, S.D., 1998.</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 xml:space="preserve">A vector for systematic gene inactivation in </w:t>
      </w:r>
      <w:r w:rsidRPr="002C66A9">
        <w:rPr>
          <w:rFonts w:ascii="Times New Roman" w:hAnsi="Times New Roman" w:cs="Times New Roman"/>
          <w:i/>
        </w:rPr>
        <w:t>Bacillus subtilis</w:t>
      </w:r>
      <w:r w:rsidRPr="002C66A9">
        <w:rPr>
          <w:rFonts w:ascii="Times New Roman" w:hAnsi="Times New Roman" w:cs="Times New Roman"/>
        </w:rPr>
        <w:t>.</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Microbiology.</w:t>
      </w:r>
      <w:proofErr w:type="gramEnd"/>
      <w:r w:rsidRPr="002C66A9">
        <w:rPr>
          <w:rFonts w:ascii="Times New Roman" w:hAnsi="Times New Roman" w:cs="Times New Roman"/>
        </w:rPr>
        <w:t xml:space="preserve"> 144, 3097–3104.</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van</w:t>
      </w:r>
      <w:proofErr w:type="gramEnd"/>
      <w:r w:rsidRPr="002C66A9">
        <w:rPr>
          <w:rFonts w:ascii="Times New Roman" w:hAnsi="Times New Roman" w:cs="Times New Roman"/>
          <w:b/>
        </w:rPr>
        <w:t xml:space="preserve"> den Ent, F., Amos, L.A., Löwe, J., 2001.</w:t>
      </w:r>
      <w:r w:rsidRPr="002C66A9">
        <w:rPr>
          <w:rFonts w:ascii="Times New Roman" w:hAnsi="Times New Roman" w:cs="Times New Roman"/>
        </w:rPr>
        <w:t xml:space="preserve"> </w:t>
      </w:r>
      <w:proofErr w:type="gramStart"/>
      <w:r w:rsidRPr="002C66A9">
        <w:rPr>
          <w:rFonts w:ascii="Times New Roman" w:hAnsi="Times New Roman" w:cs="Times New Roman"/>
        </w:rPr>
        <w:t>Prokaryotic origin of the actin cytoskeleton</w:t>
      </w:r>
      <w:r w:rsidRPr="002C66A9">
        <w:rPr>
          <w:rFonts w:ascii="Times New Roman" w:hAnsi="Times New Roman" w:cs="Times New Roman"/>
          <w:i/>
        </w:rPr>
        <w:t>.</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Nature.</w:t>
      </w:r>
      <w:proofErr w:type="gramEnd"/>
      <w:r w:rsidRPr="002C66A9">
        <w:rPr>
          <w:rFonts w:ascii="Times New Roman" w:hAnsi="Times New Roman" w:cs="Times New Roman"/>
        </w:rPr>
        <w:t xml:space="preserve"> 413, 39–44.</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van</w:t>
      </w:r>
      <w:proofErr w:type="gramEnd"/>
      <w:r w:rsidRPr="002C66A9">
        <w:rPr>
          <w:rFonts w:ascii="Times New Roman" w:hAnsi="Times New Roman" w:cs="Times New Roman"/>
          <w:b/>
        </w:rPr>
        <w:t xml:space="preserve"> Heijenoort, J., 2001. </w:t>
      </w:r>
      <w:proofErr w:type="gramStart"/>
      <w:r w:rsidRPr="002C66A9">
        <w:rPr>
          <w:rFonts w:ascii="Times New Roman" w:hAnsi="Times New Roman" w:cs="Times New Roman"/>
        </w:rPr>
        <w:t>Formation of the glycan chains in the synthesis of bacterial peptidoglycan.</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Glycobiology</w:t>
      </w:r>
      <w:r w:rsidRPr="002C66A9">
        <w:rPr>
          <w:rFonts w:ascii="Times New Roman" w:hAnsi="Times New Roman" w:cs="Times New Roman"/>
        </w:rPr>
        <w:t>.</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11, 25R–36R.</w:t>
      </w:r>
      <w:proofErr w:type="gramEnd"/>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Vázquez-Laslop, N., Lee, H., Hu, R., Neyfakh, A.A., 2001.</w:t>
      </w:r>
      <w:proofErr w:type="gramEnd"/>
      <w:r w:rsidRPr="002C66A9">
        <w:rPr>
          <w:rFonts w:ascii="Times New Roman" w:hAnsi="Times New Roman" w:cs="Times New Roman"/>
        </w:rPr>
        <w:t xml:space="preserve"> Molecular sieve mechanism of selective release of cytoplasmic proteins by osmotically shocked </w:t>
      </w:r>
      <w:r w:rsidRPr="002C66A9">
        <w:rPr>
          <w:rFonts w:ascii="Times New Roman" w:hAnsi="Times New Roman" w:cs="Times New Roman"/>
          <w:i/>
        </w:rPr>
        <w:t>Escherichia coli</w:t>
      </w:r>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183, 2399–2404.</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Veiga, H., Jorge, A.M., Pinho, M.G., 2011. </w:t>
      </w:r>
      <w:r w:rsidRPr="002C66A9">
        <w:rPr>
          <w:rFonts w:ascii="Times New Roman" w:hAnsi="Times New Roman" w:cs="Times New Roman"/>
        </w:rPr>
        <w:t xml:space="preserve">Absence of nucleoid occlusion effector Noc impairs formation of orthogonal FtsZ rings during </w:t>
      </w:r>
      <w:r w:rsidRPr="002C66A9">
        <w:rPr>
          <w:rFonts w:ascii="Times New Roman" w:hAnsi="Times New Roman" w:cs="Times New Roman"/>
          <w:i/>
        </w:rPr>
        <w:t>Staphylococcus aureus</w:t>
      </w:r>
      <w:r w:rsidRPr="002C66A9">
        <w:rPr>
          <w:rFonts w:ascii="Times New Roman" w:hAnsi="Times New Roman" w:cs="Times New Roman"/>
        </w:rPr>
        <w:t xml:space="preserve"> cell division. </w:t>
      </w:r>
      <w:r w:rsidRPr="002C66A9">
        <w:rPr>
          <w:rFonts w:ascii="Times New Roman" w:hAnsi="Times New Roman" w:cs="Times New Roman"/>
          <w:i/>
        </w:rPr>
        <w:t>Mol. Microbiol</w:t>
      </w:r>
      <w:r w:rsidRPr="002C66A9">
        <w:rPr>
          <w:rFonts w:ascii="Times New Roman" w:hAnsi="Times New Roman" w:cs="Times New Roman"/>
        </w:rPr>
        <w:t>. 80, 1366–1380.</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Verwer, R.W., Nanninga, N., 1976. </w:t>
      </w:r>
      <w:r w:rsidRPr="002C66A9">
        <w:rPr>
          <w:rFonts w:ascii="Times New Roman" w:hAnsi="Times New Roman" w:cs="Times New Roman"/>
        </w:rPr>
        <w:t xml:space="preserve">Electron microscopy of isolated cell walls of </w:t>
      </w:r>
      <w:r w:rsidRPr="002C66A9">
        <w:rPr>
          <w:rFonts w:ascii="Times New Roman" w:hAnsi="Times New Roman" w:cs="Times New Roman"/>
          <w:i/>
        </w:rPr>
        <w:t>Bacillus subtilis</w:t>
      </w:r>
      <w:r w:rsidRPr="002C66A9">
        <w:rPr>
          <w:rFonts w:ascii="Times New Roman" w:hAnsi="Times New Roman" w:cs="Times New Roman"/>
        </w:rPr>
        <w:t xml:space="preserve"> var. </w:t>
      </w:r>
      <w:proofErr w:type="gramStart"/>
      <w:r w:rsidRPr="002C66A9">
        <w:rPr>
          <w:rFonts w:ascii="Times New Roman" w:hAnsi="Times New Roman" w:cs="Times New Roman"/>
          <w:i/>
        </w:rPr>
        <w:t>niger</w:t>
      </w:r>
      <w:proofErr w:type="gramEnd"/>
      <w:r w:rsidRPr="002C66A9">
        <w:rPr>
          <w:rFonts w:ascii="Times New Roman" w:hAnsi="Times New Roman" w:cs="Times New Roman"/>
        </w:rPr>
        <w:t xml:space="preserve">. </w:t>
      </w:r>
      <w:r w:rsidRPr="002C66A9">
        <w:rPr>
          <w:rFonts w:ascii="Times New Roman" w:hAnsi="Times New Roman" w:cs="Times New Roman"/>
          <w:i/>
        </w:rPr>
        <w:t>Arch. Microbiol</w:t>
      </w:r>
      <w:r w:rsidRPr="002C66A9">
        <w:rPr>
          <w:rFonts w:ascii="Times New Roman" w:hAnsi="Times New Roman" w:cs="Times New Roman"/>
        </w:rPr>
        <w:t>. 109, 195–197.</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Vijaranakul, U., Nadakavukaren, M.J., de Jonge, B.L., Wilkinson, B.J., Jayaswal, R.K., 1995. </w:t>
      </w:r>
      <w:proofErr w:type="gramStart"/>
      <w:r w:rsidRPr="002C66A9">
        <w:rPr>
          <w:rFonts w:ascii="Times New Roman" w:hAnsi="Times New Roman" w:cs="Times New Roman"/>
        </w:rPr>
        <w:t xml:space="preserve">Increased cell size and shortened peptidoglycan interpeptide bridge of NaCl-stressed </w:t>
      </w:r>
      <w:r w:rsidRPr="002C66A9">
        <w:rPr>
          <w:rFonts w:ascii="Times New Roman" w:hAnsi="Times New Roman" w:cs="Times New Roman"/>
          <w:i/>
        </w:rPr>
        <w:t>Staphylococcus aureus</w:t>
      </w:r>
      <w:r w:rsidRPr="002C66A9">
        <w:rPr>
          <w:rFonts w:ascii="Times New Roman" w:hAnsi="Times New Roman" w:cs="Times New Roman"/>
        </w:rPr>
        <w:t xml:space="preserve"> and their reversal by glycine betaine.</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177, 5116–5121.</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Vinatier, V., Blakey, C.B., Braddick, D., Johnson, B.R.G., Evans, S.D., Bugg, T.D.H., 2009.</w:t>
      </w:r>
      <w:proofErr w:type="gramEnd"/>
      <w:r w:rsidRPr="002C66A9">
        <w:rPr>
          <w:rFonts w:ascii="Times New Roman" w:hAnsi="Times New Roman" w:cs="Times New Roman"/>
          <w:b/>
        </w:rPr>
        <w:t xml:space="preserve"> </w:t>
      </w:r>
      <w:r w:rsidRPr="002C66A9">
        <w:rPr>
          <w:rFonts w:ascii="Times New Roman" w:hAnsi="Times New Roman" w:cs="Times New Roman"/>
          <w:i/>
        </w:rPr>
        <w:t>In vitro</w:t>
      </w:r>
      <w:r w:rsidRPr="002C66A9">
        <w:rPr>
          <w:rFonts w:ascii="Times New Roman" w:hAnsi="Times New Roman" w:cs="Times New Roman"/>
        </w:rPr>
        <w:t xml:space="preserve"> biosynthesis of bacterial peptidoglycan using </w:t>
      </w:r>
      <w:r w:rsidRPr="002C66A9">
        <w:rPr>
          <w:rFonts w:ascii="Times New Roman" w:hAnsi="Times New Roman" w:cs="Times New Roman"/>
          <w:sz w:val="16"/>
          <w:szCs w:val="16"/>
        </w:rPr>
        <w:t>D</w:t>
      </w:r>
      <w:r w:rsidRPr="002C66A9">
        <w:rPr>
          <w:rFonts w:ascii="Times New Roman" w:hAnsi="Times New Roman" w:cs="Times New Roman"/>
        </w:rPr>
        <w:t xml:space="preserve">-Cys-containing precursors: fluorescent detection of transglycosylation and transpeptidation. </w:t>
      </w:r>
      <w:r w:rsidRPr="002C66A9">
        <w:rPr>
          <w:rFonts w:ascii="Times New Roman" w:hAnsi="Times New Roman" w:cs="Times New Roman"/>
          <w:i/>
        </w:rPr>
        <w:t>Chem. Commun</w:t>
      </w:r>
      <w:r w:rsidRPr="002C66A9">
        <w:rPr>
          <w:rFonts w:ascii="Times New Roman" w:hAnsi="Times New Roman" w:cs="Times New Roman"/>
        </w:rPr>
        <w:t>. 4037–4039.</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Vollmer, W., 2008.</w:t>
      </w:r>
      <w:proofErr w:type="gramEnd"/>
      <w:r w:rsidRPr="002C66A9">
        <w:rPr>
          <w:rFonts w:ascii="Times New Roman" w:hAnsi="Times New Roman" w:cs="Times New Roman"/>
        </w:rPr>
        <w:t xml:space="preserve"> Structural variation in the glycan strands of bacterial peptidoglycan. </w:t>
      </w:r>
      <w:proofErr w:type="gramStart"/>
      <w:r w:rsidRPr="002C66A9">
        <w:rPr>
          <w:rFonts w:ascii="Times New Roman" w:hAnsi="Times New Roman" w:cs="Times New Roman"/>
          <w:i/>
        </w:rPr>
        <w:t>FEMS Microbiol.</w:t>
      </w:r>
      <w:proofErr w:type="gramEnd"/>
      <w:r w:rsidRPr="002C66A9">
        <w:rPr>
          <w:rFonts w:ascii="Times New Roman" w:hAnsi="Times New Roman" w:cs="Times New Roman"/>
          <w:i/>
        </w:rPr>
        <w:t xml:space="preserve"> Rev</w:t>
      </w:r>
      <w:r w:rsidRPr="002C66A9">
        <w:rPr>
          <w:rFonts w:ascii="Times New Roman" w:hAnsi="Times New Roman" w:cs="Times New Roman"/>
        </w:rPr>
        <w:t>. 32, 287–306.</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Vollmer, W., Höltje, J.-V., 2004.</w:t>
      </w:r>
      <w:proofErr w:type="gramEnd"/>
      <w:r w:rsidRPr="002C66A9">
        <w:rPr>
          <w:rFonts w:ascii="Times New Roman" w:hAnsi="Times New Roman" w:cs="Times New Roman"/>
        </w:rPr>
        <w:t xml:space="preserve"> The architecture of the murein (peptidoglycan) in Gram-negative bacteria: vertical scaffold or horizontal layer(s)? </w:t>
      </w:r>
      <w:r w:rsidRPr="002C66A9">
        <w:rPr>
          <w:rFonts w:ascii="Times New Roman" w:hAnsi="Times New Roman" w:cs="Times New Roman"/>
          <w:i/>
        </w:rPr>
        <w:t>J. Bacteriol</w:t>
      </w:r>
      <w:r w:rsidRPr="002C66A9">
        <w:rPr>
          <w:rFonts w:ascii="Times New Roman" w:hAnsi="Times New Roman" w:cs="Times New Roman"/>
        </w:rPr>
        <w:t>. 186, 5978–5987.</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Vollmer, W., Joris, B., Charlier, P., Foster, S., 2008.</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Bacterial peptidoglycan (murein) hydrolases.</w:t>
      </w:r>
      <w:proofErr w:type="gramEnd"/>
      <w:r w:rsidRPr="002C66A9">
        <w:rPr>
          <w:rFonts w:ascii="Times New Roman" w:hAnsi="Times New Roman" w:cs="Times New Roman"/>
        </w:rPr>
        <w:t xml:space="preserve"> </w:t>
      </w:r>
      <w:r w:rsidRPr="002C66A9">
        <w:rPr>
          <w:rFonts w:ascii="Times New Roman" w:hAnsi="Times New Roman" w:cs="Times New Roman"/>
          <w:i/>
        </w:rPr>
        <w:t>FEMS Microbiol Rev</w:t>
      </w:r>
      <w:r w:rsidRPr="002C66A9">
        <w:rPr>
          <w:rFonts w:ascii="Times New Roman" w:hAnsi="Times New Roman" w:cs="Times New Roman"/>
        </w:rPr>
        <w:t xml:space="preserve"> 32, 259–286.</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lang w:val="de-DE"/>
        </w:rPr>
        <w:t>Vollmer, W., Seligman, S.J., 2010.</w:t>
      </w:r>
      <w:r w:rsidRPr="002C66A9">
        <w:rPr>
          <w:rFonts w:ascii="Times New Roman" w:hAnsi="Times New Roman" w:cs="Times New Roman"/>
          <w:lang w:val="de-DE"/>
        </w:rPr>
        <w:t xml:space="preserve"> </w:t>
      </w:r>
      <w:r w:rsidRPr="002C66A9">
        <w:rPr>
          <w:rFonts w:ascii="Times New Roman" w:hAnsi="Times New Roman" w:cs="Times New Roman"/>
        </w:rPr>
        <w:t xml:space="preserve">Architecture of peptidoglycan: more data and more models. </w:t>
      </w:r>
      <w:proofErr w:type="gramStart"/>
      <w:r w:rsidRPr="002C66A9">
        <w:rPr>
          <w:rFonts w:ascii="Times New Roman" w:hAnsi="Times New Roman" w:cs="Times New Roman"/>
          <w:i/>
        </w:rPr>
        <w:t>Trends Microbiol</w:t>
      </w:r>
      <w:r w:rsidRPr="002C66A9">
        <w:rPr>
          <w:rFonts w:ascii="Times New Roman" w:hAnsi="Times New Roman" w:cs="Times New Roman"/>
        </w:rPr>
        <w:t>.</w:t>
      </w:r>
      <w:proofErr w:type="gramEnd"/>
      <w:r w:rsidRPr="002C66A9">
        <w:rPr>
          <w:rFonts w:ascii="Times New Roman" w:hAnsi="Times New Roman" w:cs="Times New Roman"/>
        </w:rPr>
        <w:t xml:space="preserve"> 18, 59–66.</w:t>
      </w:r>
    </w:p>
    <w:p w:rsidR="009831BC" w:rsidRPr="002C66A9" w:rsidRDefault="009831BC" w:rsidP="009831BC">
      <w:pPr>
        <w:pStyle w:val="Bibliography"/>
        <w:spacing w:after="100"/>
        <w:ind w:left="284" w:hanging="284"/>
        <w:jc w:val="both"/>
        <w:rPr>
          <w:rFonts w:ascii="Times New Roman" w:hAnsi="Times New Roman" w:cs="Times New Roman"/>
          <w:lang w:val="de-DE"/>
        </w:rPr>
      </w:pPr>
      <w:proofErr w:type="gramStart"/>
      <w:r w:rsidRPr="002C66A9">
        <w:rPr>
          <w:rFonts w:ascii="Times New Roman" w:hAnsi="Times New Roman" w:cs="Times New Roman"/>
          <w:b/>
        </w:rPr>
        <w:t>Vollmer, W., Tomasz, A., 2000.</w:t>
      </w:r>
      <w:proofErr w:type="gramEnd"/>
      <w:r w:rsidRPr="002C66A9">
        <w:rPr>
          <w:rFonts w:ascii="Times New Roman" w:hAnsi="Times New Roman" w:cs="Times New Roman"/>
        </w:rPr>
        <w:t xml:space="preserve"> The </w:t>
      </w:r>
      <w:r w:rsidRPr="002C66A9">
        <w:rPr>
          <w:rFonts w:ascii="Times New Roman" w:hAnsi="Times New Roman" w:cs="Times New Roman"/>
          <w:i/>
        </w:rPr>
        <w:t>pgdA</w:t>
      </w:r>
      <w:r w:rsidRPr="002C66A9">
        <w:rPr>
          <w:rFonts w:ascii="Times New Roman" w:hAnsi="Times New Roman" w:cs="Times New Roman"/>
        </w:rPr>
        <w:t xml:space="preserve"> gene encodes for a peptidoglycan </w:t>
      </w:r>
      <w:r w:rsidRPr="002C66A9">
        <w:rPr>
          <w:rFonts w:ascii="Times New Roman" w:hAnsi="Times New Roman" w:cs="Times New Roman"/>
          <w:i/>
        </w:rPr>
        <w:t>N</w:t>
      </w:r>
      <w:r w:rsidRPr="002C66A9">
        <w:rPr>
          <w:rFonts w:ascii="Times New Roman" w:hAnsi="Times New Roman" w:cs="Times New Roman"/>
        </w:rPr>
        <w:t xml:space="preserve">-acetylglucosamine deacetylase in </w:t>
      </w:r>
      <w:r w:rsidRPr="002C66A9">
        <w:rPr>
          <w:rFonts w:ascii="Times New Roman" w:hAnsi="Times New Roman" w:cs="Times New Roman"/>
          <w:i/>
        </w:rPr>
        <w:t>Streptococcus pneumoniae</w:t>
      </w:r>
      <w:r w:rsidRPr="002C66A9">
        <w:rPr>
          <w:rFonts w:ascii="Times New Roman" w:hAnsi="Times New Roman" w:cs="Times New Roman"/>
        </w:rPr>
        <w:t xml:space="preserve">. </w:t>
      </w:r>
      <w:r w:rsidRPr="002C66A9">
        <w:rPr>
          <w:rFonts w:ascii="Times New Roman" w:hAnsi="Times New Roman" w:cs="Times New Roman"/>
          <w:i/>
          <w:lang w:val="de-DE"/>
        </w:rPr>
        <w:t>J. Biol. Chem</w:t>
      </w:r>
      <w:r w:rsidRPr="002C66A9">
        <w:rPr>
          <w:rFonts w:ascii="Times New Roman" w:hAnsi="Times New Roman" w:cs="Times New Roman"/>
          <w:lang w:val="de-DE"/>
        </w:rPr>
        <w:t>. 275, 20496–20501.</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lang w:val="de-DE"/>
        </w:rPr>
        <w:lastRenderedPageBreak/>
        <w:t>Vollmer, W., von Rechenberg, M., Höltje, J.V., 1999.</w:t>
      </w:r>
      <w:r w:rsidRPr="002C66A9">
        <w:rPr>
          <w:rFonts w:ascii="Times New Roman" w:hAnsi="Times New Roman" w:cs="Times New Roman"/>
          <w:i/>
          <w:lang w:val="de-DE"/>
        </w:rPr>
        <w:t xml:space="preserve"> </w:t>
      </w:r>
      <w:proofErr w:type="gramStart"/>
      <w:r w:rsidRPr="002C66A9">
        <w:rPr>
          <w:rFonts w:ascii="Times New Roman" w:hAnsi="Times New Roman" w:cs="Times New Roman"/>
        </w:rPr>
        <w:t xml:space="preserve">Demonstration of molecular interactions between the murein polymerase PBP1B, the lytic transglycosylase MltA, and the scaffolding protein MipA of </w:t>
      </w:r>
      <w:r w:rsidRPr="002C66A9">
        <w:rPr>
          <w:rFonts w:ascii="Times New Roman" w:hAnsi="Times New Roman" w:cs="Times New Roman"/>
          <w:i/>
        </w:rPr>
        <w:t>Escherichia coli</w:t>
      </w:r>
      <w:r w:rsidRPr="002C66A9">
        <w:rPr>
          <w:rFonts w:ascii="Times New Roman" w:hAnsi="Times New Roman" w:cs="Times New Roman"/>
        </w:rPr>
        <w:t>.</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J. Biol. Chem</w:t>
      </w:r>
      <w:r w:rsidRPr="002C66A9">
        <w:rPr>
          <w:rFonts w:ascii="Times New Roman" w:hAnsi="Times New Roman" w:cs="Times New Roman"/>
        </w:rPr>
        <w:t>. 274, 6726–6734.</w:t>
      </w:r>
      <w:proofErr w:type="gramEnd"/>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Wang, P., Robert, L., Pelletier, J., Dang, W.L., Taddei, F., Wright, A., Jun, S., 2010a.</w:t>
      </w:r>
      <w:proofErr w:type="gramEnd"/>
      <w:r w:rsidRPr="002C66A9">
        <w:rPr>
          <w:rFonts w:ascii="Times New Roman" w:hAnsi="Times New Roman" w:cs="Times New Roman"/>
          <w:b/>
        </w:rPr>
        <w:t xml:space="preserve"> </w:t>
      </w:r>
      <w:proofErr w:type="gramStart"/>
      <w:r w:rsidRPr="002C66A9">
        <w:rPr>
          <w:rFonts w:ascii="Times New Roman" w:hAnsi="Times New Roman" w:cs="Times New Roman"/>
        </w:rPr>
        <w:t xml:space="preserve">Robust growth of </w:t>
      </w:r>
      <w:r w:rsidRPr="002C66A9">
        <w:rPr>
          <w:rFonts w:ascii="Times New Roman" w:hAnsi="Times New Roman" w:cs="Times New Roman"/>
          <w:i/>
        </w:rPr>
        <w:t>Escherichia coli</w:t>
      </w:r>
      <w:r w:rsidRPr="002C66A9">
        <w:rPr>
          <w:rFonts w:ascii="Times New Roman" w:hAnsi="Times New Roman" w:cs="Times New Roman"/>
        </w:rPr>
        <w:t>.</w:t>
      </w:r>
      <w:proofErr w:type="gramEnd"/>
      <w:r w:rsidRPr="002C66A9">
        <w:rPr>
          <w:rFonts w:ascii="Times New Roman" w:hAnsi="Times New Roman" w:cs="Times New Roman"/>
        </w:rPr>
        <w:t xml:space="preserve"> Curr Biol 20, 1099–1103.</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Wang, S., Arellano-Santoyo, H., Combs, P.A., Shaevitz, J.W., 2010b.</w:t>
      </w:r>
      <w:proofErr w:type="gramEnd"/>
      <w:r w:rsidRPr="002C66A9">
        <w:rPr>
          <w:rFonts w:ascii="Times New Roman" w:hAnsi="Times New Roman" w:cs="Times New Roman"/>
        </w:rPr>
        <w:t xml:space="preserve"> Actin-like cytoskeleton filaments contribute to cell mechanics in bacteria. </w:t>
      </w:r>
      <w:proofErr w:type="gramStart"/>
      <w:r w:rsidRPr="002C66A9">
        <w:rPr>
          <w:rFonts w:ascii="Times New Roman" w:hAnsi="Times New Roman" w:cs="Times New Roman"/>
          <w:i/>
        </w:rPr>
        <w:t>Proc. Natl. Acad. Sci. U.S.A</w:t>
      </w:r>
      <w:r w:rsidRPr="002C66A9">
        <w:rPr>
          <w:rFonts w:ascii="Times New Roman" w:hAnsi="Times New Roman" w:cs="Times New Roman"/>
        </w:rPr>
        <w:t>. 107, 9182–9185.</w:t>
      </w:r>
      <w:proofErr w:type="gramEnd"/>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Wang, S., Furchtgott, L., Huang, K.C., Shaevitz, J.W., 2012.</w:t>
      </w:r>
      <w:proofErr w:type="gramEnd"/>
      <w:r w:rsidRPr="002C66A9">
        <w:rPr>
          <w:rFonts w:ascii="Times New Roman" w:hAnsi="Times New Roman" w:cs="Times New Roman"/>
          <w:b/>
        </w:rPr>
        <w:t xml:space="preserve"> </w:t>
      </w:r>
      <w:r w:rsidRPr="002C66A9">
        <w:rPr>
          <w:rFonts w:ascii="Times New Roman" w:hAnsi="Times New Roman" w:cs="Times New Roman"/>
        </w:rPr>
        <w:t xml:space="preserve">Helical insertion of peptidoglycan produces chiral ordering of the bacterial cell wall. </w:t>
      </w:r>
      <w:proofErr w:type="gramStart"/>
      <w:r w:rsidRPr="002C66A9">
        <w:rPr>
          <w:rFonts w:ascii="Times New Roman" w:hAnsi="Times New Roman" w:cs="Times New Roman"/>
          <w:i/>
        </w:rPr>
        <w:t>Proc. Natl. Acad. Sci. U.S.A</w:t>
      </w:r>
      <w:r w:rsidRPr="002C66A9">
        <w:rPr>
          <w:rFonts w:ascii="Times New Roman" w:hAnsi="Times New Roman" w:cs="Times New Roman"/>
        </w:rPr>
        <w:t>. 109, E595–604.</w:t>
      </w:r>
      <w:proofErr w:type="gramEnd"/>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Ward, J.B., 1973.</w:t>
      </w:r>
      <w:r w:rsidRPr="002C66A9">
        <w:rPr>
          <w:rFonts w:ascii="Times New Roman" w:hAnsi="Times New Roman" w:cs="Times New Roman"/>
        </w:rPr>
        <w:t xml:space="preserve"> </w:t>
      </w:r>
      <w:proofErr w:type="gramStart"/>
      <w:r w:rsidRPr="002C66A9">
        <w:rPr>
          <w:rFonts w:ascii="Times New Roman" w:hAnsi="Times New Roman" w:cs="Times New Roman"/>
        </w:rPr>
        <w:t>The chain length of the glycans in bacterial cell walls.</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Biochem.</w:t>
      </w:r>
      <w:proofErr w:type="gramEnd"/>
      <w:r w:rsidRPr="002C66A9">
        <w:rPr>
          <w:rFonts w:ascii="Times New Roman" w:hAnsi="Times New Roman" w:cs="Times New Roman"/>
          <w:i/>
        </w:rPr>
        <w:t xml:space="preserve"> J</w:t>
      </w:r>
      <w:r w:rsidRPr="002C66A9">
        <w:rPr>
          <w:rFonts w:ascii="Times New Roman" w:hAnsi="Times New Roman" w:cs="Times New Roman"/>
        </w:rPr>
        <w:t>. 133, 395–398.</w:t>
      </w:r>
    </w:p>
    <w:p w:rsidR="009831BC" w:rsidRPr="002C66A9" w:rsidRDefault="009831BC" w:rsidP="009831BC">
      <w:pPr>
        <w:pStyle w:val="Bibliography"/>
        <w:spacing w:after="100"/>
        <w:ind w:left="284" w:hanging="284"/>
        <w:jc w:val="both"/>
        <w:rPr>
          <w:rFonts w:ascii="Times New Roman" w:hAnsi="Times New Roman" w:cs="Times New Roman"/>
          <w:lang w:val="de-DE"/>
        </w:rPr>
      </w:pPr>
      <w:proofErr w:type="gramStart"/>
      <w:r w:rsidRPr="002C66A9">
        <w:rPr>
          <w:rFonts w:ascii="Times New Roman" w:hAnsi="Times New Roman" w:cs="Times New Roman"/>
          <w:b/>
        </w:rPr>
        <w:t>Ward,</w:t>
      </w:r>
      <w:proofErr w:type="gramEnd"/>
      <w:r w:rsidRPr="002C66A9">
        <w:rPr>
          <w:rFonts w:ascii="Times New Roman" w:hAnsi="Times New Roman" w:cs="Times New Roman"/>
          <w:b/>
        </w:rPr>
        <w:t xml:space="preserve"> J.B., Perkins, H.R., 1973. </w:t>
      </w:r>
      <w:proofErr w:type="gramStart"/>
      <w:r w:rsidRPr="002C66A9">
        <w:rPr>
          <w:rFonts w:ascii="Times New Roman" w:hAnsi="Times New Roman" w:cs="Times New Roman"/>
        </w:rPr>
        <w:t>The direction of glycan synthesis in a bacterial peptidoglycan.</w:t>
      </w:r>
      <w:proofErr w:type="gramEnd"/>
      <w:r w:rsidRPr="002C66A9">
        <w:rPr>
          <w:rFonts w:ascii="Times New Roman" w:hAnsi="Times New Roman" w:cs="Times New Roman"/>
        </w:rPr>
        <w:t xml:space="preserve"> </w:t>
      </w:r>
      <w:r w:rsidRPr="002C66A9">
        <w:rPr>
          <w:rFonts w:ascii="Times New Roman" w:hAnsi="Times New Roman" w:cs="Times New Roman"/>
          <w:i/>
          <w:lang w:val="de-DE"/>
        </w:rPr>
        <w:t>Biochem. J</w:t>
      </w:r>
      <w:r w:rsidRPr="002C66A9">
        <w:rPr>
          <w:rFonts w:ascii="Times New Roman" w:hAnsi="Times New Roman" w:cs="Times New Roman"/>
          <w:lang w:val="de-DE"/>
        </w:rPr>
        <w:t>. 135, 721–728.</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lang w:val="de-DE"/>
        </w:rPr>
        <w:t>Weber, J.R., Moreillon, P., Tuomanen, E.I., 2003.</w:t>
      </w:r>
      <w:r w:rsidRPr="002C66A9">
        <w:rPr>
          <w:rFonts w:ascii="Times New Roman" w:hAnsi="Times New Roman" w:cs="Times New Roman"/>
          <w:lang w:val="de-DE"/>
        </w:rPr>
        <w:t xml:space="preserve"> </w:t>
      </w:r>
      <w:proofErr w:type="gramStart"/>
      <w:r w:rsidRPr="002C66A9">
        <w:rPr>
          <w:rFonts w:ascii="Times New Roman" w:hAnsi="Times New Roman" w:cs="Times New Roman"/>
        </w:rPr>
        <w:t>Innate sensors for Gram-positive bacteria.</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Curr.</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Opin.</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Immunol</w:t>
      </w:r>
      <w:r w:rsidRPr="002C66A9">
        <w:rPr>
          <w:rFonts w:ascii="Times New Roman" w:hAnsi="Times New Roman" w:cs="Times New Roman"/>
        </w:rPr>
        <w:t>.</w:t>
      </w:r>
      <w:proofErr w:type="gramEnd"/>
      <w:r w:rsidRPr="002C66A9">
        <w:rPr>
          <w:rFonts w:ascii="Times New Roman" w:hAnsi="Times New Roman" w:cs="Times New Roman"/>
        </w:rPr>
        <w:t xml:space="preserve"> 15, 408–415.</w:t>
      </w:r>
    </w:p>
    <w:p w:rsidR="009831BC" w:rsidRPr="002C66A9" w:rsidRDefault="009831BC" w:rsidP="009831BC">
      <w:pPr>
        <w:pStyle w:val="Bibliography"/>
        <w:spacing w:after="100"/>
        <w:ind w:left="284" w:hanging="284"/>
        <w:rPr>
          <w:rFonts w:ascii="Times New Roman" w:hAnsi="Times New Roman" w:cs="Times New Roman"/>
        </w:rPr>
      </w:pPr>
      <w:r w:rsidRPr="002C66A9">
        <w:rPr>
          <w:rFonts w:ascii="Times New Roman" w:hAnsi="Times New Roman" w:cs="Times New Roman"/>
        </w:rPr>
        <w:fldChar w:fldCharType="begin"/>
      </w:r>
      <w:r w:rsidRPr="002C66A9">
        <w:rPr>
          <w:rFonts w:ascii="Times New Roman" w:hAnsi="Times New Roman" w:cs="Times New Roman"/>
          <w:lang w:val="de-DE"/>
        </w:rPr>
        <w:instrText xml:space="preserve"> ADDIN ZOTERO_BIBL {"custom":[]} CSL_BIBLIOGRAPHY </w:instrText>
      </w:r>
      <w:r w:rsidRPr="002C66A9">
        <w:rPr>
          <w:rFonts w:ascii="Times New Roman" w:hAnsi="Times New Roman" w:cs="Times New Roman"/>
        </w:rPr>
        <w:fldChar w:fldCharType="separate"/>
      </w:r>
      <w:r w:rsidRPr="002C66A9">
        <w:rPr>
          <w:rFonts w:ascii="Times New Roman" w:hAnsi="Times New Roman" w:cs="Times New Roman"/>
          <w:b/>
        </w:rPr>
        <w:t>Weidel, W., Pelzer, H., 1964.</w:t>
      </w:r>
      <w:r w:rsidRPr="002C66A9">
        <w:rPr>
          <w:rFonts w:ascii="Times New Roman" w:hAnsi="Times New Roman" w:cs="Times New Roman"/>
        </w:rPr>
        <w:t xml:space="preserve"> Bagshaped macromolecules--a new outlook on bacterial cell walls. </w:t>
      </w:r>
      <w:r w:rsidRPr="002C66A9">
        <w:rPr>
          <w:rFonts w:ascii="Times New Roman" w:hAnsi="Times New Roman" w:cs="Times New Roman"/>
          <w:i/>
        </w:rPr>
        <w:t>Adv. Enzymol. Relat. Areas Mol. Biol.</w:t>
      </w:r>
      <w:r w:rsidRPr="002C66A9">
        <w:rPr>
          <w:rFonts w:ascii="Times New Roman" w:hAnsi="Times New Roman" w:cs="Times New Roman"/>
        </w:rPr>
        <w:t xml:space="preserve"> 26, 193–232.</w:t>
      </w:r>
    </w:p>
    <w:p w:rsidR="009831BC" w:rsidRPr="002C66A9" w:rsidRDefault="009831BC" w:rsidP="009831BC">
      <w:pPr>
        <w:spacing w:after="100" w:line="240" w:lineRule="auto"/>
        <w:ind w:left="284" w:hanging="284"/>
        <w:rPr>
          <w:rFonts w:ascii="Times New Roman" w:hAnsi="Times New Roman" w:cs="Times New Roman"/>
        </w:rPr>
      </w:pPr>
      <w:r w:rsidRPr="002C66A9">
        <w:rPr>
          <w:rFonts w:ascii="Times New Roman" w:hAnsi="Times New Roman" w:cs="Times New Roman"/>
        </w:rPr>
        <w:fldChar w:fldCharType="end"/>
      </w:r>
      <w:r w:rsidRPr="002C66A9">
        <w:rPr>
          <w:rFonts w:ascii="Times New Roman" w:hAnsi="Times New Roman" w:cs="Times New Roman"/>
          <w:b/>
        </w:rPr>
        <w:t xml:space="preserve">Willemse, J., Borst, J.W., de Waal, E., Bisseling, T., van Wezel, G.P., 2011. </w:t>
      </w:r>
      <w:r w:rsidRPr="002C66A9">
        <w:rPr>
          <w:rFonts w:ascii="Times New Roman" w:hAnsi="Times New Roman" w:cs="Times New Roman"/>
        </w:rPr>
        <w:t xml:space="preserve">Positive control of cell division: FtsZ is recruited by SsgB during sporulation of </w:t>
      </w:r>
      <w:r w:rsidRPr="002C66A9">
        <w:rPr>
          <w:rFonts w:ascii="Times New Roman" w:hAnsi="Times New Roman" w:cs="Times New Roman"/>
          <w:i/>
        </w:rPr>
        <w:t>Streptomyces</w:t>
      </w:r>
      <w:r w:rsidRPr="002C66A9">
        <w:rPr>
          <w:rFonts w:ascii="Times New Roman" w:hAnsi="Times New Roman" w:cs="Times New Roman"/>
        </w:rPr>
        <w:t xml:space="preserve">. </w:t>
      </w:r>
      <w:r w:rsidRPr="002C66A9">
        <w:rPr>
          <w:rFonts w:ascii="Times New Roman" w:hAnsi="Times New Roman" w:cs="Times New Roman"/>
          <w:i/>
        </w:rPr>
        <w:t>Genes Dev</w:t>
      </w:r>
      <w:r w:rsidRPr="002C66A9">
        <w:rPr>
          <w:rFonts w:ascii="Times New Roman" w:hAnsi="Times New Roman" w:cs="Times New Roman"/>
        </w:rPr>
        <w:t>. 25, 89–99.</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Wu, L.J., Errington, J., 2004. </w:t>
      </w:r>
      <w:proofErr w:type="gramStart"/>
      <w:r w:rsidRPr="002C66A9">
        <w:rPr>
          <w:rFonts w:ascii="Times New Roman" w:hAnsi="Times New Roman" w:cs="Times New Roman"/>
        </w:rPr>
        <w:t xml:space="preserve">Coordination of cell division and chromosome segregation by a nucleoid occlusion protein in </w:t>
      </w:r>
      <w:r w:rsidRPr="002C66A9">
        <w:rPr>
          <w:rFonts w:ascii="Times New Roman" w:hAnsi="Times New Roman" w:cs="Times New Roman"/>
          <w:i/>
        </w:rPr>
        <w:t>Bacillus subtilis</w:t>
      </w:r>
      <w:r w:rsidRPr="002C66A9">
        <w:rPr>
          <w:rFonts w:ascii="Times New Roman" w:hAnsi="Times New Roman" w:cs="Times New Roman"/>
        </w:rPr>
        <w:t>.</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Cell</w:t>
      </w:r>
      <w:r w:rsidRPr="002C66A9">
        <w:rPr>
          <w:rFonts w:ascii="Times New Roman" w:hAnsi="Times New Roman" w:cs="Times New Roman"/>
        </w:rPr>
        <w:t>.</w:t>
      </w:r>
      <w:proofErr w:type="gramEnd"/>
      <w:r w:rsidRPr="002C66A9">
        <w:rPr>
          <w:rFonts w:ascii="Times New Roman" w:hAnsi="Times New Roman" w:cs="Times New Roman"/>
        </w:rPr>
        <w:t xml:space="preserve"> 117, 915–925.</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Wu, L.J., Ishikawa, S., Kawai, Y., Oshima, T., Ogasawara, N., Errington, J., 2009.</w:t>
      </w:r>
      <w:r w:rsidRPr="002C66A9">
        <w:rPr>
          <w:rFonts w:ascii="Times New Roman" w:hAnsi="Times New Roman" w:cs="Times New Roman"/>
        </w:rPr>
        <w:t xml:space="preserve"> Noc protein binds to specific DNA sequences to coordinate cell division with chromosome segregation. </w:t>
      </w:r>
      <w:r w:rsidRPr="002C66A9">
        <w:rPr>
          <w:rFonts w:ascii="Times New Roman" w:hAnsi="Times New Roman" w:cs="Times New Roman"/>
          <w:i/>
        </w:rPr>
        <w:t>EMBO J</w:t>
      </w:r>
      <w:r w:rsidRPr="002C66A9">
        <w:rPr>
          <w:rFonts w:ascii="Times New Roman" w:hAnsi="Times New Roman" w:cs="Times New Roman"/>
        </w:rPr>
        <w:t>. 28, 1940–1952.</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Yamada, S., Sugai, M., Komatsuzawa, H., Nakashima, S., Oshida, T., Matsumoto, A., Suginaka, H., 1996. </w:t>
      </w:r>
      <w:r w:rsidRPr="002C66A9">
        <w:rPr>
          <w:rFonts w:ascii="Times New Roman" w:hAnsi="Times New Roman" w:cs="Times New Roman"/>
        </w:rPr>
        <w:t xml:space="preserve">An autolysin ring associated with cell separation of </w:t>
      </w:r>
      <w:r w:rsidRPr="002C66A9">
        <w:rPr>
          <w:rFonts w:ascii="Times New Roman" w:hAnsi="Times New Roman" w:cs="Times New Roman"/>
          <w:i/>
        </w:rPr>
        <w:t>Staphylococcus aureus</w:t>
      </w:r>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178, 1565–1571.</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Yamamoto, H., Kurosawa, S., Sekiguchi, J., 2003.</w:t>
      </w:r>
      <w:proofErr w:type="gramEnd"/>
      <w:r w:rsidRPr="002C66A9">
        <w:rPr>
          <w:rFonts w:ascii="Times New Roman" w:hAnsi="Times New Roman" w:cs="Times New Roman"/>
        </w:rPr>
        <w:t xml:space="preserve"> Localization of the vegetative cell wall hydrolases LytC, LytE, and LytF on the </w:t>
      </w:r>
      <w:r w:rsidRPr="002C66A9">
        <w:rPr>
          <w:rFonts w:ascii="Times New Roman" w:hAnsi="Times New Roman" w:cs="Times New Roman"/>
          <w:i/>
        </w:rPr>
        <w:t>Bacillus subtilis</w:t>
      </w:r>
      <w:r w:rsidRPr="002C66A9">
        <w:rPr>
          <w:rFonts w:ascii="Times New Roman" w:hAnsi="Times New Roman" w:cs="Times New Roman"/>
        </w:rPr>
        <w:t xml:space="preserve"> cell surface and stability of these enzymes to cell wall-bound or extracellular proteases. </w:t>
      </w:r>
      <w:r w:rsidRPr="002C66A9">
        <w:rPr>
          <w:rFonts w:ascii="Times New Roman" w:hAnsi="Times New Roman" w:cs="Times New Roman"/>
          <w:i/>
        </w:rPr>
        <w:t>J. Bacteriol</w:t>
      </w:r>
      <w:r w:rsidRPr="002C66A9">
        <w:rPr>
          <w:rFonts w:ascii="Times New Roman" w:hAnsi="Times New Roman" w:cs="Times New Roman"/>
        </w:rPr>
        <w:t>. 185, 6666–6677.</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Yansura, D.G., Henner, D.J., 1984.</w:t>
      </w:r>
      <w:r w:rsidRPr="002C66A9">
        <w:rPr>
          <w:rFonts w:ascii="Times New Roman" w:hAnsi="Times New Roman" w:cs="Times New Roman"/>
        </w:rPr>
        <w:t xml:space="preserve"> </w:t>
      </w:r>
      <w:proofErr w:type="gramStart"/>
      <w:r w:rsidRPr="002C66A9">
        <w:rPr>
          <w:rFonts w:ascii="Times New Roman" w:hAnsi="Times New Roman" w:cs="Times New Roman"/>
        </w:rPr>
        <w:t xml:space="preserve">Use of the </w:t>
      </w:r>
      <w:r w:rsidRPr="002C66A9">
        <w:rPr>
          <w:rFonts w:ascii="Times New Roman" w:hAnsi="Times New Roman" w:cs="Times New Roman"/>
          <w:i/>
        </w:rPr>
        <w:t>Escherichia coli</w:t>
      </w:r>
      <w:r w:rsidRPr="002C66A9">
        <w:rPr>
          <w:rFonts w:ascii="Times New Roman" w:hAnsi="Times New Roman" w:cs="Times New Roman"/>
        </w:rPr>
        <w:t xml:space="preserve"> </w:t>
      </w:r>
      <w:r w:rsidRPr="002C66A9">
        <w:rPr>
          <w:rFonts w:ascii="Times New Roman" w:hAnsi="Times New Roman" w:cs="Times New Roman"/>
          <w:i/>
        </w:rPr>
        <w:t>lac</w:t>
      </w:r>
      <w:r w:rsidRPr="002C66A9">
        <w:rPr>
          <w:rFonts w:ascii="Times New Roman" w:hAnsi="Times New Roman" w:cs="Times New Roman"/>
        </w:rPr>
        <w:t xml:space="preserve"> repressor and operator to control gene expression in </w:t>
      </w:r>
      <w:r w:rsidRPr="002C66A9">
        <w:rPr>
          <w:rFonts w:ascii="Times New Roman" w:hAnsi="Times New Roman" w:cs="Times New Roman"/>
          <w:i/>
        </w:rPr>
        <w:t>Bacillus subtilis</w:t>
      </w:r>
      <w:r w:rsidRPr="002C66A9">
        <w:rPr>
          <w:rFonts w:ascii="Times New Roman" w:hAnsi="Times New Roman" w:cs="Times New Roman"/>
        </w:rPr>
        <w:t>.</w:t>
      </w:r>
      <w:proofErr w:type="gramEnd"/>
      <w:r w:rsidRPr="002C66A9">
        <w:rPr>
          <w:rFonts w:ascii="Times New Roman" w:hAnsi="Times New Roman" w:cs="Times New Roman"/>
        </w:rPr>
        <w:t xml:space="preserve"> </w:t>
      </w:r>
      <w:r w:rsidRPr="002C66A9">
        <w:rPr>
          <w:rFonts w:ascii="Times New Roman" w:hAnsi="Times New Roman" w:cs="Times New Roman"/>
          <w:i/>
        </w:rPr>
        <w:t>Proc. Natl. Acad. Sci. U.S.A</w:t>
      </w:r>
      <w:r w:rsidRPr="002C66A9">
        <w:rPr>
          <w:rFonts w:ascii="Times New Roman" w:hAnsi="Times New Roman" w:cs="Times New Roman"/>
        </w:rPr>
        <w:t>. 81, 439–443.</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Yao, X., Jericho, M., Pink, D., Beveridge, T., 1999.</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Thickness and elasticity of Gram-negative murein sacculi measured by atomic force microscopy.</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181, 6865–6875.</w:t>
      </w:r>
    </w:p>
    <w:p w:rsidR="009831BC" w:rsidRPr="002C66A9"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Zapun, A., Vernet, T., Pinho, M.G., 2008.</w:t>
      </w:r>
      <w:proofErr w:type="gramEnd"/>
      <w:r w:rsidRPr="002C66A9">
        <w:rPr>
          <w:rFonts w:ascii="Times New Roman" w:hAnsi="Times New Roman" w:cs="Times New Roman"/>
        </w:rPr>
        <w:t xml:space="preserve"> </w:t>
      </w:r>
      <w:proofErr w:type="gramStart"/>
      <w:r w:rsidRPr="002C66A9">
        <w:rPr>
          <w:rFonts w:ascii="Times New Roman" w:hAnsi="Times New Roman" w:cs="Times New Roman"/>
        </w:rPr>
        <w:t>The different shapes of cocci.</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FEMS Microbiol.</w:t>
      </w:r>
      <w:proofErr w:type="gramEnd"/>
      <w:r w:rsidRPr="002C66A9">
        <w:rPr>
          <w:rFonts w:ascii="Times New Roman" w:hAnsi="Times New Roman" w:cs="Times New Roman"/>
          <w:i/>
        </w:rPr>
        <w:t xml:space="preserve"> Rev</w:t>
      </w:r>
      <w:r w:rsidRPr="002C66A9">
        <w:rPr>
          <w:rFonts w:ascii="Times New Roman" w:hAnsi="Times New Roman" w:cs="Times New Roman"/>
        </w:rPr>
        <w:t>. 32, 345–360.</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Zlatanova, J., Lindsay, S.M., Leuba, S.H., 2000.</w:t>
      </w:r>
      <w:r w:rsidRPr="002C66A9">
        <w:rPr>
          <w:rFonts w:ascii="Times New Roman" w:hAnsi="Times New Roman" w:cs="Times New Roman"/>
        </w:rPr>
        <w:t xml:space="preserve"> </w:t>
      </w:r>
      <w:proofErr w:type="gramStart"/>
      <w:r w:rsidRPr="002C66A9">
        <w:rPr>
          <w:rFonts w:ascii="Times New Roman" w:hAnsi="Times New Roman" w:cs="Times New Roman"/>
        </w:rPr>
        <w:t>Single molecule force spectroscopy in biology using the atomic force microscope.</w:t>
      </w:r>
      <w:proofErr w:type="gramEnd"/>
      <w:r w:rsidRPr="002C66A9">
        <w:rPr>
          <w:rFonts w:ascii="Times New Roman" w:hAnsi="Times New Roman" w:cs="Times New Roman"/>
        </w:rPr>
        <w:t xml:space="preserve"> </w:t>
      </w:r>
      <w:proofErr w:type="gramStart"/>
      <w:r w:rsidRPr="002C66A9">
        <w:rPr>
          <w:rFonts w:ascii="Times New Roman" w:hAnsi="Times New Roman" w:cs="Times New Roman"/>
          <w:i/>
        </w:rPr>
        <w:t>Prog.</w:t>
      </w:r>
      <w:proofErr w:type="gramEnd"/>
      <w:r w:rsidRPr="002C66A9">
        <w:rPr>
          <w:rFonts w:ascii="Times New Roman" w:hAnsi="Times New Roman" w:cs="Times New Roman"/>
          <w:i/>
        </w:rPr>
        <w:t xml:space="preserve"> </w:t>
      </w:r>
      <w:proofErr w:type="gramStart"/>
      <w:r w:rsidRPr="002C66A9">
        <w:rPr>
          <w:rFonts w:ascii="Times New Roman" w:hAnsi="Times New Roman" w:cs="Times New Roman"/>
          <w:i/>
        </w:rPr>
        <w:t>Biophys.</w:t>
      </w:r>
      <w:proofErr w:type="gramEnd"/>
      <w:r w:rsidRPr="002C66A9">
        <w:rPr>
          <w:rFonts w:ascii="Times New Roman" w:hAnsi="Times New Roman" w:cs="Times New Roman"/>
          <w:i/>
        </w:rPr>
        <w:t xml:space="preserve"> Mol. Biol</w:t>
      </w:r>
      <w:r w:rsidRPr="002C66A9">
        <w:rPr>
          <w:rFonts w:ascii="Times New Roman" w:hAnsi="Times New Roman" w:cs="Times New Roman"/>
        </w:rPr>
        <w:t>. 74, 37–61.</w:t>
      </w:r>
    </w:p>
    <w:p w:rsidR="009831BC" w:rsidRPr="002C66A9" w:rsidRDefault="009831BC" w:rsidP="009831BC">
      <w:pPr>
        <w:pStyle w:val="Bibliography"/>
        <w:spacing w:after="100"/>
        <w:ind w:left="284" w:hanging="284"/>
        <w:jc w:val="both"/>
        <w:rPr>
          <w:rFonts w:ascii="Times New Roman" w:hAnsi="Times New Roman" w:cs="Times New Roman"/>
        </w:rPr>
      </w:pPr>
      <w:r w:rsidRPr="002C66A9">
        <w:rPr>
          <w:rFonts w:ascii="Times New Roman" w:hAnsi="Times New Roman" w:cs="Times New Roman"/>
          <w:b/>
        </w:rPr>
        <w:t xml:space="preserve">Zuber, B., Haenni, M., Ribeiro, T., Minnig, K., Lopes, F., Moreillon, P., Dubochet, J., 2006. </w:t>
      </w:r>
      <w:proofErr w:type="gramStart"/>
      <w:r w:rsidRPr="002C66A9">
        <w:rPr>
          <w:rFonts w:ascii="Times New Roman" w:hAnsi="Times New Roman" w:cs="Times New Roman"/>
        </w:rPr>
        <w:t xml:space="preserve">Granular layer in the periplasmic space of Gram-positive bacteria and fine structures of </w:t>
      </w:r>
      <w:r w:rsidRPr="002C66A9">
        <w:rPr>
          <w:rFonts w:ascii="Times New Roman" w:hAnsi="Times New Roman" w:cs="Times New Roman"/>
          <w:i/>
        </w:rPr>
        <w:t>Enterococcus gallinarum</w:t>
      </w:r>
      <w:r w:rsidRPr="002C66A9">
        <w:rPr>
          <w:rFonts w:ascii="Times New Roman" w:hAnsi="Times New Roman" w:cs="Times New Roman"/>
        </w:rPr>
        <w:t xml:space="preserve"> and </w:t>
      </w:r>
      <w:r w:rsidRPr="002C66A9">
        <w:rPr>
          <w:rFonts w:ascii="Times New Roman" w:hAnsi="Times New Roman" w:cs="Times New Roman"/>
          <w:i/>
        </w:rPr>
        <w:t>Streptococcus gordonii</w:t>
      </w:r>
      <w:r w:rsidRPr="002C66A9">
        <w:rPr>
          <w:rFonts w:ascii="Times New Roman" w:hAnsi="Times New Roman" w:cs="Times New Roman"/>
        </w:rPr>
        <w:t xml:space="preserve"> septa revealed by cryo-electron microscopy of vitreous sections.</w:t>
      </w:r>
      <w:proofErr w:type="gramEnd"/>
      <w:r w:rsidRPr="002C66A9">
        <w:rPr>
          <w:rFonts w:ascii="Times New Roman" w:hAnsi="Times New Roman" w:cs="Times New Roman"/>
        </w:rPr>
        <w:t xml:space="preserve"> </w:t>
      </w:r>
      <w:r w:rsidRPr="002C66A9">
        <w:rPr>
          <w:rFonts w:ascii="Times New Roman" w:hAnsi="Times New Roman" w:cs="Times New Roman"/>
          <w:i/>
        </w:rPr>
        <w:t>J. Bacteriol</w:t>
      </w:r>
      <w:r w:rsidRPr="002C66A9">
        <w:rPr>
          <w:rFonts w:ascii="Times New Roman" w:hAnsi="Times New Roman" w:cs="Times New Roman"/>
        </w:rPr>
        <w:t>. 188, 6652–6660.</w:t>
      </w:r>
    </w:p>
    <w:p w:rsidR="009831BC" w:rsidRPr="00E12E10" w:rsidRDefault="009831BC" w:rsidP="009831BC">
      <w:pPr>
        <w:pStyle w:val="Bibliography"/>
        <w:spacing w:after="100"/>
        <w:ind w:left="284" w:hanging="284"/>
        <w:jc w:val="both"/>
        <w:rPr>
          <w:rFonts w:ascii="Times New Roman" w:hAnsi="Times New Roman" w:cs="Times New Roman"/>
        </w:rPr>
      </w:pPr>
      <w:proofErr w:type="gramStart"/>
      <w:r w:rsidRPr="002C66A9">
        <w:rPr>
          <w:rFonts w:ascii="Times New Roman" w:hAnsi="Times New Roman" w:cs="Times New Roman"/>
          <w:b/>
        </w:rPr>
        <w:t>Zuber, U., Drzewiecki, K., Hecker, M., 2001.</w:t>
      </w:r>
      <w:proofErr w:type="gramEnd"/>
      <w:r w:rsidRPr="002C66A9">
        <w:rPr>
          <w:rFonts w:ascii="Times New Roman" w:hAnsi="Times New Roman" w:cs="Times New Roman"/>
        </w:rPr>
        <w:t xml:space="preserve"> Putative sigma factor SigI (YkoZ) of </w:t>
      </w:r>
      <w:r w:rsidRPr="002C66A9">
        <w:rPr>
          <w:rFonts w:ascii="Times New Roman" w:hAnsi="Times New Roman" w:cs="Times New Roman"/>
          <w:i/>
        </w:rPr>
        <w:t>Bacillus subtilis</w:t>
      </w:r>
      <w:r w:rsidRPr="002C66A9">
        <w:rPr>
          <w:rFonts w:ascii="Times New Roman" w:hAnsi="Times New Roman" w:cs="Times New Roman"/>
        </w:rPr>
        <w:t xml:space="preserve"> is induced by heat shock. </w:t>
      </w:r>
      <w:r w:rsidRPr="002C66A9">
        <w:rPr>
          <w:rFonts w:ascii="Times New Roman" w:hAnsi="Times New Roman" w:cs="Times New Roman"/>
          <w:i/>
        </w:rPr>
        <w:t>J. Bacteriol</w:t>
      </w:r>
      <w:r w:rsidRPr="002C66A9">
        <w:rPr>
          <w:rFonts w:ascii="Times New Roman" w:hAnsi="Times New Roman" w:cs="Times New Roman"/>
        </w:rPr>
        <w:t>. 183, 1472–1475.</w:t>
      </w:r>
      <w:r w:rsidRPr="002C66A9">
        <w:rPr>
          <w:rFonts w:ascii="Times New Roman" w:hAnsi="Times New Roman" w:cs="Times New Roman"/>
        </w:rPr>
        <w:fldChar w:fldCharType="end"/>
      </w:r>
    </w:p>
    <w:p w:rsidR="009831BC" w:rsidRDefault="009831BC" w:rsidP="009831BC">
      <w:pPr>
        <w:spacing w:line="360" w:lineRule="auto"/>
        <w:jc w:val="center"/>
        <w:rPr>
          <w:rFonts w:ascii="Times New Roman" w:eastAsia="Times New Roman" w:hAnsi="Times New Roman" w:cs="Times New Roman"/>
          <w:color w:val="000000"/>
          <w:sz w:val="28"/>
          <w:szCs w:val="28"/>
          <w:lang w:eastAsia="en-GB"/>
        </w:rPr>
      </w:pPr>
      <w:r>
        <w:rPr>
          <w:rFonts w:ascii="Times New Roman" w:eastAsia="Times New Roman" w:hAnsi="Times New Roman" w:cs="Times New Roman"/>
          <w:color w:val="000000"/>
          <w:sz w:val="28"/>
          <w:szCs w:val="28"/>
          <w:lang w:eastAsia="en-GB"/>
        </w:rPr>
        <w:lastRenderedPageBreak/>
        <w:t>Appendix I</w:t>
      </w:r>
    </w:p>
    <w:p w:rsidR="009831BC" w:rsidRDefault="009831BC" w:rsidP="009831BC">
      <w:pPr>
        <w:spacing w:line="360" w:lineRule="auto"/>
        <w:jc w:val="both"/>
      </w:pPr>
      <w:proofErr w:type="gramStart"/>
      <w:r w:rsidRPr="00D8690F">
        <w:rPr>
          <w:rFonts w:ascii="Times New Roman" w:eastAsia="Times New Roman" w:hAnsi="Times New Roman" w:cs="Times New Roman"/>
          <w:b/>
          <w:i/>
          <w:color w:val="000000"/>
          <w:sz w:val="24"/>
          <w:szCs w:val="24"/>
          <w:lang w:eastAsia="en-GB"/>
        </w:rPr>
        <w:t>sagB</w:t>
      </w:r>
      <w:proofErr w:type="gramEnd"/>
      <w:r w:rsidRPr="00D8690F">
        <w:rPr>
          <w:rFonts w:ascii="Times New Roman" w:eastAsia="Times New Roman" w:hAnsi="Times New Roman" w:cs="Times New Roman"/>
          <w:b/>
          <w:i/>
          <w:color w:val="000000"/>
          <w:sz w:val="24"/>
          <w:szCs w:val="24"/>
          <w:lang w:eastAsia="en-GB"/>
        </w:rPr>
        <w:t xml:space="preserve"> </w:t>
      </w:r>
      <w:r w:rsidRPr="00D8690F">
        <w:rPr>
          <w:rFonts w:ascii="Times New Roman" w:eastAsia="Times New Roman" w:hAnsi="Times New Roman" w:cs="Times New Roman"/>
          <w:b/>
          <w:color w:val="000000"/>
          <w:sz w:val="24"/>
          <w:szCs w:val="24"/>
          <w:lang w:eastAsia="en-GB"/>
        </w:rPr>
        <w:t xml:space="preserve">fragment selected for generation of </w:t>
      </w:r>
      <w:r w:rsidRPr="00D8690F">
        <w:rPr>
          <w:rFonts w:ascii="Times New Roman" w:hAnsi="Times New Roman" w:cs="Times New Roman"/>
          <w:b/>
          <w:sz w:val="24"/>
          <w:szCs w:val="24"/>
        </w:rPr>
        <w:t>P</w:t>
      </w:r>
      <w:r w:rsidRPr="00D8690F">
        <w:rPr>
          <w:rFonts w:ascii="Times New Roman" w:hAnsi="Times New Roman" w:cs="Times New Roman"/>
          <w:b/>
          <w:sz w:val="24"/>
          <w:szCs w:val="24"/>
          <w:vertAlign w:val="subscript"/>
        </w:rPr>
        <w:t>spac</w:t>
      </w:r>
      <w:r w:rsidRPr="00D8690F">
        <w:rPr>
          <w:rFonts w:ascii="Times New Roman" w:hAnsi="Times New Roman" w:cs="Times New Roman"/>
          <w:b/>
          <w:sz w:val="24"/>
          <w:szCs w:val="24"/>
        </w:rPr>
        <w:t>-</w:t>
      </w:r>
      <w:r w:rsidRPr="00D8690F">
        <w:rPr>
          <w:rFonts w:ascii="Times New Roman" w:hAnsi="Times New Roman" w:cs="Times New Roman"/>
          <w:b/>
          <w:i/>
          <w:sz w:val="24"/>
          <w:szCs w:val="24"/>
        </w:rPr>
        <w:t>sagB</w:t>
      </w:r>
      <w:r w:rsidRPr="00D8690F">
        <w:rPr>
          <w:rFonts w:ascii="Times New Roman" w:hAnsi="Times New Roman" w:cs="Times New Roman"/>
          <w:b/>
          <w:sz w:val="24"/>
          <w:szCs w:val="24"/>
        </w:rPr>
        <w:t>’ construct</w:t>
      </w:r>
      <w:r w:rsidRPr="00D8690F">
        <w:rPr>
          <w:rFonts w:ascii="Times New Roman" w:eastAsia="Times New Roman" w:hAnsi="Times New Roman" w:cs="Times New Roman"/>
          <w:b/>
          <w:color w:val="000000"/>
          <w:sz w:val="28"/>
          <w:szCs w:val="28"/>
          <w:lang w:eastAsia="en-GB"/>
        </w:rPr>
        <w:t>.</w:t>
      </w:r>
      <w:r>
        <w:rPr>
          <w:rFonts w:ascii="Times New Roman" w:eastAsia="Times New Roman" w:hAnsi="Times New Roman" w:cs="Times New Roman"/>
          <w:b/>
          <w:color w:val="000000"/>
          <w:sz w:val="28"/>
          <w:szCs w:val="28"/>
          <w:lang w:eastAsia="en-GB"/>
        </w:rPr>
        <w:t xml:space="preserve"> </w:t>
      </w:r>
      <w:r>
        <w:rPr>
          <w:rFonts w:ascii="Times New Roman" w:hAnsi="Times New Roman" w:cs="Times New Roman"/>
        </w:rPr>
        <w:t xml:space="preserve">Primer annealing sites are highlighted in colour and correspond to the primers stated. The </w:t>
      </w:r>
      <w:r w:rsidRPr="00D8690F">
        <w:rPr>
          <w:rFonts w:ascii="Times New Roman" w:hAnsi="Times New Roman" w:cs="Times New Roman"/>
          <w:i/>
        </w:rPr>
        <w:t>sagB</w:t>
      </w:r>
      <w:r>
        <w:rPr>
          <w:rFonts w:ascii="Times New Roman" w:hAnsi="Times New Roman" w:cs="Times New Roman"/>
        </w:rPr>
        <w:t xml:space="preserve"> gene sequence is shown in uppercase. The </w:t>
      </w:r>
      <w:r w:rsidRPr="00D8690F">
        <w:rPr>
          <w:rFonts w:ascii="Times New Roman" w:hAnsi="Times New Roman" w:cs="Times New Roman"/>
          <w:i/>
        </w:rPr>
        <w:t>sagB</w:t>
      </w:r>
      <w:r>
        <w:rPr>
          <w:rFonts w:ascii="Times New Roman" w:hAnsi="Times New Roman" w:cs="Times New Roman"/>
        </w:rPr>
        <w:t xml:space="preserve"> ribosome binding site is highlighted in bold and underlined. Primer restriction sequences are italicised.</w:t>
      </w:r>
    </w:p>
    <w:p w:rsidR="009831BC" w:rsidRDefault="009831BC" w:rsidP="009831BC">
      <w:pPr>
        <w:spacing w:line="360" w:lineRule="auto"/>
        <w:jc w:val="center"/>
        <w:rPr>
          <w:rFonts w:ascii="Times New Roman" w:eastAsia="Times New Roman" w:hAnsi="Times New Roman" w:cs="Times New Roman"/>
          <w:color w:val="000000"/>
          <w:sz w:val="28"/>
          <w:szCs w:val="28"/>
          <w:lang w:eastAsia="en-GB"/>
        </w:rPr>
      </w:pPr>
    </w:p>
    <w:p w:rsidR="009831BC" w:rsidRDefault="009831BC" w:rsidP="009831BC">
      <w:pPr>
        <w:spacing w:line="360" w:lineRule="auto"/>
        <w:rPr>
          <w:rFonts w:ascii="Times New Roman" w:eastAsia="Times New Roman" w:hAnsi="Times New Roman" w:cs="Times New Roman"/>
          <w:color w:val="000000"/>
          <w:sz w:val="28"/>
          <w:szCs w:val="28"/>
          <w:lang w:eastAsia="en-GB"/>
        </w:rPr>
      </w:pPr>
      <w:proofErr w:type="gramStart"/>
      <w:r w:rsidRPr="00023D9C">
        <w:rPr>
          <w:rFonts w:ascii="Times New Roman" w:eastAsia="Times New Roman" w:hAnsi="Times New Roman" w:cs="Times New Roman"/>
          <w:i/>
          <w:color w:val="000000"/>
          <w:sz w:val="28"/>
          <w:szCs w:val="28"/>
          <w:lang w:eastAsia="en-GB"/>
        </w:rPr>
        <w:t>sagB</w:t>
      </w:r>
      <w:proofErr w:type="gramEnd"/>
      <w:r>
        <w:rPr>
          <w:rFonts w:ascii="Times New Roman" w:eastAsia="Times New Roman" w:hAnsi="Times New Roman" w:cs="Times New Roman"/>
          <w:color w:val="000000"/>
          <w:sz w:val="28"/>
          <w:szCs w:val="28"/>
          <w:lang w:eastAsia="en-GB"/>
        </w:rPr>
        <w:t xml:space="preserve"> (</w:t>
      </w:r>
      <w:r w:rsidRPr="00023D9C">
        <w:rPr>
          <w:rFonts w:ascii="Times New Roman" w:eastAsia="Times New Roman" w:hAnsi="Times New Roman" w:cs="Times New Roman"/>
          <w:color w:val="000000"/>
          <w:sz w:val="28"/>
          <w:szCs w:val="28"/>
          <w:lang w:eastAsia="en-GB"/>
        </w:rPr>
        <w:t>SA</w:t>
      </w:r>
      <w:r>
        <w:rPr>
          <w:rFonts w:ascii="Times New Roman" w:eastAsia="Times New Roman" w:hAnsi="Times New Roman" w:cs="Times New Roman"/>
          <w:color w:val="000000"/>
          <w:sz w:val="28"/>
          <w:szCs w:val="28"/>
          <w:lang w:eastAsia="en-GB"/>
        </w:rPr>
        <w:t>COL</w:t>
      </w:r>
      <w:r w:rsidRPr="00023D9C">
        <w:rPr>
          <w:rFonts w:ascii="Times New Roman" w:eastAsia="Times New Roman" w:hAnsi="Times New Roman" w:cs="Times New Roman"/>
          <w:color w:val="000000"/>
          <w:sz w:val="28"/>
          <w:szCs w:val="28"/>
          <w:lang w:eastAsia="en-GB"/>
        </w:rPr>
        <w:t>1825</w:t>
      </w:r>
      <w:r>
        <w:rPr>
          <w:rFonts w:ascii="Times New Roman" w:eastAsia="Times New Roman" w:hAnsi="Times New Roman" w:cs="Times New Roman"/>
          <w:color w:val="000000"/>
          <w:sz w:val="28"/>
          <w:szCs w:val="28"/>
          <w:lang w:eastAsia="en-GB"/>
        </w:rPr>
        <w:t>)</w:t>
      </w:r>
    </w:p>
    <w:p w:rsidR="009831BC" w:rsidRDefault="009831BC" w:rsidP="009831BC">
      <w:pPr>
        <w:spacing w:line="360" w:lineRule="auto"/>
        <w:rPr>
          <w:rFonts w:ascii="Courier New" w:eastAsia="Times New Roman" w:hAnsi="Courier New" w:cs="Courier New"/>
          <w:color w:val="000000"/>
          <w:lang w:eastAsia="en-GB"/>
        </w:rPr>
      </w:pPr>
      <w:r w:rsidRPr="00023D9C">
        <w:rPr>
          <w:rFonts w:ascii="Courier New" w:eastAsia="Times New Roman" w:hAnsi="Courier New" w:cs="Courier New"/>
          <w:color w:val="000000"/>
          <w:highlight w:val="green"/>
          <w:lang w:eastAsia="en-GB"/>
        </w:rPr>
        <w:t>aacaatgacct</w:t>
      </w:r>
      <w:r w:rsidRPr="00023D9C">
        <w:rPr>
          <w:rFonts w:ascii="Courier New" w:eastAsia="Times New Roman" w:hAnsi="Courier New" w:cs="Courier New"/>
          <w:b/>
          <w:color w:val="000000"/>
          <w:highlight w:val="green"/>
          <w:u w:val="single"/>
          <w:lang w:eastAsia="en-GB"/>
        </w:rPr>
        <w:t>aagagg</w:t>
      </w:r>
      <w:r w:rsidRPr="00023D9C">
        <w:rPr>
          <w:rFonts w:ascii="Courier New" w:eastAsia="Times New Roman" w:hAnsi="Courier New" w:cs="Courier New"/>
          <w:color w:val="000000"/>
          <w:highlight w:val="green"/>
          <w:lang w:eastAsia="en-GB"/>
        </w:rPr>
        <w:t>tgtgga</w:t>
      </w:r>
      <w:r w:rsidRPr="00023D9C">
        <w:rPr>
          <w:rFonts w:ascii="Courier New" w:eastAsia="Times New Roman" w:hAnsi="Courier New" w:cs="Courier New"/>
          <w:color w:val="000000"/>
          <w:lang w:eastAsia="en-GB"/>
        </w:rPr>
        <w:t>tATGAATAAACACAAGAAAGGTTCTATTTTTGGAATAATAGGACTTGTTGTCATATTTGCTGTTGTCTCATTTTTATTTTTCTCAATGATATCCGATCAGATATTTTTCAAACATGTTAAATCCGACATTAAGATTGAAAAGTTAAATGTTACATTAAACGATGCAGCAAAGAAACAAATAAATAATTATACGAGTCAACAGGTATCAAATAAAAAGAATGATGCATGGAGAGATGCATCTGCAACTGAAATTAAAAGTGCAATGGATAGCGGTACTTTTATCGATAATGAAAAGCAAAAATATCAATTTTTAGATTTATCAAAGTATCAAGGGATTGATAAAAATAGAATTAAACGTATGTTAGTAGATAGACCAACGTTATTGAAACATACGGATGATTTCTTAAAAGCTGCTAAAGATAAGCACGTTAACGAAGTTTATTTAATTTCACATGCATTATTAGAAACTGGCGCAGTTAAAAGTGAATTAGCTAATGGAGTCGAAATTGATGGCAAAAAGTACTACAATTTCTATGGAGTAGGAGCCCTTGATAAAGACCCAATTAAAACAGGTGCAGAATAT</w:t>
      </w:r>
      <w:r w:rsidRPr="00023D9C">
        <w:rPr>
          <w:rFonts w:ascii="Courier New" w:eastAsia="Times New Roman" w:hAnsi="Courier New" w:cs="Courier New"/>
          <w:color w:val="000000"/>
          <w:highlight w:val="magenta"/>
          <w:lang w:eastAsia="en-GB"/>
        </w:rPr>
        <w:t>GCTAAAAAGCATGGTTG</w:t>
      </w:r>
      <w:r w:rsidRPr="00023D9C">
        <w:rPr>
          <w:rFonts w:ascii="Courier New" w:eastAsia="Times New Roman" w:hAnsi="Courier New" w:cs="Courier New"/>
          <w:color w:val="000000"/>
          <w:lang w:eastAsia="en-GB"/>
        </w:rPr>
        <w:t>GGATACACCTGAAAAAGCTATTTCAGGCGGTGCTGATTTCATTCATAAGCACTTCTTATCAAGCACAGATCAAAATACATTGTATAGTATGAGATGGAATCCAAAAAATCCAGGAGAACATCAATATGCTACAGATATTAAGTGGGCAGAAAGTAATGCAACAATTATCGCTGACTTTTATAAGAACATGAAGACTGAAGGAAAATACTTCAAATACTTTGTGTATAAAGATGACAGTAAACATTTGAATAAGTAA</w:t>
      </w:r>
    </w:p>
    <w:p w:rsidR="009831BC" w:rsidRDefault="009831BC" w:rsidP="009831BC">
      <w:pPr>
        <w:spacing w:line="360" w:lineRule="auto"/>
        <w:rPr>
          <w:rFonts w:ascii="Courier New" w:eastAsia="Times New Roman" w:hAnsi="Courier New" w:cs="Courier New"/>
          <w:color w:val="000000"/>
          <w:lang w:eastAsia="en-GB"/>
        </w:rPr>
      </w:pPr>
    </w:p>
    <w:p w:rsidR="009831BC" w:rsidRDefault="009831BC" w:rsidP="009831BC">
      <w:pPr>
        <w:spacing w:line="360" w:lineRule="auto"/>
        <w:rPr>
          <w:rFonts w:ascii="Times New Roman" w:hAnsi="Times New Roman" w:cs="Times New Roman"/>
          <w:sz w:val="24"/>
          <w:szCs w:val="24"/>
        </w:rPr>
      </w:pPr>
      <w:r w:rsidRPr="00023D9C">
        <w:rPr>
          <w:rFonts w:ascii="Times New Roman" w:hAnsi="Times New Roman" w:cs="Times New Roman"/>
          <w:sz w:val="24"/>
          <w:szCs w:val="24"/>
        </w:rPr>
        <w:t>Primers</w:t>
      </w:r>
    </w:p>
    <w:p w:rsidR="009831BC" w:rsidRPr="001A7EAB" w:rsidRDefault="009831BC" w:rsidP="009831BC">
      <w:pPr>
        <w:spacing w:line="360" w:lineRule="auto"/>
        <w:rPr>
          <w:rFonts w:ascii="Times New Roman" w:hAnsi="Times New Roman" w:cs="Times New Roman"/>
          <w:sz w:val="24"/>
          <w:szCs w:val="24"/>
        </w:rPr>
      </w:pPr>
      <w:r>
        <w:rPr>
          <w:rFonts w:ascii="Times New Roman" w:hAnsi="Times New Roman" w:cs="Times New Roman"/>
          <w:sz w:val="24"/>
          <w:szCs w:val="24"/>
        </w:rPr>
        <w:t>Fragment amplified for P</w:t>
      </w:r>
      <w:r w:rsidRPr="001A7EAB">
        <w:rPr>
          <w:rFonts w:ascii="Times New Roman" w:hAnsi="Times New Roman" w:cs="Times New Roman"/>
          <w:sz w:val="24"/>
          <w:szCs w:val="24"/>
          <w:vertAlign w:val="subscript"/>
        </w:rPr>
        <w:t>spac</w:t>
      </w:r>
      <w:r w:rsidRPr="001A7EAB">
        <w:rPr>
          <w:rFonts w:ascii="Times New Roman" w:hAnsi="Times New Roman" w:cs="Times New Roman"/>
          <w:sz w:val="24"/>
          <w:szCs w:val="24"/>
        </w:rPr>
        <w:t>-</w:t>
      </w:r>
      <w:r w:rsidRPr="001A7EAB">
        <w:rPr>
          <w:rFonts w:ascii="Times New Roman" w:hAnsi="Times New Roman" w:cs="Times New Roman"/>
          <w:i/>
          <w:sz w:val="24"/>
          <w:szCs w:val="24"/>
        </w:rPr>
        <w:t>sagB</w:t>
      </w:r>
      <w:r w:rsidRPr="001A7EAB">
        <w:rPr>
          <w:rFonts w:ascii="Times New Roman" w:hAnsi="Times New Roman" w:cs="Times New Roman"/>
          <w:sz w:val="24"/>
          <w:szCs w:val="24"/>
        </w:rPr>
        <w:t>’</w:t>
      </w:r>
      <w:r>
        <w:rPr>
          <w:rFonts w:ascii="Times New Roman" w:hAnsi="Times New Roman" w:cs="Times New Roman"/>
          <w:i/>
          <w:sz w:val="24"/>
          <w:szCs w:val="24"/>
        </w:rPr>
        <w:t xml:space="preserve"> </w:t>
      </w:r>
      <w:r>
        <w:rPr>
          <w:rFonts w:ascii="Times New Roman" w:hAnsi="Times New Roman" w:cs="Times New Roman"/>
          <w:sz w:val="24"/>
          <w:szCs w:val="24"/>
        </w:rPr>
        <w:t>construct</w:t>
      </w:r>
    </w:p>
    <w:p w:rsidR="009831BC" w:rsidRPr="00023D9C" w:rsidRDefault="009831BC" w:rsidP="009831BC">
      <w:pPr>
        <w:spacing w:line="360" w:lineRule="auto"/>
        <w:rPr>
          <w:rFonts w:ascii="Times New Roman" w:hAnsi="Times New Roman" w:cs="Times New Roman"/>
        </w:rPr>
      </w:pPr>
      <w:r w:rsidRPr="00023D9C">
        <w:rPr>
          <w:rFonts w:ascii="Times New Roman" w:hAnsi="Times New Roman" w:cs="Times New Roman"/>
          <w:highlight w:val="green"/>
        </w:rPr>
        <w:t>RW01_F</w:t>
      </w:r>
      <w:r w:rsidRPr="00023D9C">
        <w:rPr>
          <w:rFonts w:ascii="Times New Roman" w:hAnsi="Times New Roman" w:cs="Times New Roman"/>
        </w:rPr>
        <w:tab/>
        <w:t xml:space="preserve"> TTTTTT</w:t>
      </w:r>
      <w:r w:rsidRPr="00023D9C">
        <w:rPr>
          <w:rFonts w:ascii="Times New Roman" w:hAnsi="Times New Roman" w:cs="Times New Roman"/>
          <w:i/>
        </w:rPr>
        <w:t>GAATTC</w:t>
      </w:r>
      <w:r w:rsidRPr="00023D9C">
        <w:rPr>
          <w:rFonts w:ascii="Times New Roman" w:hAnsi="Times New Roman" w:cs="Times New Roman"/>
        </w:rPr>
        <w:t>AACAATGACCTAAGAGGTGTGGA</w:t>
      </w:r>
      <w:r w:rsidRPr="00023D9C">
        <w:rPr>
          <w:rFonts w:ascii="Times New Roman" w:hAnsi="Times New Roman" w:cs="Times New Roman"/>
          <w:i/>
        </w:rPr>
        <w:t xml:space="preserve"> </w:t>
      </w:r>
      <w:r w:rsidRPr="00023D9C">
        <w:rPr>
          <w:rFonts w:ascii="Times New Roman" w:hAnsi="Times New Roman" w:cs="Times New Roman"/>
          <w:i/>
        </w:rPr>
        <w:tab/>
        <w:t>Eco</w:t>
      </w:r>
      <w:r w:rsidRPr="00023D9C">
        <w:rPr>
          <w:rFonts w:ascii="Times New Roman" w:hAnsi="Times New Roman" w:cs="Times New Roman"/>
        </w:rPr>
        <w:t>RI</w:t>
      </w:r>
    </w:p>
    <w:p w:rsidR="009831BC" w:rsidRDefault="009831BC" w:rsidP="009831BC">
      <w:pPr>
        <w:spacing w:line="360" w:lineRule="auto"/>
        <w:rPr>
          <w:rFonts w:ascii="Times New Roman" w:hAnsi="Times New Roman" w:cs="Times New Roman"/>
        </w:rPr>
      </w:pPr>
      <w:r w:rsidRPr="00023D9C">
        <w:rPr>
          <w:rFonts w:ascii="Times New Roman" w:hAnsi="Times New Roman" w:cs="Times New Roman"/>
          <w:highlight w:val="magenta"/>
        </w:rPr>
        <w:t xml:space="preserve">RW01_R </w:t>
      </w:r>
      <w:r w:rsidRPr="00023D9C">
        <w:rPr>
          <w:rFonts w:ascii="Times New Roman" w:hAnsi="Times New Roman" w:cs="Times New Roman"/>
        </w:rPr>
        <w:tab/>
        <w:t>TTTTTT</w:t>
      </w:r>
      <w:r w:rsidRPr="00023D9C">
        <w:rPr>
          <w:rFonts w:ascii="Times New Roman" w:hAnsi="Times New Roman" w:cs="Times New Roman"/>
          <w:i/>
        </w:rPr>
        <w:t>GGATCC</w:t>
      </w:r>
      <w:r w:rsidRPr="00023D9C">
        <w:rPr>
          <w:rFonts w:ascii="Times New Roman" w:hAnsi="Times New Roman" w:cs="Times New Roman"/>
        </w:rPr>
        <w:t>CAACCATGCTTTTTAGC</w:t>
      </w:r>
      <w:r w:rsidRPr="00023D9C">
        <w:rPr>
          <w:rFonts w:ascii="Times New Roman" w:hAnsi="Times New Roman" w:cs="Times New Roman"/>
          <w:i/>
        </w:rPr>
        <w:t xml:space="preserve"> </w:t>
      </w:r>
      <w:r w:rsidRPr="00023D9C">
        <w:rPr>
          <w:rFonts w:ascii="Times New Roman" w:hAnsi="Times New Roman" w:cs="Times New Roman"/>
          <w:i/>
        </w:rPr>
        <w:tab/>
      </w:r>
      <w:r w:rsidRPr="00023D9C">
        <w:rPr>
          <w:rFonts w:ascii="Times New Roman" w:hAnsi="Times New Roman" w:cs="Times New Roman"/>
          <w:i/>
        </w:rPr>
        <w:tab/>
      </w:r>
      <w:r w:rsidRPr="00023D9C">
        <w:rPr>
          <w:rFonts w:ascii="Times New Roman" w:hAnsi="Times New Roman" w:cs="Times New Roman"/>
          <w:i/>
        </w:rPr>
        <w:tab/>
        <w:t>Bam</w:t>
      </w:r>
      <w:r w:rsidRPr="00023D9C">
        <w:rPr>
          <w:rFonts w:ascii="Times New Roman" w:hAnsi="Times New Roman" w:cs="Times New Roman"/>
        </w:rPr>
        <w:t>HI</w:t>
      </w:r>
    </w:p>
    <w:p w:rsidR="002D7C9B" w:rsidRPr="002D7C9B" w:rsidRDefault="002D7C9B" w:rsidP="002D7C9B">
      <w:pPr>
        <w:spacing w:after="120" w:line="480" w:lineRule="auto"/>
        <w:jc w:val="both"/>
        <w:rPr>
          <w:rFonts w:ascii="Times New Roman" w:hAnsi="Times New Roman" w:cs="Times New Roman"/>
          <w:sz w:val="24"/>
          <w:szCs w:val="24"/>
        </w:rPr>
      </w:pPr>
    </w:p>
    <w:sectPr w:rsidR="002D7C9B" w:rsidRPr="002D7C9B" w:rsidSect="00BC7652">
      <w:footerReference w:type="default" r:id="rId113"/>
      <w:pgSz w:w="11906" w:h="16838"/>
      <w:pgMar w:top="1440" w:right="1134" w:bottom="1440" w:left="226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168CB" w:rsidRDefault="004168CB" w:rsidP="00A538F5">
      <w:pPr>
        <w:spacing w:after="0" w:line="240" w:lineRule="auto"/>
      </w:pPr>
      <w:r>
        <w:separator/>
      </w:r>
    </w:p>
  </w:endnote>
  <w:endnote w:type="continuationSeparator" w:id="0">
    <w:p w:rsidR="004168CB" w:rsidRDefault="004168CB" w:rsidP="00A538F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00"/>
    <w:family w:val="modern"/>
    <w:pitch w:val="fixed"/>
    <w:sig w:usb0="E10002FF" w:usb1="4000FCFF" w:usb2="00000009" w:usb3="00000000" w:csb0="0000019F" w:csb1="00000000"/>
  </w:font>
  <w:font w:name="Symbol">
    <w:panose1 w:val="05050102010706020507"/>
    <w:charset w:val="02"/>
    <w:family w:val="roman"/>
    <w:pitch w:val="variable"/>
    <w:sig w:usb0="00000000" w:usb1="10000000" w:usb2="00000000" w:usb3="00000000" w:csb0="80000000" w:csb1="00000000"/>
  </w:font>
  <w:font w:name="+mn-ea">
    <w:panose1 w:val="00000000000000000000"/>
    <w:charset w:val="00"/>
    <w:family w:val="roman"/>
    <w:notTrueType/>
    <w:pitch w:val="default"/>
    <w:sig w:usb0="00000000" w:usb1="00000000" w:usb2="00000000" w:usb3="00000000" w:csb0="00000000"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52402"/>
      <w:docPartObj>
        <w:docPartGallery w:val="Page Numbers (Bottom of Page)"/>
        <w:docPartUnique/>
      </w:docPartObj>
    </w:sdtPr>
    <w:sdtContent>
      <w:p w:rsidR="002D7C9B" w:rsidRDefault="002D7C9B">
        <w:pPr>
          <w:pStyle w:val="Footer"/>
          <w:jc w:val="right"/>
        </w:pPr>
        <w:fldSimple w:instr=" PAGE   \* MERGEFORMAT ">
          <w:r w:rsidR="00121F2B">
            <w:rPr>
              <w:noProof/>
            </w:rPr>
            <w:t>47</w:t>
          </w:r>
        </w:fldSimple>
      </w:p>
    </w:sdtContent>
  </w:sdt>
  <w:p w:rsidR="002D7C9B" w:rsidRDefault="002D7C9B">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088932"/>
      <w:docPartObj>
        <w:docPartGallery w:val="Page Numbers (Bottom of Page)"/>
        <w:docPartUnique/>
      </w:docPartObj>
    </w:sdtPr>
    <w:sdtContent>
      <w:p w:rsidR="002D7C9B" w:rsidRDefault="002D7C9B">
        <w:pPr>
          <w:pStyle w:val="Footer"/>
          <w:jc w:val="right"/>
        </w:pPr>
        <w:fldSimple w:instr=" PAGE   \* MERGEFORMAT ">
          <w:r w:rsidR="00121F2B">
            <w:rPr>
              <w:noProof/>
            </w:rPr>
            <w:t>82</w:t>
          </w:r>
        </w:fldSimple>
      </w:p>
    </w:sdtContent>
  </w:sdt>
  <w:p w:rsidR="002D7C9B" w:rsidRDefault="002D7C9B">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110009"/>
      <w:docPartObj>
        <w:docPartGallery w:val="Page Numbers (Bottom of Page)"/>
        <w:docPartUnique/>
      </w:docPartObj>
    </w:sdtPr>
    <w:sdtContent>
      <w:p w:rsidR="002D7C9B" w:rsidRDefault="002D7C9B">
        <w:pPr>
          <w:pStyle w:val="Footer"/>
          <w:jc w:val="right"/>
        </w:pPr>
        <w:fldSimple w:instr=" PAGE   \* MERGEFORMAT ">
          <w:r w:rsidR="00121F2B">
            <w:rPr>
              <w:noProof/>
            </w:rPr>
            <w:t>105</w:t>
          </w:r>
        </w:fldSimple>
      </w:p>
    </w:sdtContent>
  </w:sdt>
  <w:p w:rsidR="002D7C9B" w:rsidRDefault="002D7C9B">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110003"/>
      <w:docPartObj>
        <w:docPartGallery w:val="Page Numbers (Bottom of Page)"/>
        <w:docPartUnique/>
      </w:docPartObj>
    </w:sdtPr>
    <w:sdtContent>
      <w:p w:rsidR="002D7C9B" w:rsidRDefault="002D7C9B">
        <w:pPr>
          <w:pStyle w:val="Footer"/>
          <w:jc w:val="right"/>
        </w:pPr>
        <w:fldSimple w:instr=" PAGE  \* Arabic  \* MERGEFORMAT ">
          <w:r w:rsidR="00121F2B">
            <w:rPr>
              <w:noProof/>
            </w:rPr>
            <w:t>268</w:t>
          </w:r>
        </w:fldSimple>
      </w:p>
    </w:sdtContent>
  </w:sdt>
  <w:p w:rsidR="002D7C9B" w:rsidRDefault="002D7C9B">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090404"/>
      <w:docPartObj>
        <w:docPartGallery w:val="Page Numbers (Bottom of Page)"/>
        <w:docPartUnique/>
      </w:docPartObj>
    </w:sdtPr>
    <w:sdtContent>
      <w:p w:rsidR="00FE29E6" w:rsidRDefault="00FE29E6">
        <w:pPr>
          <w:pStyle w:val="Footer"/>
          <w:jc w:val="right"/>
        </w:pPr>
        <w:fldSimple w:instr=" PAGE   \* MERGEFORMAT ">
          <w:r w:rsidR="00121F2B">
            <w:rPr>
              <w:noProof/>
            </w:rPr>
            <w:t>281</w:t>
          </w:r>
        </w:fldSimple>
      </w:p>
    </w:sdtContent>
  </w:sdt>
  <w:p w:rsidR="00FE29E6" w:rsidRDefault="00FE29E6">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300296"/>
      <w:docPartObj>
        <w:docPartGallery w:val="Page Numbers (Bottom of Page)"/>
        <w:docPartUnique/>
      </w:docPartObj>
    </w:sdtPr>
    <w:sdtContent>
      <w:p w:rsidR="002D7C9B" w:rsidRDefault="002D7C9B">
        <w:pPr>
          <w:pStyle w:val="Footer"/>
          <w:jc w:val="right"/>
        </w:pPr>
        <w:fldSimple w:instr=" PAGE   \* MERGEFORMAT ">
          <w:r w:rsidR="00121F2B">
            <w:rPr>
              <w:noProof/>
            </w:rPr>
            <w:t>305</w:t>
          </w:r>
        </w:fldSimple>
      </w:p>
    </w:sdtContent>
  </w:sdt>
  <w:p w:rsidR="002D7C9B" w:rsidRDefault="002D7C9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168CB" w:rsidRDefault="004168CB" w:rsidP="00A538F5">
      <w:pPr>
        <w:spacing w:after="0" w:line="240" w:lineRule="auto"/>
      </w:pPr>
      <w:r>
        <w:separator/>
      </w:r>
    </w:p>
  </w:footnote>
  <w:footnote w:type="continuationSeparator" w:id="0">
    <w:p w:rsidR="004168CB" w:rsidRDefault="004168CB" w:rsidP="00A538F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90908"/>
    <w:multiLevelType w:val="hybridMultilevel"/>
    <w:tmpl w:val="508C87FC"/>
    <w:lvl w:ilvl="0" w:tplc="26085878">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67314AB"/>
    <w:multiLevelType w:val="hybridMultilevel"/>
    <w:tmpl w:val="23F012C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15353F55"/>
    <w:multiLevelType w:val="hybridMultilevel"/>
    <w:tmpl w:val="1D489460"/>
    <w:lvl w:ilvl="0" w:tplc="D0A28300">
      <w:start w:val="1"/>
      <w:numFmt w:val="lowerRoman"/>
      <w:lvlText w:val="%1."/>
      <w:lvlJc w:val="left"/>
      <w:pPr>
        <w:ind w:left="1080" w:hanging="72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15FD52B2"/>
    <w:multiLevelType w:val="hybridMultilevel"/>
    <w:tmpl w:val="1E38C7A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1CCE4B1A"/>
    <w:multiLevelType w:val="multilevel"/>
    <w:tmpl w:val="C9125832"/>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1EAD14C0"/>
    <w:multiLevelType w:val="multilevel"/>
    <w:tmpl w:val="6FF6CFFC"/>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28E35791"/>
    <w:multiLevelType w:val="hybridMultilevel"/>
    <w:tmpl w:val="B3262D9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2CB0155B"/>
    <w:multiLevelType w:val="multilevel"/>
    <w:tmpl w:val="4D4CC2DE"/>
    <w:lvl w:ilvl="0">
      <w:start w:val="2"/>
      <w:numFmt w:val="decimal"/>
      <w:lvlText w:val="%1"/>
      <w:lvlJc w:val="left"/>
      <w:pPr>
        <w:tabs>
          <w:tab w:val="num" w:pos="475"/>
        </w:tabs>
        <w:ind w:left="475" w:hanging="475"/>
      </w:pPr>
      <w:rPr>
        <w:rFonts w:hint="default"/>
      </w:rPr>
    </w:lvl>
    <w:lvl w:ilvl="1">
      <w:start w:val="4"/>
      <w:numFmt w:val="decimal"/>
      <w:lvlText w:val="%1.%2"/>
      <w:lvlJc w:val="left"/>
      <w:pPr>
        <w:tabs>
          <w:tab w:val="num" w:pos="475"/>
        </w:tabs>
        <w:ind w:left="475" w:hanging="475"/>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1440"/>
        </w:tabs>
        <w:ind w:left="1440" w:hanging="1440"/>
      </w:pPr>
      <w:rPr>
        <w:rFonts w:hint="default"/>
      </w:rPr>
    </w:lvl>
    <w:lvl w:ilvl="4">
      <w:start w:val="1"/>
      <w:numFmt w:val="decimal"/>
      <w:lvlText w:val="%1.%2.%3.%4.%5"/>
      <w:lvlJc w:val="left"/>
      <w:pPr>
        <w:tabs>
          <w:tab w:val="num" w:pos="1980"/>
        </w:tabs>
        <w:ind w:left="19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
    <w:nsid w:val="363A0D8A"/>
    <w:multiLevelType w:val="multilevel"/>
    <w:tmpl w:val="44BA2500"/>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3A215159"/>
    <w:multiLevelType w:val="hybridMultilevel"/>
    <w:tmpl w:val="997EFA6E"/>
    <w:lvl w:ilvl="0" w:tplc="0809000F">
      <w:start w:val="1"/>
      <w:numFmt w:val="decimal"/>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3B6C6986"/>
    <w:multiLevelType w:val="hybridMultilevel"/>
    <w:tmpl w:val="03C273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3E1A38E8"/>
    <w:multiLevelType w:val="hybridMultilevel"/>
    <w:tmpl w:val="1E38C7A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49C00CED"/>
    <w:multiLevelType w:val="hybridMultilevel"/>
    <w:tmpl w:val="F0DA8AA4"/>
    <w:lvl w:ilvl="0" w:tplc="F20A023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55BA0EEA"/>
    <w:multiLevelType w:val="hybridMultilevel"/>
    <w:tmpl w:val="6764F25E"/>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5B8F444A"/>
    <w:multiLevelType w:val="multilevel"/>
    <w:tmpl w:val="DC3EC1E2"/>
    <w:lvl w:ilvl="0">
      <w:start w:val="1"/>
      <w:numFmt w:val="decimal"/>
      <w:suff w:val="space"/>
      <w:lvlText w:val="Chapter %1 "/>
      <w:lvlJc w:val="left"/>
      <w:pPr>
        <w:ind w:left="897" w:hanging="357"/>
      </w:pPr>
      <w:rPr>
        <w:rFonts w:hint="default"/>
      </w:rPr>
    </w:lvl>
    <w:lvl w:ilvl="1">
      <w:start w:val="1"/>
      <w:numFmt w:val="decimal"/>
      <w:pStyle w:val="StyleHeading2ComplexBoldNounderline"/>
      <w:lvlText w:val="2.%2"/>
      <w:lvlJc w:val="left"/>
      <w:pPr>
        <w:tabs>
          <w:tab w:val="num" w:pos="567"/>
        </w:tabs>
        <w:ind w:left="357" w:hanging="357"/>
      </w:pPr>
      <w:rPr>
        <w:rFonts w:hint="default"/>
      </w:rPr>
    </w:lvl>
    <w:lvl w:ilvl="2">
      <w:start w:val="1"/>
      <w:numFmt w:val="decimal"/>
      <w:pStyle w:val="Heading3"/>
      <w:lvlText w:val="2.%2.%3"/>
      <w:lvlJc w:val="left"/>
      <w:pPr>
        <w:tabs>
          <w:tab w:val="num" w:pos="0"/>
        </w:tabs>
        <w:ind w:left="0" w:firstLine="0"/>
      </w:pPr>
      <w:rPr>
        <w:rFonts w:hint="default"/>
      </w:rPr>
    </w:lvl>
    <w:lvl w:ilvl="3">
      <w:start w:val="1"/>
      <w:numFmt w:val="decimal"/>
      <w:pStyle w:val="Heading4"/>
      <w:lvlText w:val="2.%2.%3.%4"/>
      <w:lvlJc w:val="left"/>
      <w:pPr>
        <w:tabs>
          <w:tab w:val="num" w:pos="432"/>
        </w:tabs>
        <w:ind w:left="357" w:firstLine="0"/>
      </w:pPr>
      <w:rPr>
        <w:rFonts w:hint="default"/>
        <w:i w:val="0"/>
        <w:iCs/>
      </w:rPr>
    </w:lvl>
    <w:lvl w:ilvl="4">
      <w:start w:val="1"/>
      <w:numFmt w:val="decimal"/>
      <w:pStyle w:val="Heading5"/>
      <w:lvlText w:val="2.%2.%3.%4.%5"/>
      <w:lvlJc w:val="left"/>
      <w:pPr>
        <w:tabs>
          <w:tab w:val="num" w:pos="1077"/>
        </w:tabs>
        <w:ind w:left="1077" w:firstLine="0"/>
      </w:pPr>
      <w:rPr>
        <w:rFonts w:hint="default"/>
      </w:rPr>
    </w:lvl>
    <w:lvl w:ilvl="5">
      <w:start w:val="1"/>
      <w:numFmt w:val="decimal"/>
      <w:lvlText w:val="%1.%2.%3.%4.%5.%6."/>
      <w:lvlJc w:val="left"/>
      <w:pPr>
        <w:tabs>
          <w:tab w:val="num" w:pos="2517"/>
        </w:tabs>
        <w:ind w:left="1077" w:firstLine="0"/>
      </w:pPr>
      <w:rPr>
        <w:rFonts w:hint="default"/>
      </w:rPr>
    </w:lvl>
    <w:lvl w:ilvl="6">
      <w:start w:val="1"/>
      <w:numFmt w:val="decimal"/>
      <w:lvlText w:val="%1.%2.%3.%4.%5.%6.%7."/>
      <w:lvlJc w:val="left"/>
      <w:pPr>
        <w:tabs>
          <w:tab w:val="num" w:pos="2877"/>
        </w:tabs>
        <w:ind w:left="1077" w:firstLine="0"/>
      </w:pPr>
      <w:rPr>
        <w:rFonts w:hint="default"/>
      </w:rPr>
    </w:lvl>
    <w:lvl w:ilvl="7">
      <w:start w:val="1"/>
      <w:numFmt w:val="decimal"/>
      <w:lvlText w:val="%1.%2.%3.%4.%5.%6.%7.%8."/>
      <w:lvlJc w:val="left"/>
      <w:pPr>
        <w:tabs>
          <w:tab w:val="num" w:pos="2877"/>
        </w:tabs>
        <w:ind w:left="1077" w:firstLine="0"/>
      </w:pPr>
      <w:rPr>
        <w:rFonts w:hint="default"/>
      </w:rPr>
    </w:lvl>
    <w:lvl w:ilvl="8">
      <w:start w:val="1"/>
      <w:numFmt w:val="decimal"/>
      <w:lvlText w:val="%1.%2.%3.%4.%5.%6.%7.%8.%9."/>
      <w:lvlJc w:val="left"/>
      <w:pPr>
        <w:tabs>
          <w:tab w:val="num" w:pos="3237"/>
        </w:tabs>
        <w:ind w:left="1077" w:firstLine="0"/>
      </w:pPr>
      <w:rPr>
        <w:rFonts w:hint="default"/>
      </w:rPr>
    </w:lvl>
  </w:abstractNum>
  <w:abstractNum w:abstractNumId="15">
    <w:nsid w:val="6751662B"/>
    <w:multiLevelType w:val="hybridMultilevel"/>
    <w:tmpl w:val="DC5C3FC8"/>
    <w:lvl w:ilvl="0" w:tplc="53F67D8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6A8B1659"/>
    <w:multiLevelType w:val="multilevel"/>
    <w:tmpl w:val="0C4C2BC6"/>
    <w:lvl w:ilvl="0">
      <w:start w:val="2"/>
      <w:numFmt w:val="decimal"/>
      <w:lvlText w:val="%1"/>
      <w:lvlJc w:val="left"/>
      <w:pPr>
        <w:tabs>
          <w:tab w:val="num" w:pos="432"/>
        </w:tabs>
        <w:ind w:left="432" w:hanging="432"/>
      </w:pPr>
      <w:rPr>
        <w:rFonts w:ascii="Arial" w:hAnsi="Arial" w:hint="default"/>
      </w:rPr>
    </w:lvl>
    <w:lvl w:ilvl="1">
      <w:start w:val="1"/>
      <w:numFmt w:val="decimal"/>
      <w:lvlText w:val="2.%2"/>
      <w:lvlJc w:val="left"/>
      <w:pPr>
        <w:tabs>
          <w:tab w:val="num" w:pos="576"/>
        </w:tabs>
        <w:ind w:left="576" w:hanging="576"/>
      </w:pPr>
      <w:rPr>
        <w:rFonts w:ascii="Arial" w:hAnsi="Arial" w:hint="default"/>
        <w:b/>
        <w:i w:val="0"/>
        <w:sz w:val="24"/>
      </w:rPr>
    </w:lvl>
    <w:lvl w:ilvl="2">
      <w:start w:val="1"/>
      <w:numFmt w:val="decimal"/>
      <w:lvlText w:val="%1.%2.%3"/>
      <w:lvlJc w:val="left"/>
      <w:pPr>
        <w:tabs>
          <w:tab w:val="num" w:pos="720"/>
        </w:tabs>
        <w:ind w:left="720" w:hanging="720"/>
      </w:pPr>
      <w:rPr>
        <w:rFonts w:ascii="Arial" w:hAnsi="Arial" w:hint="default"/>
        <w:b w:val="0"/>
        <w:i w:val="0"/>
        <w:sz w:val="24"/>
      </w:rPr>
    </w:lvl>
    <w:lvl w:ilvl="3">
      <w:start w:val="1"/>
      <w:numFmt w:val="decimal"/>
      <w:lvlText w:val="%1.%2.%3.%4"/>
      <w:lvlJc w:val="left"/>
      <w:pPr>
        <w:tabs>
          <w:tab w:val="num" w:pos="864"/>
        </w:tabs>
        <w:ind w:left="864" w:hanging="864"/>
      </w:pPr>
      <w:rPr>
        <w:rFonts w:ascii="Arial" w:hAnsi="Arial" w:hint="default"/>
        <w:b w:val="0"/>
        <w:i w:val="0"/>
        <w:sz w:val="20"/>
      </w:r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7">
    <w:nsid w:val="717B4B9B"/>
    <w:multiLevelType w:val="multilevel"/>
    <w:tmpl w:val="634EFFD8"/>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5"/>
  </w:num>
  <w:num w:numId="2">
    <w:abstractNumId w:val="8"/>
  </w:num>
  <w:num w:numId="3">
    <w:abstractNumId w:val="17"/>
  </w:num>
  <w:num w:numId="4">
    <w:abstractNumId w:val="4"/>
  </w:num>
  <w:num w:numId="5">
    <w:abstractNumId w:val="9"/>
  </w:num>
  <w:num w:numId="6">
    <w:abstractNumId w:val="14"/>
  </w:num>
  <w:num w:numId="7">
    <w:abstractNumId w:val="7"/>
  </w:num>
  <w:num w:numId="8">
    <w:abstractNumId w:val="6"/>
  </w:num>
  <w:num w:numId="9">
    <w:abstractNumId w:val="2"/>
  </w:num>
  <w:num w:numId="10">
    <w:abstractNumId w:val="1"/>
  </w:num>
  <w:num w:numId="11">
    <w:abstractNumId w:val="16"/>
  </w:num>
  <w:num w:numId="12">
    <w:abstractNumId w:val="13"/>
  </w:num>
  <w:num w:numId="13">
    <w:abstractNumId w:val="10"/>
  </w:num>
  <w:num w:numId="14">
    <w:abstractNumId w:val="3"/>
  </w:num>
  <w:num w:numId="15">
    <w:abstractNumId w:val="0"/>
  </w:num>
  <w:num w:numId="16">
    <w:abstractNumId w:val="15"/>
  </w:num>
  <w:num w:numId="1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1"/>
  </w:num>
  <w:num w:numId="19">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proofState w:grammar="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6E2685"/>
    <w:rsid w:val="000179F1"/>
    <w:rsid w:val="000A21ED"/>
    <w:rsid w:val="000A24EC"/>
    <w:rsid w:val="00121F2B"/>
    <w:rsid w:val="001378D4"/>
    <w:rsid w:val="00185F6F"/>
    <w:rsid w:val="00196E2A"/>
    <w:rsid w:val="00197FB1"/>
    <w:rsid w:val="001B6817"/>
    <w:rsid w:val="0024733A"/>
    <w:rsid w:val="002A2A79"/>
    <w:rsid w:val="002C6759"/>
    <w:rsid w:val="002D7C9B"/>
    <w:rsid w:val="00313B3D"/>
    <w:rsid w:val="003205E5"/>
    <w:rsid w:val="00324834"/>
    <w:rsid w:val="00346765"/>
    <w:rsid w:val="00363557"/>
    <w:rsid w:val="003673FE"/>
    <w:rsid w:val="003B1747"/>
    <w:rsid w:val="003C6DF1"/>
    <w:rsid w:val="004168CB"/>
    <w:rsid w:val="00460946"/>
    <w:rsid w:val="00492030"/>
    <w:rsid w:val="004929CB"/>
    <w:rsid w:val="004A2AF6"/>
    <w:rsid w:val="004D7213"/>
    <w:rsid w:val="004F6F6A"/>
    <w:rsid w:val="00513C8F"/>
    <w:rsid w:val="00571B87"/>
    <w:rsid w:val="005945DD"/>
    <w:rsid w:val="005971A1"/>
    <w:rsid w:val="005A63D1"/>
    <w:rsid w:val="00617681"/>
    <w:rsid w:val="00632440"/>
    <w:rsid w:val="00636CE8"/>
    <w:rsid w:val="006809B5"/>
    <w:rsid w:val="006C5A4E"/>
    <w:rsid w:val="006E2685"/>
    <w:rsid w:val="00733EBA"/>
    <w:rsid w:val="0074346D"/>
    <w:rsid w:val="007454C4"/>
    <w:rsid w:val="007856E7"/>
    <w:rsid w:val="007F2D03"/>
    <w:rsid w:val="007F78F1"/>
    <w:rsid w:val="00815B51"/>
    <w:rsid w:val="00821C4A"/>
    <w:rsid w:val="008232B4"/>
    <w:rsid w:val="008249BF"/>
    <w:rsid w:val="00843797"/>
    <w:rsid w:val="00865BFE"/>
    <w:rsid w:val="008B217C"/>
    <w:rsid w:val="008C31BA"/>
    <w:rsid w:val="008F1288"/>
    <w:rsid w:val="00950801"/>
    <w:rsid w:val="009558F4"/>
    <w:rsid w:val="009831BC"/>
    <w:rsid w:val="009A4D03"/>
    <w:rsid w:val="009B41DF"/>
    <w:rsid w:val="009D4BF8"/>
    <w:rsid w:val="00A058CD"/>
    <w:rsid w:val="00A538F5"/>
    <w:rsid w:val="00AA5269"/>
    <w:rsid w:val="00AC7A50"/>
    <w:rsid w:val="00AE6573"/>
    <w:rsid w:val="00B20A2E"/>
    <w:rsid w:val="00B24A01"/>
    <w:rsid w:val="00B544FF"/>
    <w:rsid w:val="00B943BF"/>
    <w:rsid w:val="00BB0366"/>
    <w:rsid w:val="00BB4065"/>
    <w:rsid w:val="00BC7357"/>
    <w:rsid w:val="00BC7652"/>
    <w:rsid w:val="00C52D5A"/>
    <w:rsid w:val="00C61A43"/>
    <w:rsid w:val="00C6309A"/>
    <w:rsid w:val="00C65B94"/>
    <w:rsid w:val="00C75FBC"/>
    <w:rsid w:val="00C950CB"/>
    <w:rsid w:val="00CA661B"/>
    <w:rsid w:val="00CD4575"/>
    <w:rsid w:val="00D1761C"/>
    <w:rsid w:val="00D467DD"/>
    <w:rsid w:val="00DA5A15"/>
    <w:rsid w:val="00DD35F0"/>
    <w:rsid w:val="00E45F7D"/>
    <w:rsid w:val="00E82FA3"/>
    <w:rsid w:val="00ED5C86"/>
    <w:rsid w:val="00EF4519"/>
    <w:rsid w:val="00F1540B"/>
    <w:rsid w:val="00F32282"/>
    <w:rsid w:val="00F36506"/>
    <w:rsid w:val="00F67FB0"/>
    <w:rsid w:val="00F700A9"/>
    <w:rsid w:val="00F717F5"/>
    <w:rsid w:val="00F728CC"/>
    <w:rsid w:val="00F900A8"/>
    <w:rsid w:val="00F95734"/>
    <w:rsid w:val="00FA5A3A"/>
    <w:rsid w:val="00FE29E6"/>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rules v:ext="edit">
        <o:r id="V:Rule1" type="connector" idref="#_x0000_s1040"/>
        <o:r id="V:Rule2" type="connector" idref="#_x0000_s104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Typewriter"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67DD"/>
  </w:style>
  <w:style w:type="paragraph" w:styleId="Heading1">
    <w:name w:val="heading 1"/>
    <w:basedOn w:val="Normal"/>
    <w:next w:val="Normal"/>
    <w:link w:val="Heading1Char"/>
    <w:uiPriority w:val="9"/>
    <w:qFormat/>
    <w:rsid w:val="002D7C9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2D7C9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2D7C9B"/>
    <w:pPr>
      <w:keepNext/>
      <w:numPr>
        <w:ilvl w:val="2"/>
        <w:numId w:val="6"/>
      </w:numPr>
      <w:spacing w:after="0" w:line="360" w:lineRule="auto"/>
      <w:ind w:right="113"/>
      <w:jc w:val="both"/>
      <w:outlineLvl w:val="2"/>
    </w:pPr>
    <w:rPr>
      <w:rFonts w:ascii="Times New Roman" w:eastAsia="Times New Roman" w:hAnsi="Times New Roman" w:cs="Times New Roman"/>
      <w:b/>
      <w:sz w:val="24"/>
      <w:szCs w:val="24"/>
    </w:rPr>
  </w:style>
  <w:style w:type="paragraph" w:styleId="Heading4">
    <w:name w:val="heading 4"/>
    <w:basedOn w:val="Normal"/>
    <w:next w:val="Normal"/>
    <w:link w:val="Heading4Char"/>
    <w:qFormat/>
    <w:rsid w:val="002D7C9B"/>
    <w:pPr>
      <w:keepNext/>
      <w:numPr>
        <w:ilvl w:val="3"/>
        <w:numId w:val="6"/>
      </w:numPr>
      <w:spacing w:before="360" w:after="240" w:line="240" w:lineRule="auto"/>
      <w:jc w:val="both"/>
      <w:outlineLvl w:val="3"/>
    </w:pPr>
    <w:rPr>
      <w:rFonts w:ascii="Times New Roman" w:eastAsia="Times New Roman" w:hAnsi="Times New Roman" w:cs="Times New Roman"/>
      <w:b/>
      <w:sz w:val="24"/>
      <w:szCs w:val="24"/>
    </w:rPr>
  </w:style>
  <w:style w:type="paragraph" w:styleId="Heading5">
    <w:name w:val="heading 5"/>
    <w:basedOn w:val="Heading4"/>
    <w:next w:val="Normal"/>
    <w:link w:val="Heading5Char"/>
    <w:autoRedefine/>
    <w:qFormat/>
    <w:rsid w:val="002D7C9B"/>
    <w:pPr>
      <w:numPr>
        <w:ilvl w:val="4"/>
      </w:numPr>
      <w:tabs>
        <w:tab w:val="clear" w:pos="1077"/>
        <w:tab w:val="left" w:pos="1440"/>
      </w:tabs>
      <w:spacing w:line="360" w:lineRule="auto"/>
      <w:ind w:left="0"/>
      <w:outlineLvl w:val="4"/>
    </w:pPr>
    <w:rPr>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ibliography">
    <w:name w:val="Bibliography"/>
    <w:basedOn w:val="Normal"/>
    <w:next w:val="Normal"/>
    <w:uiPriority w:val="37"/>
    <w:unhideWhenUsed/>
    <w:rsid w:val="00B943BF"/>
    <w:pPr>
      <w:spacing w:after="0" w:line="240" w:lineRule="auto"/>
      <w:ind w:left="720" w:hanging="720"/>
    </w:pPr>
  </w:style>
  <w:style w:type="paragraph" w:styleId="Header">
    <w:name w:val="header"/>
    <w:basedOn w:val="Normal"/>
    <w:link w:val="HeaderChar"/>
    <w:uiPriority w:val="99"/>
    <w:semiHidden/>
    <w:unhideWhenUsed/>
    <w:rsid w:val="00A538F5"/>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A538F5"/>
  </w:style>
  <w:style w:type="paragraph" w:styleId="Footer">
    <w:name w:val="footer"/>
    <w:basedOn w:val="Normal"/>
    <w:link w:val="FooterChar"/>
    <w:uiPriority w:val="99"/>
    <w:unhideWhenUsed/>
    <w:rsid w:val="00A538F5"/>
    <w:pPr>
      <w:tabs>
        <w:tab w:val="center" w:pos="4513"/>
        <w:tab w:val="right" w:pos="9026"/>
      </w:tabs>
      <w:spacing w:after="0" w:line="240" w:lineRule="auto"/>
    </w:pPr>
  </w:style>
  <w:style w:type="character" w:customStyle="1" w:styleId="FooterChar">
    <w:name w:val="Footer Char"/>
    <w:basedOn w:val="DefaultParagraphFont"/>
    <w:link w:val="Footer"/>
    <w:uiPriority w:val="99"/>
    <w:rsid w:val="00A538F5"/>
  </w:style>
  <w:style w:type="paragraph" w:styleId="ListParagraph">
    <w:name w:val="List Paragraph"/>
    <w:basedOn w:val="Normal"/>
    <w:uiPriority w:val="34"/>
    <w:qFormat/>
    <w:rsid w:val="003C6DF1"/>
    <w:pPr>
      <w:ind w:left="720"/>
      <w:contextualSpacing/>
    </w:pPr>
  </w:style>
  <w:style w:type="character" w:customStyle="1" w:styleId="apple-style-span">
    <w:name w:val="apple-style-span"/>
    <w:basedOn w:val="DefaultParagraphFont"/>
    <w:rsid w:val="003C6DF1"/>
  </w:style>
  <w:style w:type="table" w:styleId="TableGrid">
    <w:name w:val="Table Grid"/>
    <w:basedOn w:val="TableNormal"/>
    <w:uiPriority w:val="59"/>
    <w:rsid w:val="003673F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justifytxt">
    <w:name w:val="justifytxt"/>
    <w:basedOn w:val="DefaultParagraphFont"/>
    <w:rsid w:val="000A24EC"/>
  </w:style>
  <w:style w:type="character" w:styleId="Emphasis">
    <w:name w:val="Emphasis"/>
    <w:basedOn w:val="DefaultParagraphFont"/>
    <w:uiPriority w:val="20"/>
    <w:qFormat/>
    <w:rsid w:val="00C75FBC"/>
    <w:rPr>
      <w:i/>
      <w:iCs/>
    </w:rPr>
  </w:style>
  <w:style w:type="paragraph" w:styleId="BalloonText">
    <w:name w:val="Balloon Text"/>
    <w:basedOn w:val="Normal"/>
    <w:link w:val="BalloonTextChar"/>
    <w:uiPriority w:val="99"/>
    <w:semiHidden/>
    <w:unhideWhenUsed/>
    <w:rsid w:val="00BC765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7652"/>
    <w:rPr>
      <w:rFonts w:ascii="Tahoma" w:hAnsi="Tahoma" w:cs="Tahoma"/>
      <w:sz w:val="16"/>
      <w:szCs w:val="16"/>
    </w:rPr>
  </w:style>
  <w:style w:type="character" w:customStyle="1" w:styleId="Heading1Char">
    <w:name w:val="Heading 1 Char"/>
    <w:basedOn w:val="DefaultParagraphFont"/>
    <w:link w:val="Heading1"/>
    <w:uiPriority w:val="9"/>
    <w:rsid w:val="002D7C9B"/>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sid w:val="002D7C9B"/>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2D7C9B"/>
    <w:rPr>
      <w:rFonts w:ascii="Times New Roman" w:eastAsia="Times New Roman" w:hAnsi="Times New Roman" w:cs="Times New Roman"/>
      <w:b/>
      <w:sz w:val="24"/>
      <w:szCs w:val="24"/>
    </w:rPr>
  </w:style>
  <w:style w:type="character" w:customStyle="1" w:styleId="Heading4Char">
    <w:name w:val="Heading 4 Char"/>
    <w:basedOn w:val="DefaultParagraphFont"/>
    <w:link w:val="Heading4"/>
    <w:rsid w:val="002D7C9B"/>
    <w:rPr>
      <w:rFonts w:ascii="Times New Roman" w:eastAsia="Times New Roman" w:hAnsi="Times New Roman" w:cs="Times New Roman"/>
      <w:b/>
      <w:sz w:val="24"/>
      <w:szCs w:val="24"/>
    </w:rPr>
  </w:style>
  <w:style w:type="character" w:customStyle="1" w:styleId="Heading5Char">
    <w:name w:val="Heading 5 Char"/>
    <w:basedOn w:val="DefaultParagraphFont"/>
    <w:link w:val="Heading5"/>
    <w:rsid w:val="002D7C9B"/>
    <w:rPr>
      <w:rFonts w:ascii="Times New Roman" w:eastAsia="Times New Roman" w:hAnsi="Times New Roman" w:cs="Times New Roman"/>
      <w:b/>
      <w:bCs/>
      <w:sz w:val="24"/>
      <w:szCs w:val="24"/>
    </w:rPr>
  </w:style>
  <w:style w:type="paragraph" w:styleId="BodyText">
    <w:name w:val="Body Text"/>
    <w:basedOn w:val="Normal"/>
    <w:link w:val="BodyTextChar"/>
    <w:rsid w:val="002D7C9B"/>
    <w:pPr>
      <w:spacing w:after="0" w:line="360" w:lineRule="auto"/>
      <w:jc w:val="both"/>
    </w:pPr>
    <w:rPr>
      <w:rFonts w:ascii="Times New Roman" w:eastAsia="Times New Roman" w:hAnsi="Times New Roman" w:cs="Times New Roman"/>
      <w:sz w:val="24"/>
      <w:szCs w:val="20"/>
    </w:rPr>
  </w:style>
  <w:style w:type="character" w:customStyle="1" w:styleId="BodyTextChar">
    <w:name w:val="Body Text Char"/>
    <w:basedOn w:val="DefaultParagraphFont"/>
    <w:link w:val="BodyText"/>
    <w:rsid w:val="002D7C9B"/>
    <w:rPr>
      <w:rFonts w:ascii="Times New Roman" w:eastAsia="Times New Roman" w:hAnsi="Times New Roman" w:cs="Times New Roman"/>
      <w:sz w:val="24"/>
      <w:szCs w:val="20"/>
    </w:rPr>
  </w:style>
  <w:style w:type="paragraph" w:customStyle="1" w:styleId="StyleHeading2ComplexBoldNounderline">
    <w:name w:val="Style Heading 2 + (Complex) Bold No underline"/>
    <w:basedOn w:val="Heading2"/>
    <w:rsid w:val="002D7C9B"/>
    <w:pPr>
      <w:keepLines w:val="0"/>
      <w:numPr>
        <w:ilvl w:val="1"/>
        <w:numId w:val="6"/>
      </w:numPr>
      <w:spacing w:before="240" w:after="240" w:line="240" w:lineRule="auto"/>
    </w:pPr>
    <w:rPr>
      <w:rFonts w:ascii="Times New Roman" w:eastAsia="Times New Roman" w:hAnsi="Times New Roman" w:cs="Times New Roman"/>
      <w:color w:val="auto"/>
      <w:sz w:val="24"/>
      <w:szCs w:val="24"/>
    </w:rPr>
  </w:style>
  <w:style w:type="paragraph" w:customStyle="1" w:styleId="StyleHeading3ComplexBold">
    <w:name w:val="Style Heading 3 + (Complex) Bold"/>
    <w:basedOn w:val="Heading3"/>
    <w:link w:val="StyleHeading3ComplexBoldChar"/>
    <w:rsid w:val="002D7C9B"/>
    <w:pPr>
      <w:spacing w:before="360" w:after="240" w:line="240" w:lineRule="auto"/>
      <w:ind w:right="0"/>
    </w:pPr>
    <w:rPr>
      <w:bCs/>
    </w:rPr>
  </w:style>
  <w:style w:type="character" w:customStyle="1" w:styleId="StyleHeading3ComplexBoldChar">
    <w:name w:val="Style Heading 3 + (Complex) Bold Char"/>
    <w:basedOn w:val="Heading3Char"/>
    <w:link w:val="StyleHeading3ComplexBold"/>
    <w:rsid w:val="002D7C9B"/>
    <w:rPr>
      <w:bCs/>
    </w:rPr>
  </w:style>
  <w:style w:type="character" w:styleId="HTMLTypewriter">
    <w:name w:val="HTML Typewriter"/>
    <w:basedOn w:val="DefaultParagraphFont"/>
    <w:rsid w:val="002D7C9B"/>
    <w:rPr>
      <w:rFonts w:ascii="Courier New" w:eastAsia="SimSun" w:hAnsi="Courier New" w:cs="Courier New"/>
      <w:sz w:val="20"/>
      <w:szCs w:val="20"/>
    </w:rPr>
  </w:style>
  <w:style w:type="character" w:styleId="Hyperlink">
    <w:name w:val="Hyperlink"/>
    <w:basedOn w:val="DefaultParagraphFont"/>
    <w:uiPriority w:val="99"/>
    <w:unhideWhenUsed/>
    <w:rsid w:val="002D7C9B"/>
    <w:rPr>
      <w:color w:val="0000FF" w:themeColor="hyperlink"/>
      <w:u w:val="single"/>
    </w:rPr>
  </w:style>
  <w:style w:type="character" w:customStyle="1" w:styleId="apple-converted-space">
    <w:name w:val="apple-converted-space"/>
    <w:basedOn w:val="DefaultParagraphFont"/>
    <w:rsid w:val="002D7C9B"/>
  </w:style>
  <w:style w:type="character" w:styleId="PlaceholderText">
    <w:name w:val="Placeholder Text"/>
    <w:basedOn w:val="DefaultParagraphFont"/>
    <w:uiPriority w:val="99"/>
    <w:semiHidden/>
    <w:rsid w:val="002D7C9B"/>
    <w:rPr>
      <w:color w:val="808080"/>
    </w:rPr>
  </w:style>
  <w:style w:type="paragraph" w:styleId="PlainText">
    <w:name w:val="Plain Text"/>
    <w:basedOn w:val="Normal"/>
    <w:link w:val="PlainTextChar"/>
    <w:uiPriority w:val="99"/>
    <w:unhideWhenUsed/>
    <w:rsid w:val="002D7C9B"/>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rsid w:val="002D7C9B"/>
    <w:rPr>
      <w:rFonts w:ascii="Consolas" w:hAnsi="Consolas" w:cs="Consolas"/>
      <w:sz w:val="21"/>
      <w:szCs w:val="21"/>
    </w:rPr>
  </w:style>
  <w:style w:type="character" w:styleId="FollowedHyperlink">
    <w:name w:val="FollowedHyperlink"/>
    <w:basedOn w:val="DefaultParagraphFont"/>
    <w:uiPriority w:val="99"/>
    <w:semiHidden/>
    <w:unhideWhenUsed/>
    <w:rsid w:val="007F78F1"/>
    <w:rPr>
      <w:color w:val="800080" w:themeColor="followedHyperlink"/>
      <w:u w:val="single"/>
    </w:rPr>
  </w:style>
  <w:style w:type="character" w:customStyle="1" w:styleId="slug-elocation">
    <w:name w:val="slug-elocation"/>
    <w:basedOn w:val="DefaultParagraphFont"/>
    <w:rsid w:val="009831BC"/>
  </w:style>
</w:styles>
</file>

<file path=word/webSettings.xml><?xml version="1.0" encoding="utf-8"?>
<w:webSettings xmlns:r="http://schemas.openxmlformats.org/officeDocument/2006/relationships" xmlns:w="http://schemas.openxmlformats.org/wordprocessingml/2006/main">
  <w:divs>
    <w:div w:id="939414846">
      <w:bodyDiv w:val="1"/>
      <w:marLeft w:val="0"/>
      <w:marRight w:val="0"/>
      <w:marTop w:val="0"/>
      <w:marBottom w:val="0"/>
      <w:divBdr>
        <w:top w:val="none" w:sz="0" w:space="0" w:color="auto"/>
        <w:left w:val="none" w:sz="0" w:space="0" w:color="auto"/>
        <w:bottom w:val="none" w:sz="0" w:space="0" w:color="auto"/>
        <w:right w:val="none" w:sz="0" w:space="0" w:color="auto"/>
      </w:divBdr>
    </w:div>
    <w:div w:id="1072046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emf"/><Relationship Id="rId42" Type="http://schemas.openxmlformats.org/officeDocument/2006/relationships/image" Target="media/image31.emf"/><Relationship Id="rId47" Type="http://schemas.openxmlformats.org/officeDocument/2006/relationships/image" Target="media/image36.emf"/><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0.png"/><Relationship Id="rId16" Type="http://schemas.openxmlformats.org/officeDocument/2006/relationships/image" Target="media/image8.emf"/><Relationship Id="rId107" Type="http://schemas.openxmlformats.org/officeDocument/2006/relationships/image" Target="media/image96.png"/><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footer" Target="footer3.xml"/><Relationship Id="rId37" Type="http://schemas.openxmlformats.org/officeDocument/2006/relationships/image" Target="media/image26.emf"/><Relationship Id="rId40" Type="http://schemas.openxmlformats.org/officeDocument/2006/relationships/image" Target="media/image29.png"/><Relationship Id="rId45" Type="http://schemas.openxmlformats.org/officeDocument/2006/relationships/image" Target="media/image34.emf"/><Relationship Id="rId53" Type="http://schemas.openxmlformats.org/officeDocument/2006/relationships/image" Target="media/image42.tiff"/><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8.emf"/><Relationship Id="rId87" Type="http://schemas.openxmlformats.org/officeDocument/2006/relationships/image" Target="media/image76.png"/><Relationship Id="rId102" Type="http://schemas.openxmlformats.org/officeDocument/2006/relationships/image" Target="media/image91.emf"/><Relationship Id="rId110" Type="http://schemas.openxmlformats.org/officeDocument/2006/relationships/image" Target="media/image98.png"/><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0.pn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1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jpeg"/><Relationship Id="rId30" Type="http://schemas.openxmlformats.org/officeDocument/2006/relationships/image" Target="media/image22.emf"/><Relationship Id="rId35" Type="http://schemas.openxmlformats.org/officeDocument/2006/relationships/footer" Target="footer4.xml"/><Relationship Id="rId43" Type="http://schemas.openxmlformats.org/officeDocument/2006/relationships/image" Target="media/image32.emf"/><Relationship Id="rId48" Type="http://schemas.openxmlformats.org/officeDocument/2006/relationships/image" Target="media/image37.emf"/><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13" Type="http://schemas.openxmlformats.org/officeDocument/2006/relationships/footer" Target="footer6.xml"/><Relationship Id="rId8" Type="http://schemas.openxmlformats.org/officeDocument/2006/relationships/footer" Target="footer1.xm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emf"/><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tiff"/><Relationship Id="rId25" Type="http://schemas.openxmlformats.org/officeDocument/2006/relationships/image" Target="media/image17.png"/><Relationship Id="rId33" Type="http://schemas.openxmlformats.org/officeDocument/2006/relationships/image" Target="media/image23.emf"/><Relationship Id="rId38" Type="http://schemas.openxmlformats.org/officeDocument/2006/relationships/image" Target="media/image27.emf"/><Relationship Id="rId46" Type="http://schemas.openxmlformats.org/officeDocument/2006/relationships/image" Target="media/image35.emf"/><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image" Target="media/image92.emf"/><Relationship Id="rId108" Type="http://schemas.openxmlformats.org/officeDocument/2006/relationships/image" Target="media/image97.png"/><Relationship Id="rId20" Type="http://schemas.openxmlformats.org/officeDocument/2006/relationships/image" Target="media/image12.emf"/><Relationship Id="rId41" Type="http://schemas.openxmlformats.org/officeDocument/2006/relationships/image" Target="media/image30.png"/><Relationship Id="rId54" Type="http://schemas.openxmlformats.org/officeDocument/2006/relationships/image" Target="media/image43.tiff"/><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9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5.emf"/><Relationship Id="rId49" Type="http://schemas.openxmlformats.org/officeDocument/2006/relationships/image" Target="media/image38.emf"/><Relationship Id="rId57" Type="http://schemas.openxmlformats.org/officeDocument/2006/relationships/image" Target="media/image46.png"/><Relationship Id="rId106" Type="http://schemas.openxmlformats.org/officeDocument/2006/relationships/image" Target="media/image95.emf"/><Relationship Id="rId114" Type="http://schemas.openxmlformats.org/officeDocument/2006/relationships/fontTable" Target="fontTable.xml"/><Relationship Id="rId10" Type="http://schemas.openxmlformats.org/officeDocument/2006/relationships/image" Target="media/image2.emf"/><Relationship Id="rId31" Type="http://schemas.openxmlformats.org/officeDocument/2006/relationships/footer" Target="footer2.xml"/><Relationship Id="rId44" Type="http://schemas.openxmlformats.org/officeDocument/2006/relationships/image" Target="media/image33.emf"/><Relationship Id="rId52" Type="http://schemas.openxmlformats.org/officeDocument/2006/relationships/image" Target="media/image41.emf"/><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emf"/><Relationship Id="rId4" Type="http://schemas.openxmlformats.org/officeDocument/2006/relationships/settings" Target="settings.xml"/><Relationship Id="rId9" Type="http://schemas.openxmlformats.org/officeDocument/2006/relationships/image" Target="media/image1.emf"/><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image" Target="media/image28.png"/><Relationship Id="rId109" Type="http://schemas.openxmlformats.org/officeDocument/2006/relationships/footer" Target="footer5.xml"/><Relationship Id="rId34" Type="http://schemas.openxmlformats.org/officeDocument/2006/relationships/image" Target="media/image24.emf"/><Relationship Id="rId50" Type="http://schemas.openxmlformats.org/officeDocument/2006/relationships/image" Target="media/image39.emf"/><Relationship Id="rId55" Type="http://schemas.openxmlformats.org/officeDocument/2006/relationships/image" Target="media/image44.emf"/><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emf"/><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2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DEC3614-E479-4AB9-A05A-D4FE2018D3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321</Pages>
  <Words>249037</Words>
  <Characters>1419511</Characters>
  <Application>Microsoft Office Word</Application>
  <DocSecurity>0</DocSecurity>
  <Lines>11829</Lines>
  <Paragraphs>3330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1665218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Richard</dc:creator>
  <cp:lastModifiedBy>Richard</cp:lastModifiedBy>
  <cp:revision>2</cp:revision>
  <cp:lastPrinted>2012-07-16T11:04:00Z</cp:lastPrinted>
  <dcterms:created xsi:type="dcterms:W3CDTF">2012-08-28T11:22:00Z</dcterms:created>
  <dcterms:modified xsi:type="dcterms:W3CDTF">2012-08-28T11:22:00Z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zotero-version="3.0.8"&gt;&lt;session id="fIupvTy6"/&gt;&lt;style id="http://www.zotero.org/styles/elsevier-harvard" hasBibliography="1" bibliographyStyleHasBeenSet="1"/&gt;&lt;prefs&gt;&lt;pref name="fieldType" value="Field"/&gt;&lt;pref name="storeReferences" </vt:lpwstr>
  </property>
  <property fmtid="{D5CDD505-2E9C-101B-9397-08002B2CF9AE}" pid="3" name="ZOTERO_PREF_2">
    <vt:lpwstr>value="true"/&gt;&lt;pref name="noteType" value="0"/&gt;&lt;/prefs&gt;&lt;/data&gt;</vt:lpwstr>
  </property>
</Properties>
</file>